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 AND EXPENSE REIMBURSEMENT POLICY</w:t>
      </w:r>
    </w:p>
    <w:p>
      <w:r>
        <w:t>Document ID: POL-HR-208</w:t>
        <w:br/>
        <w:t>Owner: Sunita Gupta (CFO)</w:t>
        <w:br/>
        <w:t>Classification: Internal Restricted</w:t>
      </w:r>
    </w:p>
    <w:p>
      <w:r>
        <w:t>Vendor invoices are matched against the purchase order and warehouse receiving record (three-way matching) before payment release. Discrepancies exceeding 2% trigger holding and dispute investigation.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Moreover, monthly financial closes must verify all accounts receivable, accounts payable, ledger entries, and bank reconciliations. Deviations from budgeted departmental allocations must be reported to the Board.</w:t>
      </w:r>
    </w:p>
    <w:p>
      <w:r>
        <w:t>**Travel allowances rules:**</w:t>
        <w:br/>
        <w:t>Tier-1: ₹3,000 per day for cities Delhi NCR, Mumbai, Bengaluru, Chennai.</w:t>
        <w:br/>
        <w:t>Tier-2: ₹2,000 per day for cities Pune, Ahmedabad, Kolkata, Hyderabad, Kochi.</w:t>
        <w:br/>
        <w:t>Flight rule: Business class is only eligible for Executive level (VPs and above) on flights with a duration exceeding 4 hours. All other travel must be booked in economy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