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0"/>
        </w:rPr>
        <w:t>EASY BUILD: WAREHOUSE SAFETY AND HAZARDOUS MATERIAL ZONING REPORT</w:t>
      </w:r>
    </w:p>
    <w:p>
      <w:r>
        <w:t>Document ID: EB-OPS-ZONE-019</w:t>
        <w:br/>
        <w:t>Owner: Amit Patel (VP Supply Chain)</w:t>
      </w:r>
    </w:p>
    <w:p>
      <w:pPr>
        <w:pStyle w:val="Heading1"/>
        <w:spacing w:before="240" w:after="120"/>
      </w:pPr>
      <w:r>
        <w:rPr>
          <w:rFonts w:ascii="Arial" w:hAnsi="Arial"/>
          <w:b/>
          <w:i w:val="0"/>
          <w:color w:val="1A73E8"/>
          <w:sz w:val="36"/>
        </w:rPr>
        <w:t>1. Warehouse Layout and Safety Guidelines</w:t>
      </w:r>
    </w:p>
    <w:p>
      <w:r>
        <w:t>Safety compliance requires careful segregation of construction materials. Flammable chemicals, adhesives, and paints must be stored separately from dry concrete and structural steel rebars. The main warehouse zoning layout diagram below shows the exact physical separation.</w:t>
      </w:r>
    </w:p>
    <w:p>
      <w:r>
        <w:t>Please review the safety map below to determine the designated zone for hazardous chemical storage.</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warehouse_zoning_map.png"/>
                    <pic:cNvPicPr/>
                  </pic:nvPicPr>
                  <pic:blipFill>
                    <a:blip r:embed="rId9"/>
                    <a:stretch>
                      <a:fillRect/>
                    </a:stretch>
                  </pic:blipFill>
                  <pic:spPr>
                    <a:xfrm>
                      <a:off x="0" y="0"/>
                      <a:ext cx="5029200" cy="3352800"/>
                    </a:xfrm>
                    <a:prstGeom prst="rect"/>
                  </pic:spPr>
                </pic:pic>
              </a:graphicData>
            </a:graphic>
          </wp:inline>
        </w:drawing>
      </w:r>
    </w:p>
    <w:p>
      <w:r>
        <w:t>Figure 19.1: Warehouse safety zoning floor plan.</w:t>
      </w:r>
    </w:p>
    <w:p>
      <w:r>
        <w:t>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In this context,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Furthermore,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r>
    </w:p>
    <w:p>
      <w:pPr>
        <w:pStyle w:val="Heading1"/>
        <w:spacing w:before="240" w:after="120"/>
      </w:pPr>
      <w:r>
        <w:rPr>
          <w:rFonts w:ascii="Arial" w:hAnsi="Arial"/>
          <w:b/>
          <w:i w:val="0"/>
          <w:color w:val="1A73E8"/>
          <w:sz w:val="36"/>
        </w:rPr>
        <w:t>2. Handling Flammable Materials</w:t>
      </w:r>
    </w:p>
    <w:p>
      <w:r>
        <w:t>No open flames are allowed near the paint and adhesive storage area. Spills must be reported immediately using standard chemical safety protocols, and cleanups must use inert absorbents.</w:t>
      </w:r>
    </w:p>
    <w:p>
      <w:r>
        <w:t>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In this context, stock put-away is guided by the Warehouse Management System (WMS), which assigns specific bin locations based on item weight, safety classification, and inventory rotation rules (FIFO/FEFO).</w:t>
        <w:br/>
        <w:br/>
        <w:t>Furthermore,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Additionally,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