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EASY BUILD: CUSTOMER RETURN POLICY (v1)</w:t>
      </w:r>
    </w:p>
    <w:p>
      <w:r>
        <w:t>Document ID: POL-OPS-044</w:t>
        <w:br/>
        <w:t>Version: 1.0</w:t>
        <w:br/>
        <w:t>Year: 2023</w:t>
        <w:br/>
        <w:t>Status: SUPERSEDED</w:t>
      </w:r>
    </w:p>
    <w:p>
      <w:r>
        <w:t>This document outlines the standard return window and conditions for building materials.</w:t>
      </w:r>
    </w:p>
    <w:p>
      <w:r>
        <w:t>**Standard Return Window: 45 days**</w:t>
      </w:r>
    </w:p>
    <w:p>
      <w:r>
        <w:t>Allowed returns for cement and steel within 45 days. Restocking fee 10%.</w:t>
      </w:r>
    </w:p>
    <w:p>
      <w:r>
        <w:t>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Specifically, safety stock levels are calculated using historical lead time demand variance and target service level variables, ensuring protection against supplier delays or sudden market surges.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