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CREDIT POLICY LEGACY 2022</w:t>
      </w:r>
    </w:p>
    <w:p>
      <w:r>
        <w:t>Document ID: POL-FIN-LEG-101</w:t>
        <w:br/>
        <w:t>Owner: Sunita Gupta (CFO)</w:t>
        <w:br/>
        <w:t>Classification: Internal Restricted</w:t>
      </w:r>
    </w:p>
    <w:p>
      <w:r>
        <w:t>Purchase requisitions exceeding ₹25,000,000 must undergo comprehensive cost-benefit analysis and receive Level-3 financial approval from the CFO and final sign-off from the CEO.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Additionally,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monthly financial closes must verify all accounts receivable, accounts payable, ledger entries, and bank reconciliations. Deviations from budgeted departmental allocations must be reported to the Board.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Moreover,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Consequently,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In this context, working capital optimization requires balanced management of cash, accounts receivable, and inventory levels. High safety stocks must be balanced against storage carrying costs and liquid cash flow needs.</w:t>
        <w:br/>
        <w:br/>
        <w:t>Specifically,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purchase requisitions exceeding ₹25,000,000 must undergo comprehensive cost-benefit analysis and receive Level-3 financial approval from the CFO and final sign-off from the CEO.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Consequently,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Specifically, working capital optimization requires balanced management of cash, accounts receivable, and inventory levels. High safety stocks must be balanced against storage carrying costs and liquid cash flow needs.</w:t>
        <w:br/>
        <w:br/>
        <w:t>Furthermore,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Additionally, purchase requisitions exceeding ₹25,000,000 must undergo comprehensive cost-benefit analysis and receive Level-3 financial approval from the CFO and final sign-off from the CEO.</w:t>
        <w:br/>
        <w:br/>
        <w:t>Consequently, purchase requisitions exceeding ₹25,000,000 must undergo comprehensive cost-benefit analysis and receive Level-3 financial approval from the CFO and final sign-off from the CEO.</w:t>
        <w:br/>
        <w:br/>
        <w:t>Additionally,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Furthermore, working capital optimization requires balanced management of cash, accounts receivable, and inventory levels. High safety stocks must be balanced against storage carrying costs and liquid cash flow needs.</w:t>
        <w:br/>
        <w:br/>
        <w:t>Additionally,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Specifically, monthly financial closes must verify all accounts receivable, accounts payable, ledger entries, and bank reconciliations. Deviations from budgeted departmental allocations must be reported to the Board.</w:t>
        <w:br/>
        <w:br/>
        <w:t>Moreover, monthly financial closes must verify all accounts receivable, accounts payable, ledger entries, and bank reconciliations. Deviations from budgeted departmental allocations must be reported to the Board.</w:t>
        <w:br/>
        <w:br/>
        <w:t>In this context, monthly financial closes must verify all accounts receivable, accounts payable, ledger entries, and bank reconciliations. Deviations from budgeted departmental allocations must be reported to the Board.</w:t>
        <w:br/>
        <w:br/>
        <w:t>Furthermore,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vendor invoices are matched against the purchase order and warehouse receiving record (three-way matching) before payment release. Discrepancies exceeding 2% trigger holding and dispute investigation.</w:t>
        <w:br/>
        <w:br/>
        <w:t>Specifically, purchase requisitions exceeding ₹25,000,000 must undergo comprehensive cost-benefit analysis and receive Level-3 financial approval from the CFO and final sign-off from the CEO.</w:t>
        <w:br/>
        <w:br/>
        <w:t>Consequently, monthly financial closes must verify all accounts receivable, accounts payable, ledger entries, and bank reconciliations. Deviations from budgeted departmental allocations must be reported to the Board.</w:t>
        <w:br/>
        <w:br/>
        <w:t>Consequently, working capital optimization requires balanced management of cash, accounts receivable, and inventory levels. High safety stocks must be balanced against storage carrying costs and liquid cash flow needs.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Additionally, vendor invoices are matched against the purchase order and warehouse receiving record (three-way matching) before payment release. Discrepancies exceeding 2% trigger holding and dispute investigation.</w:t>
        <w:br/>
        <w:br/>
        <w:t>Specifically, vendor invoices are matched against the purchase order and warehouse receiving record (three-way matching) before payment release. Discrepancies exceeding 2% trigger holding and dispute investigation.</w:t>
        <w:br/>
        <w:br/>
        <w:t>In this context, vendor invoices are matched against the purchase order and warehouse receiving record (three-way matching) before payment release. Discrepancies exceeding 2% trigger holding and dispute investigation.</w:t>
        <w:br/>
        <w:br/>
        <w:t>In this context, capital expenditure (CapEx) involves acquisitions and upgrades of physical assets, while operating expenditure (OpEx) covers daily transaction runs. Both require distinct approval streams based on delegated authority limits.</w:t>
        <w:br/>
        <w:br/>
        <w:t>Moreover, capital expenditure (CapEx) involves acquisitions and upgrades of physical assets, while operating expenditure (OpEx) covers daily transaction runs. Both require distinct approval streams based on delegated authority limits.</w:t>
        <w:br/>
        <w:br/>
        <w:t>Furthermore, vendor invoices are matched against the purchase order and warehouse receiving record (three-way matching) before payment release. Discrepancies exceeding 2% trigger holding and dispute investigation.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