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color w:val="1A2C4E"/>
          <w:sz w:val="108"/>
        </w:rPr>
        <w:t>ATARS</w:t>
      </w:r>
    </w:p>
    <w:p>
      <w:pPr>
        <w:jc w:val="center"/>
      </w:pPr>
      <w:r>
        <w:rPr>
          <w:color w:val="2557A7"/>
          <w:sz w:val="32"/>
        </w:rPr>
        <w:t>Automated Time-Series Analysis and Reporting System  v2.0</w:t>
      </w:r>
    </w:p>
    <w:p>
      <w:pPr>
        <w:spacing w:before="320"/>
        <w:jc w:val="center"/>
      </w:pPr>
      <w:r>
        <w:rPr>
          <w:b/>
          <w:color w:val="1A2C4E"/>
          <w:sz w:val="40"/>
        </w:rPr>
        <w:t>Annual Air Quality Analysis Report  —  Gurugram</w:t>
      </w:r>
    </w:p>
    <w:p>
      <w:pPr>
        <w:jc w:val="center"/>
      </w:pPr>
      <w:r>
        <w:rPr>
          <w:i/>
          <w:color w:val="6B7280"/>
          <w:sz w:val="24"/>
        </w:rPr>
        <w:t>2024-01-01 to 2024-12-31  ·  366 days  ·  8,784 records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EF3C7" w:val="clear"/>
          </w:tcPr>
          <w:p/>
          <w:p>
            <w:pPr>
              <w:jc w:val="center"/>
            </w:pPr>
            <w:r>
              <w:rPr>
                <w:b/>
                <w:color w:val="6B7280"/>
                <w:sz w:val="18"/>
              </w:rPr>
              <w:t>Confidence Level</w:t>
            </w:r>
          </w:p>
          <w:p>
            <w:pPr>
              <w:jc w:val="center"/>
            </w:pPr>
            <w:r>
              <w:rPr>
                <w:b/>
                <w:color w:val="92400E"/>
                <w:sz w:val="36"/>
              </w:rPr>
              <w:t>MODERATE</w:t>
            </w:r>
          </w:p>
        </w:tc>
        <w:tc>
          <w:tcPr>
            <w:tcW w:type="dxa" w:w="2351"/>
            <w:shd w:fill="FEF3C7" w:val="clear"/>
          </w:tcPr>
          <w:p/>
          <w:p>
            <w:pPr>
              <w:jc w:val="center"/>
            </w:pPr>
            <w:r>
              <w:rPr>
                <w:b/>
                <w:color w:val="6B7280"/>
                <w:sz w:val="18"/>
              </w:rPr>
              <w:t>Q(D) Score</w:t>
            </w:r>
          </w:p>
          <w:p>
            <w:pPr>
              <w:jc w:val="center"/>
            </w:pPr>
            <w:r>
              <w:rPr>
                <w:b/>
                <w:color w:val="92400E"/>
                <w:sz w:val="36"/>
              </w:rPr>
              <w:t>0.744</w:t>
            </w:r>
          </w:p>
        </w:tc>
        <w:tc>
          <w:tcPr>
            <w:tcW w:type="dxa" w:w="2351"/>
            <w:shd w:fill="FEF3C7" w:val="clear"/>
          </w:tcPr>
          <w:p/>
          <w:p>
            <w:pPr>
              <w:jc w:val="center"/>
            </w:pPr>
            <w:r>
              <w:rPr>
                <w:b/>
                <w:color w:val="6B7280"/>
                <w:sz w:val="18"/>
              </w:rPr>
              <w:t>Total Days</w:t>
            </w:r>
          </w:p>
          <w:p>
            <w:pPr>
              <w:jc w:val="center"/>
            </w:pPr>
            <w:r>
              <w:rPr>
                <w:b/>
                <w:color w:val="92400E"/>
                <w:sz w:val="36"/>
              </w:rPr>
              <w:t>366</w:t>
            </w:r>
          </w:p>
        </w:tc>
        <w:tc>
          <w:tcPr>
            <w:tcW w:type="dxa" w:w="2351"/>
            <w:shd w:fill="FEF3C7" w:val="clear"/>
          </w:tcPr>
          <w:p/>
          <w:p>
            <w:pPr>
              <w:jc w:val="center"/>
            </w:pPr>
            <w:r>
              <w:rPr>
                <w:b/>
                <w:color w:val="6B7280"/>
                <w:sz w:val="18"/>
              </w:rPr>
              <w:t>Total Records</w:t>
            </w:r>
          </w:p>
          <w:p>
            <w:pPr>
              <w:jc w:val="center"/>
            </w:pPr>
            <w:r>
              <w:rPr>
                <w:b/>
                <w:color w:val="92400E"/>
                <w:sz w:val="36"/>
              </w:rPr>
              <w:t>8,784</w:t>
            </w:r>
          </w:p>
        </w:tc>
      </w:tr>
    </w:tbl>
    <w:p/>
    <w:tbl>
      <w:tblPr>
        <w:tblStyle w:val="TableGrid"/>
        <w:tblW w:type="auto" w:w="0"/>
        <w:jc w:val="center"/>
        <w:tblLook w:firstColumn="1" w:firstRow="1" w:lastColumn="0" w:lastRow="0" w:noHBand="0" w:noVBand="1" w:val="04A0"/>
      </w:tblPr>
      <w:tblGrid>
        <w:gridCol w:w="9406"/>
      </w:tblGrid>
      <w:tr>
        <w:tc>
          <w:tcPr>
            <w:tcW w:type="dxa" w:w="9406"/>
            <w:shd w:fill="F4F5F7" w:val="clear"/>
          </w:tcPr>
          <w:p/>
          <w:p>
            <w:pPr>
              <w:spacing w:before="60"/>
              <w:jc w:val="center"/>
            </w:pPr>
            <w:r>
              <w:rPr>
                <w:b/>
                <w:color w:val="1A2C4E"/>
                <w:sz w:val="36"/>
              </w:rPr>
              <w:t>Priyanshu</w:t>
            </w:r>
          </w:p>
          <w:p>
            <w:pPr>
              <w:spacing w:before="60"/>
              <w:jc w:val="center"/>
            </w:pPr>
            <w:r>
              <w:rPr>
                <w:b w:val="0"/>
                <w:color w:val="6B7280"/>
                <w:sz w:val="22"/>
              </w:rPr>
              <w:t>B.Tech (Computer Science), Second Year</w:t>
            </w:r>
          </w:p>
          <w:p>
            <w:pPr>
              <w:spacing w:before="60"/>
              <w:jc w:val="center"/>
            </w:pPr>
            <w:r>
              <w:rPr>
                <w:b/>
                <w:color w:val="2557A7"/>
                <w:sz w:val="24"/>
              </w:rPr>
              <w:t>Department of Computer Science &amp; Engineering</w:t>
            </w:r>
          </w:p>
          <w:p>
            <w:pPr>
              <w:spacing w:before="60"/>
              <w:jc w:val="center"/>
            </w:pPr>
            <w:r>
              <w:rPr>
                <w:b w:val="0"/>
                <w:color w:val="1A2C4E"/>
                <w:sz w:val="24"/>
              </w:rPr>
              <w:t>Global Institute of Technology and Management</w:t>
            </w:r>
          </w:p>
          <w:p>
            <w:pPr>
              <w:spacing w:before="60"/>
              <w:jc w:val="center"/>
            </w:pPr>
            <w:r>
              <w:rPr>
                <w:b w:val="0"/>
                <w:color w:val="6B7280"/>
                <w:sz w:val="20"/>
              </w:rPr>
              <w:t>Haryana, India  ·  priyanshukumar9053@gmail.com</w:t>
            </w:r>
          </w:p>
          <w:p>
            <w:pPr>
              <w:spacing w:before="60"/>
              <w:jc w:val="center"/>
            </w:pPr>
            <w:r>
              <w:rPr>
                <w:b w:val="0"/>
                <w:color w:val="6B7280"/>
                <w:sz w:val="18"/>
              </w:rPr>
              <w:t>Document: RP-ATARS-2026-001  ·  Generated: 2026-02-28 13:10</w:t>
            </w:r>
          </w:p>
        </w:tc>
      </w:tr>
    </w:tbl>
    <w:p>
      <w:r>
        <w:br w:type="page"/>
      </w:r>
    </w:p>
    <w:p>
      <w:pPr>
        <w:pStyle w:val="Heading1"/>
        <w:spacing w:before="360" w:after="160"/>
      </w:pPr>
      <w:r>
        <w:rPr>
          <w:color w:val="1A2C4E"/>
          <w:sz w:val="36"/>
        </w:rPr>
        <w:t>Section 01 — Data Quality Statement</w:t>
      </w:r>
    </w:p>
    <w:p>
      <w:pPr>
        <w:spacing w:before="60" w:after="120"/>
      </w:pPr>
      <w:r>
        <w:rPr>
          <w:i w:val="0"/>
          <w:sz w:val="22"/>
        </w:rPr>
        <w:t>The overall data quality (Q(D)) value is 0.7442, indicating moderate confidence in the dataset. Variables with low confidence include CO (Q = 0.0), Eth_Benzene (Q = 0.0), NOx (Q = 0.995), and Xylene (Q = 0.9227), suggesting that these variables have either missing or unreliable data, which may impact the accuracy of analysis and interpretation results. The low confidence in CO and Eth_Benzene indicates that these pollutants are not present in the dataset, while the low confidence in NOx and Xylene suggests that their values may be uncertain or unreliable. This highlights the need for careful consideration when interpreting results involving these variables.</w:t>
      </w:r>
    </w:p>
    <w:p>
      <w:pPr>
        <w:pStyle w:val="Heading2"/>
        <w:spacing w:before="240" w:after="120"/>
      </w:pPr>
      <w:r>
        <w:rPr>
          <w:color w:val="2557A7"/>
          <w:sz w:val="28"/>
        </w:rPr>
        <w:t>Quality Score Q(D) per Variable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2C4E" w:val="clear"/>
          </w:tcPr>
          <w:p>
            <w:pPr>
              <w:jc w:val="center"/>
            </w:pPr>
            <w:r>
              <w:rPr>
                <w:b/>
                <w:color w:val="FFFFFF"/>
                <w:sz w:val="20"/>
              </w:rPr>
              <w:t>Variable</w:t>
            </w:r>
          </w:p>
        </w:tc>
        <w:tc>
          <w:tcPr>
            <w:tcW w:type="dxa" w:w="1881"/>
            <w:shd w:fill="1A2C4E" w:val="clear"/>
          </w:tcPr>
          <w:p>
            <w:pPr>
              <w:jc w:val="center"/>
            </w:pPr>
            <w:r>
              <w:rPr>
                <w:b/>
                <w:color w:val="FFFFFF"/>
                <w:sz w:val="20"/>
              </w:rPr>
              <w:t>Q(D) = N_v/N_total</w:t>
            </w:r>
          </w:p>
        </w:tc>
        <w:tc>
          <w:tcPr>
            <w:tcW w:type="dxa" w:w="1881"/>
            <w:shd w:fill="1A2C4E" w:val="clear"/>
          </w:tcPr>
          <w:p>
            <w:pPr>
              <w:jc w:val="center"/>
            </w:pPr>
            <w:r>
              <w:rPr>
                <w:b/>
                <w:color w:val="FFFFFF"/>
                <w:sz w:val="20"/>
              </w:rPr>
              <w:t>Confidence</w:t>
            </w:r>
          </w:p>
        </w:tc>
        <w:tc>
          <w:tcPr>
            <w:tcW w:type="dxa" w:w="1881"/>
            <w:shd w:fill="1A2C4E" w:val="clear"/>
          </w:tcPr>
          <w:p>
            <w:pPr>
              <w:jc w:val="center"/>
            </w:pPr>
            <w:r>
              <w:rPr>
                <w:b/>
                <w:color w:val="FFFFFF"/>
                <w:sz w:val="20"/>
              </w:rPr>
              <w:t>Anomaly Days</w:t>
            </w:r>
          </w:p>
        </w:tc>
        <w:tc>
          <w:tcPr>
            <w:tcW w:type="dxa" w:w="1881"/>
            <w:shd w:fill="1A2C4E" w:val="clear"/>
          </w:tcPr>
          <w:p>
            <w:pPr>
              <w:jc w:val="center"/>
            </w:pPr>
            <w:r>
              <w:rPr>
                <w:b/>
                <w:color w:val="FFFFFF"/>
                <w:sz w:val="20"/>
              </w:rPr>
              <w:t>Exceedance Days</w:t>
            </w:r>
          </w:p>
        </w:tc>
      </w:tr>
      <w:tr>
        <w:tc>
          <w:tcPr>
            <w:tcW w:type="dxa" w:w="1881"/>
            <w:shd w:fill="D1FAE5" w:val="clear"/>
          </w:tcPr>
          <w:p>
            <w:pPr>
              <w:jc w:val="left"/>
            </w:pPr>
            <w:r>
              <w:rPr>
                <w:sz w:val="20"/>
              </w:rPr>
              <w:t>humidity_pct</w:t>
            </w:r>
          </w:p>
        </w:tc>
        <w:tc>
          <w:tcPr>
            <w:tcW w:type="dxa" w:w="1881"/>
            <w:shd w:fill="D1FAE5" w:val="clear"/>
          </w:tcPr>
          <w:p>
            <w:pPr>
              <w:jc w:val="center"/>
            </w:pPr>
            <w:r>
              <w:rPr>
                <w:sz w:val="20"/>
              </w:rPr>
              <w:t>1.000</w:t>
            </w:r>
          </w:p>
        </w:tc>
        <w:tc>
          <w:tcPr>
            <w:tcW w:type="dxa" w:w="1881"/>
            <w:shd w:fill="D1FAE5" w:val="clear"/>
          </w:tcPr>
          <w:p>
            <w:pPr>
              <w:jc w:val="center"/>
            </w:pPr>
            <w:r>
              <w:rPr>
                <w:sz w:val="20"/>
              </w:rPr>
              <w:t>HIGH</w:t>
            </w:r>
          </w:p>
        </w:tc>
        <w:tc>
          <w:tcPr>
            <w:tcW w:type="dxa" w:w="1881"/>
            <w:shd w:fill="D1FAE5" w:val="clear"/>
          </w:tcPr>
          <w:p>
            <w:pPr>
              <w:jc w:val="center"/>
            </w:pPr>
            <w:r>
              <w:rPr>
                <w:sz w:val="20"/>
              </w:rPr>
              <w:t>N/A</w:t>
            </w:r>
          </w:p>
        </w:tc>
        <w:tc>
          <w:tcPr>
            <w:tcW w:type="dxa" w:w="1881"/>
            <w:shd w:fill="D1FAE5" w:val="clear"/>
          </w:tcPr>
          <w:p>
            <w:pPr>
              <w:jc w:val="center"/>
            </w:pPr>
            <w:r>
              <w:rPr>
                <w:sz w:val="20"/>
              </w:rPr>
              <w:t>0</w:t>
            </w:r>
          </w:p>
        </w:tc>
      </w:tr>
      <w:tr>
        <w:tc>
          <w:tcPr>
            <w:tcW w:type="dxa" w:w="1881"/>
            <w:shd w:fill="D1FAE5" w:val="clear"/>
          </w:tcPr>
          <w:p>
            <w:pPr>
              <w:jc w:val="left"/>
            </w:pPr>
            <w:r>
              <w:rPr>
                <w:sz w:val="20"/>
              </w:rPr>
              <w:t>pressure_hpa</w:t>
            </w:r>
          </w:p>
        </w:tc>
        <w:tc>
          <w:tcPr>
            <w:tcW w:type="dxa" w:w="1881"/>
            <w:shd w:fill="D1FAE5" w:val="clear"/>
          </w:tcPr>
          <w:p>
            <w:pPr>
              <w:jc w:val="center"/>
            </w:pPr>
            <w:r>
              <w:rPr>
                <w:sz w:val="20"/>
              </w:rPr>
              <w:t>1.000</w:t>
            </w:r>
          </w:p>
        </w:tc>
        <w:tc>
          <w:tcPr>
            <w:tcW w:type="dxa" w:w="1881"/>
            <w:shd w:fill="D1FAE5" w:val="clear"/>
          </w:tcPr>
          <w:p>
            <w:pPr>
              <w:jc w:val="center"/>
            </w:pPr>
            <w:r>
              <w:rPr>
                <w:sz w:val="20"/>
              </w:rPr>
              <w:t>HIGH</w:t>
            </w:r>
          </w:p>
        </w:tc>
        <w:tc>
          <w:tcPr>
            <w:tcW w:type="dxa" w:w="1881"/>
            <w:shd w:fill="D1FAE5" w:val="clear"/>
          </w:tcPr>
          <w:p>
            <w:pPr>
              <w:jc w:val="center"/>
            </w:pPr>
            <w:r>
              <w:rPr>
                <w:sz w:val="20"/>
              </w:rPr>
              <w:t>N/A</w:t>
            </w:r>
          </w:p>
        </w:tc>
        <w:tc>
          <w:tcPr>
            <w:tcW w:type="dxa" w:w="1881"/>
            <w:shd w:fill="D1FAE5" w:val="clear"/>
          </w:tcPr>
          <w:p>
            <w:pPr>
              <w:jc w:val="center"/>
            </w:pPr>
            <w:r>
              <w:rPr>
                <w:sz w:val="20"/>
              </w:rPr>
              <w:t>0</w:t>
            </w:r>
          </w:p>
        </w:tc>
      </w:tr>
      <w:tr>
        <w:tc>
          <w:tcPr>
            <w:tcW w:type="dxa" w:w="1881"/>
            <w:shd w:fill="D1FAE5" w:val="clear"/>
          </w:tcPr>
          <w:p>
            <w:pPr>
              <w:jc w:val="left"/>
            </w:pPr>
            <w:r>
              <w:rPr>
                <w:sz w:val="20"/>
              </w:rPr>
              <w:t>rain_mm</w:t>
            </w:r>
          </w:p>
        </w:tc>
        <w:tc>
          <w:tcPr>
            <w:tcW w:type="dxa" w:w="1881"/>
            <w:shd w:fill="D1FAE5" w:val="clear"/>
          </w:tcPr>
          <w:p>
            <w:pPr>
              <w:jc w:val="center"/>
            </w:pPr>
            <w:r>
              <w:rPr>
                <w:sz w:val="20"/>
              </w:rPr>
              <w:t>1.000</w:t>
            </w:r>
          </w:p>
        </w:tc>
        <w:tc>
          <w:tcPr>
            <w:tcW w:type="dxa" w:w="1881"/>
            <w:shd w:fill="D1FAE5" w:val="clear"/>
          </w:tcPr>
          <w:p>
            <w:pPr>
              <w:jc w:val="center"/>
            </w:pPr>
            <w:r>
              <w:rPr>
                <w:sz w:val="20"/>
              </w:rPr>
              <w:t>HIGH</w:t>
            </w:r>
          </w:p>
        </w:tc>
        <w:tc>
          <w:tcPr>
            <w:tcW w:type="dxa" w:w="1881"/>
            <w:shd w:fill="D1FAE5" w:val="clear"/>
          </w:tcPr>
          <w:p>
            <w:pPr>
              <w:jc w:val="center"/>
            </w:pPr>
            <w:r>
              <w:rPr>
                <w:sz w:val="20"/>
              </w:rPr>
              <w:t>N/A</w:t>
            </w:r>
          </w:p>
        </w:tc>
        <w:tc>
          <w:tcPr>
            <w:tcW w:type="dxa" w:w="1881"/>
            <w:shd w:fill="D1FAE5" w:val="clear"/>
          </w:tcPr>
          <w:p>
            <w:pPr>
              <w:jc w:val="center"/>
            </w:pPr>
            <w:r>
              <w:rPr>
                <w:sz w:val="20"/>
              </w:rPr>
              <w:t>0</w:t>
            </w:r>
          </w:p>
        </w:tc>
      </w:tr>
      <w:tr>
        <w:tc>
          <w:tcPr>
            <w:tcW w:type="dxa" w:w="1881"/>
            <w:shd w:fill="D1FAE5" w:val="clear"/>
          </w:tcPr>
          <w:p>
            <w:pPr>
              <w:jc w:val="left"/>
            </w:pPr>
            <w:r>
              <w:rPr>
                <w:sz w:val="20"/>
              </w:rPr>
              <w:t>wind_dir_10m</w:t>
            </w:r>
          </w:p>
        </w:tc>
        <w:tc>
          <w:tcPr>
            <w:tcW w:type="dxa" w:w="1881"/>
            <w:shd w:fill="D1FAE5" w:val="clear"/>
          </w:tcPr>
          <w:p>
            <w:pPr>
              <w:jc w:val="center"/>
            </w:pPr>
            <w:r>
              <w:rPr>
                <w:sz w:val="20"/>
              </w:rPr>
              <w:t>1.000</w:t>
            </w:r>
          </w:p>
        </w:tc>
        <w:tc>
          <w:tcPr>
            <w:tcW w:type="dxa" w:w="1881"/>
            <w:shd w:fill="D1FAE5" w:val="clear"/>
          </w:tcPr>
          <w:p>
            <w:pPr>
              <w:jc w:val="center"/>
            </w:pPr>
            <w:r>
              <w:rPr>
                <w:sz w:val="20"/>
              </w:rPr>
              <w:t>HIGH</w:t>
            </w:r>
          </w:p>
        </w:tc>
        <w:tc>
          <w:tcPr>
            <w:tcW w:type="dxa" w:w="1881"/>
            <w:shd w:fill="D1FAE5" w:val="clear"/>
          </w:tcPr>
          <w:p>
            <w:pPr>
              <w:jc w:val="center"/>
            </w:pPr>
            <w:r>
              <w:rPr>
                <w:sz w:val="20"/>
              </w:rPr>
              <w:t>N/A</w:t>
            </w:r>
          </w:p>
        </w:tc>
        <w:tc>
          <w:tcPr>
            <w:tcW w:type="dxa" w:w="1881"/>
            <w:shd w:fill="D1FAE5" w:val="clear"/>
          </w:tcPr>
          <w:p>
            <w:pPr>
              <w:jc w:val="center"/>
            </w:pPr>
            <w:r>
              <w:rPr>
                <w:sz w:val="20"/>
              </w:rPr>
              <w:t>0</w:t>
            </w:r>
          </w:p>
        </w:tc>
      </w:tr>
      <w:tr>
        <w:tc>
          <w:tcPr>
            <w:tcW w:type="dxa" w:w="1881"/>
            <w:shd w:fill="D1FAE5" w:val="clear"/>
          </w:tcPr>
          <w:p>
            <w:pPr>
              <w:jc w:val="left"/>
            </w:pPr>
            <w:r>
              <w:rPr>
                <w:sz w:val="20"/>
              </w:rPr>
              <w:t>wind_speed_10m</w:t>
            </w:r>
          </w:p>
        </w:tc>
        <w:tc>
          <w:tcPr>
            <w:tcW w:type="dxa" w:w="1881"/>
            <w:shd w:fill="D1FAE5" w:val="clear"/>
          </w:tcPr>
          <w:p>
            <w:pPr>
              <w:jc w:val="center"/>
            </w:pPr>
            <w:r>
              <w:rPr>
                <w:sz w:val="20"/>
              </w:rPr>
              <w:t>1.000</w:t>
            </w:r>
          </w:p>
        </w:tc>
        <w:tc>
          <w:tcPr>
            <w:tcW w:type="dxa" w:w="1881"/>
            <w:shd w:fill="D1FAE5" w:val="clear"/>
          </w:tcPr>
          <w:p>
            <w:pPr>
              <w:jc w:val="center"/>
            </w:pPr>
            <w:r>
              <w:rPr>
                <w:sz w:val="20"/>
              </w:rPr>
              <w:t>HIGH</w:t>
            </w:r>
          </w:p>
        </w:tc>
        <w:tc>
          <w:tcPr>
            <w:tcW w:type="dxa" w:w="1881"/>
            <w:shd w:fill="D1FAE5" w:val="clear"/>
          </w:tcPr>
          <w:p>
            <w:pPr>
              <w:jc w:val="center"/>
            </w:pPr>
            <w:r>
              <w:rPr>
                <w:sz w:val="20"/>
              </w:rPr>
              <w:t>N/A</w:t>
            </w:r>
          </w:p>
        </w:tc>
        <w:tc>
          <w:tcPr>
            <w:tcW w:type="dxa" w:w="1881"/>
            <w:shd w:fill="D1FAE5" w:val="clear"/>
          </w:tcPr>
          <w:p>
            <w:pPr>
              <w:jc w:val="center"/>
            </w:pPr>
            <w:r>
              <w:rPr>
                <w:sz w:val="20"/>
              </w:rPr>
              <w:t>0</w:t>
            </w:r>
          </w:p>
        </w:tc>
      </w:tr>
      <w:tr>
        <w:tc>
          <w:tcPr>
            <w:tcW w:type="dxa" w:w="1881"/>
            <w:shd w:fill="D1FAE5" w:val="clear"/>
          </w:tcPr>
          <w:p>
            <w:pPr>
              <w:jc w:val="left"/>
            </w:pPr>
            <w:r>
              <w:rPr>
                <w:sz w:val="20"/>
              </w:rPr>
              <w:t>MP_Xylene</w:t>
            </w:r>
          </w:p>
        </w:tc>
        <w:tc>
          <w:tcPr>
            <w:tcW w:type="dxa" w:w="1881"/>
            <w:shd w:fill="D1FAE5" w:val="clear"/>
          </w:tcPr>
          <w:p>
            <w:pPr>
              <w:jc w:val="center"/>
            </w:pPr>
            <w:r>
              <w:rPr>
                <w:sz w:val="20"/>
              </w:rPr>
              <w:t>0.999</w:t>
            </w:r>
          </w:p>
        </w:tc>
        <w:tc>
          <w:tcPr>
            <w:tcW w:type="dxa" w:w="1881"/>
            <w:shd w:fill="D1FAE5" w:val="clear"/>
          </w:tcPr>
          <w:p>
            <w:pPr>
              <w:jc w:val="center"/>
            </w:pPr>
            <w:r>
              <w:rPr>
                <w:sz w:val="20"/>
              </w:rPr>
              <w:t>HIGH</w:t>
            </w:r>
          </w:p>
        </w:tc>
        <w:tc>
          <w:tcPr>
            <w:tcW w:type="dxa" w:w="1881"/>
            <w:shd w:fill="D1FAE5" w:val="clear"/>
          </w:tcPr>
          <w:p>
            <w:pPr>
              <w:jc w:val="center"/>
            </w:pPr>
            <w:r>
              <w:rPr>
                <w:sz w:val="20"/>
              </w:rPr>
              <w:t>9</w:t>
            </w:r>
          </w:p>
        </w:tc>
        <w:tc>
          <w:tcPr>
            <w:tcW w:type="dxa" w:w="1881"/>
            <w:shd w:fill="D1FAE5" w:val="clear"/>
          </w:tcPr>
          <w:p>
            <w:pPr>
              <w:jc w:val="center"/>
            </w:pPr>
            <w:r>
              <w:rPr>
                <w:sz w:val="20"/>
              </w:rPr>
              <w:t>0</w:t>
            </w:r>
          </w:p>
        </w:tc>
      </w:tr>
      <w:tr>
        <w:tc>
          <w:tcPr>
            <w:tcW w:type="dxa" w:w="1881"/>
            <w:shd w:fill="D1FAE5" w:val="clear"/>
          </w:tcPr>
          <w:p>
            <w:pPr>
              <w:jc w:val="left"/>
            </w:pPr>
            <w:r>
              <w:rPr>
                <w:sz w:val="20"/>
              </w:rPr>
              <w:t>NO2</w:t>
            </w:r>
          </w:p>
        </w:tc>
        <w:tc>
          <w:tcPr>
            <w:tcW w:type="dxa" w:w="1881"/>
            <w:shd w:fill="D1FAE5" w:val="clear"/>
          </w:tcPr>
          <w:p>
            <w:pPr>
              <w:jc w:val="center"/>
            </w:pPr>
            <w:r>
              <w:rPr>
                <w:sz w:val="20"/>
              </w:rPr>
              <w:t>0.999</w:t>
            </w:r>
          </w:p>
        </w:tc>
        <w:tc>
          <w:tcPr>
            <w:tcW w:type="dxa" w:w="1881"/>
            <w:shd w:fill="D1FAE5" w:val="clear"/>
          </w:tcPr>
          <w:p>
            <w:pPr>
              <w:jc w:val="center"/>
            </w:pPr>
            <w:r>
              <w:rPr>
                <w:sz w:val="20"/>
              </w:rPr>
              <w:t>HIGH</w:t>
            </w:r>
          </w:p>
        </w:tc>
        <w:tc>
          <w:tcPr>
            <w:tcW w:type="dxa" w:w="1881"/>
            <w:shd w:fill="D1FAE5" w:val="clear"/>
          </w:tcPr>
          <w:p>
            <w:pPr>
              <w:jc w:val="center"/>
            </w:pPr>
            <w:r>
              <w:rPr>
                <w:sz w:val="20"/>
              </w:rPr>
              <w:t>7</w:t>
            </w:r>
          </w:p>
        </w:tc>
        <w:tc>
          <w:tcPr>
            <w:tcW w:type="dxa" w:w="1881"/>
            <w:shd w:fill="D1FAE5" w:val="clear"/>
          </w:tcPr>
          <w:p>
            <w:pPr>
              <w:jc w:val="center"/>
            </w:pPr>
            <w:r>
              <w:rPr>
                <w:sz w:val="20"/>
              </w:rPr>
              <w:t>25</w:t>
            </w:r>
          </w:p>
        </w:tc>
      </w:tr>
      <w:tr>
        <w:tc>
          <w:tcPr>
            <w:tcW w:type="dxa" w:w="1881"/>
            <w:shd w:fill="D1FAE5" w:val="clear"/>
          </w:tcPr>
          <w:p>
            <w:pPr>
              <w:jc w:val="left"/>
            </w:pPr>
            <w:r>
              <w:rPr>
                <w:sz w:val="20"/>
              </w:rPr>
              <w:t>Ozone</w:t>
            </w:r>
          </w:p>
        </w:tc>
        <w:tc>
          <w:tcPr>
            <w:tcW w:type="dxa" w:w="1881"/>
            <w:shd w:fill="D1FAE5" w:val="clear"/>
          </w:tcPr>
          <w:p>
            <w:pPr>
              <w:jc w:val="center"/>
            </w:pPr>
            <w:r>
              <w:rPr>
                <w:sz w:val="20"/>
              </w:rPr>
              <w:t>0.999</w:t>
            </w:r>
          </w:p>
        </w:tc>
        <w:tc>
          <w:tcPr>
            <w:tcW w:type="dxa" w:w="1881"/>
            <w:shd w:fill="D1FAE5" w:val="clear"/>
          </w:tcPr>
          <w:p>
            <w:pPr>
              <w:jc w:val="center"/>
            </w:pPr>
            <w:r>
              <w:rPr>
                <w:sz w:val="20"/>
              </w:rPr>
              <w:t>HIGH</w:t>
            </w:r>
          </w:p>
        </w:tc>
        <w:tc>
          <w:tcPr>
            <w:tcW w:type="dxa" w:w="1881"/>
            <w:shd w:fill="D1FAE5" w:val="clear"/>
          </w:tcPr>
          <w:p>
            <w:pPr>
              <w:jc w:val="center"/>
            </w:pPr>
            <w:r>
              <w:rPr>
                <w:sz w:val="20"/>
              </w:rPr>
              <w:t>12</w:t>
            </w:r>
          </w:p>
        </w:tc>
        <w:tc>
          <w:tcPr>
            <w:tcW w:type="dxa" w:w="1881"/>
            <w:shd w:fill="D1FAE5" w:val="clear"/>
          </w:tcPr>
          <w:p>
            <w:pPr>
              <w:jc w:val="center"/>
            </w:pPr>
            <w:r>
              <w:rPr>
                <w:sz w:val="20"/>
              </w:rPr>
              <w:t>0</w:t>
            </w:r>
          </w:p>
        </w:tc>
      </w:tr>
      <w:tr>
        <w:tc>
          <w:tcPr>
            <w:tcW w:type="dxa" w:w="1881"/>
            <w:shd w:fill="D1FAE5" w:val="clear"/>
          </w:tcPr>
          <w:p>
            <w:pPr>
              <w:jc w:val="left"/>
            </w:pPr>
            <w:r>
              <w:rPr>
                <w:sz w:val="20"/>
              </w:rPr>
              <w:t>Benzene</w:t>
            </w:r>
          </w:p>
        </w:tc>
        <w:tc>
          <w:tcPr>
            <w:tcW w:type="dxa" w:w="1881"/>
            <w:shd w:fill="D1FAE5" w:val="clear"/>
          </w:tcPr>
          <w:p>
            <w:pPr>
              <w:jc w:val="center"/>
            </w:pPr>
            <w:r>
              <w:rPr>
                <w:sz w:val="20"/>
              </w:rPr>
              <w:t>0.997</w:t>
            </w:r>
          </w:p>
        </w:tc>
        <w:tc>
          <w:tcPr>
            <w:tcW w:type="dxa" w:w="1881"/>
            <w:shd w:fill="D1FAE5" w:val="clear"/>
          </w:tcPr>
          <w:p>
            <w:pPr>
              <w:jc w:val="center"/>
            </w:pPr>
            <w:r>
              <w:rPr>
                <w:sz w:val="20"/>
              </w:rPr>
              <w:t>HIGH</w:t>
            </w:r>
          </w:p>
        </w:tc>
        <w:tc>
          <w:tcPr>
            <w:tcW w:type="dxa" w:w="1881"/>
            <w:shd w:fill="D1FAE5" w:val="clear"/>
          </w:tcPr>
          <w:p>
            <w:pPr>
              <w:jc w:val="center"/>
            </w:pPr>
            <w:r>
              <w:rPr>
                <w:sz w:val="20"/>
              </w:rPr>
              <w:t>13</w:t>
            </w:r>
          </w:p>
        </w:tc>
        <w:tc>
          <w:tcPr>
            <w:tcW w:type="dxa" w:w="1881"/>
            <w:shd w:fill="D1FAE5" w:val="clear"/>
          </w:tcPr>
          <w:p>
            <w:pPr>
              <w:jc w:val="center"/>
            </w:pPr>
            <w:r>
              <w:rPr>
                <w:sz w:val="20"/>
              </w:rPr>
              <w:t>366</w:t>
            </w:r>
          </w:p>
        </w:tc>
      </w:tr>
      <w:tr>
        <w:tc>
          <w:tcPr>
            <w:tcW w:type="dxa" w:w="1881"/>
            <w:shd w:fill="D1FAE5" w:val="clear"/>
          </w:tcPr>
          <w:p>
            <w:pPr>
              <w:jc w:val="left"/>
            </w:pPr>
            <w:r>
              <w:rPr>
                <w:sz w:val="20"/>
              </w:rPr>
              <w:t>NOx</w:t>
            </w:r>
          </w:p>
        </w:tc>
        <w:tc>
          <w:tcPr>
            <w:tcW w:type="dxa" w:w="1881"/>
            <w:shd w:fill="D1FAE5" w:val="clear"/>
          </w:tcPr>
          <w:p>
            <w:pPr>
              <w:jc w:val="center"/>
            </w:pPr>
            <w:r>
              <w:rPr>
                <w:sz w:val="20"/>
              </w:rPr>
              <w:t>0.995</w:t>
            </w:r>
          </w:p>
        </w:tc>
        <w:tc>
          <w:tcPr>
            <w:tcW w:type="dxa" w:w="1881"/>
            <w:shd w:fill="D1FAE5" w:val="clear"/>
          </w:tcPr>
          <w:p>
            <w:pPr>
              <w:jc w:val="center"/>
            </w:pPr>
            <w:r>
              <w:rPr>
                <w:sz w:val="20"/>
              </w:rPr>
              <w:t>HIGH</w:t>
            </w:r>
          </w:p>
        </w:tc>
        <w:tc>
          <w:tcPr>
            <w:tcW w:type="dxa" w:w="1881"/>
            <w:shd w:fill="D1FAE5" w:val="clear"/>
          </w:tcPr>
          <w:p>
            <w:pPr>
              <w:jc w:val="center"/>
            </w:pPr>
            <w:r>
              <w:rPr>
                <w:sz w:val="20"/>
              </w:rPr>
              <w:t>9</w:t>
            </w:r>
          </w:p>
        </w:tc>
        <w:tc>
          <w:tcPr>
            <w:tcW w:type="dxa" w:w="1881"/>
            <w:shd w:fill="D1FAE5" w:val="clear"/>
          </w:tcPr>
          <w:p>
            <w:pPr>
              <w:jc w:val="center"/>
            </w:pPr>
            <w:r>
              <w:rPr>
                <w:sz w:val="20"/>
              </w:rPr>
              <w:t>0</w:t>
            </w:r>
          </w:p>
        </w:tc>
      </w:tr>
      <w:tr>
        <w:tc>
          <w:tcPr>
            <w:tcW w:type="dxa" w:w="1881"/>
            <w:shd w:fill="D1FAE5" w:val="clear"/>
          </w:tcPr>
          <w:p>
            <w:pPr>
              <w:jc w:val="left"/>
            </w:pPr>
            <w:r>
              <w:rPr>
                <w:sz w:val="20"/>
              </w:rPr>
              <w:t>PM10</w:t>
            </w:r>
          </w:p>
        </w:tc>
        <w:tc>
          <w:tcPr>
            <w:tcW w:type="dxa" w:w="1881"/>
            <w:shd w:fill="D1FAE5" w:val="clear"/>
          </w:tcPr>
          <w:p>
            <w:pPr>
              <w:jc w:val="center"/>
            </w:pPr>
            <w:r>
              <w:rPr>
                <w:sz w:val="20"/>
              </w:rPr>
              <w:t>0.995</w:t>
            </w:r>
          </w:p>
        </w:tc>
        <w:tc>
          <w:tcPr>
            <w:tcW w:type="dxa" w:w="1881"/>
            <w:shd w:fill="D1FAE5" w:val="clear"/>
          </w:tcPr>
          <w:p>
            <w:pPr>
              <w:jc w:val="center"/>
            </w:pPr>
            <w:r>
              <w:rPr>
                <w:sz w:val="20"/>
              </w:rPr>
              <w:t>HIGH</w:t>
            </w:r>
          </w:p>
        </w:tc>
        <w:tc>
          <w:tcPr>
            <w:tcW w:type="dxa" w:w="1881"/>
            <w:shd w:fill="D1FAE5" w:val="clear"/>
          </w:tcPr>
          <w:p>
            <w:pPr>
              <w:jc w:val="center"/>
            </w:pPr>
            <w:r>
              <w:rPr>
                <w:sz w:val="20"/>
              </w:rPr>
              <w:t>8</w:t>
            </w:r>
          </w:p>
        </w:tc>
        <w:tc>
          <w:tcPr>
            <w:tcW w:type="dxa" w:w="1881"/>
            <w:shd w:fill="D1FAE5" w:val="clear"/>
          </w:tcPr>
          <w:p>
            <w:pPr>
              <w:jc w:val="center"/>
            </w:pPr>
            <w:r>
              <w:rPr>
                <w:sz w:val="20"/>
              </w:rPr>
              <w:t>364</w:t>
            </w:r>
          </w:p>
        </w:tc>
      </w:tr>
      <w:tr>
        <w:tc>
          <w:tcPr>
            <w:tcW w:type="dxa" w:w="1881"/>
            <w:shd w:fill="D1FAE5" w:val="clear"/>
          </w:tcPr>
          <w:p>
            <w:pPr>
              <w:jc w:val="left"/>
            </w:pPr>
            <w:r>
              <w:rPr>
                <w:sz w:val="20"/>
              </w:rPr>
              <w:t>Toluene</w:t>
            </w:r>
          </w:p>
        </w:tc>
        <w:tc>
          <w:tcPr>
            <w:tcW w:type="dxa" w:w="1881"/>
            <w:shd w:fill="D1FAE5" w:val="clear"/>
          </w:tcPr>
          <w:p>
            <w:pPr>
              <w:jc w:val="center"/>
            </w:pPr>
            <w:r>
              <w:rPr>
                <w:sz w:val="20"/>
              </w:rPr>
              <w:t>0.995</w:t>
            </w:r>
          </w:p>
        </w:tc>
        <w:tc>
          <w:tcPr>
            <w:tcW w:type="dxa" w:w="1881"/>
            <w:shd w:fill="D1FAE5" w:val="clear"/>
          </w:tcPr>
          <w:p>
            <w:pPr>
              <w:jc w:val="center"/>
            </w:pPr>
            <w:r>
              <w:rPr>
                <w:sz w:val="20"/>
              </w:rPr>
              <w:t>HIGH</w:t>
            </w:r>
          </w:p>
        </w:tc>
        <w:tc>
          <w:tcPr>
            <w:tcW w:type="dxa" w:w="1881"/>
            <w:shd w:fill="D1FAE5" w:val="clear"/>
          </w:tcPr>
          <w:p>
            <w:pPr>
              <w:jc w:val="center"/>
            </w:pPr>
            <w:r>
              <w:rPr>
                <w:sz w:val="20"/>
              </w:rPr>
              <w:t>19</w:t>
            </w:r>
          </w:p>
        </w:tc>
        <w:tc>
          <w:tcPr>
            <w:tcW w:type="dxa" w:w="1881"/>
            <w:shd w:fill="D1FAE5" w:val="clear"/>
          </w:tcPr>
          <w:p>
            <w:pPr>
              <w:jc w:val="center"/>
            </w:pPr>
            <w:r>
              <w:rPr>
                <w:sz w:val="20"/>
              </w:rPr>
              <w:t>0</w:t>
            </w:r>
          </w:p>
        </w:tc>
      </w:tr>
      <w:tr>
        <w:tc>
          <w:tcPr>
            <w:tcW w:type="dxa" w:w="1881"/>
            <w:shd w:fill="D1FAE5" w:val="clear"/>
          </w:tcPr>
          <w:p>
            <w:pPr>
              <w:jc w:val="left"/>
            </w:pPr>
            <w:r>
              <w:rPr>
                <w:sz w:val="20"/>
              </w:rPr>
              <w:t>NH3</w:t>
            </w:r>
          </w:p>
        </w:tc>
        <w:tc>
          <w:tcPr>
            <w:tcW w:type="dxa" w:w="1881"/>
            <w:shd w:fill="D1FAE5" w:val="clear"/>
          </w:tcPr>
          <w:p>
            <w:pPr>
              <w:jc w:val="center"/>
            </w:pPr>
            <w:r>
              <w:rPr>
                <w:sz w:val="20"/>
              </w:rPr>
              <w:t>0.991</w:t>
            </w:r>
          </w:p>
        </w:tc>
        <w:tc>
          <w:tcPr>
            <w:tcW w:type="dxa" w:w="1881"/>
            <w:shd w:fill="D1FAE5" w:val="clear"/>
          </w:tcPr>
          <w:p>
            <w:pPr>
              <w:jc w:val="center"/>
            </w:pPr>
            <w:r>
              <w:rPr>
                <w:sz w:val="20"/>
              </w:rPr>
              <w:t>HIGH</w:t>
            </w:r>
          </w:p>
        </w:tc>
        <w:tc>
          <w:tcPr>
            <w:tcW w:type="dxa" w:w="1881"/>
            <w:shd w:fill="D1FAE5" w:val="clear"/>
          </w:tcPr>
          <w:p>
            <w:pPr>
              <w:jc w:val="center"/>
            </w:pPr>
            <w:r>
              <w:rPr>
                <w:sz w:val="20"/>
              </w:rPr>
              <w:t>13</w:t>
            </w:r>
          </w:p>
        </w:tc>
        <w:tc>
          <w:tcPr>
            <w:tcW w:type="dxa" w:w="1881"/>
            <w:shd w:fill="D1FAE5" w:val="clear"/>
          </w:tcPr>
          <w:p>
            <w:pPr>
              <w:jc w:val="center"/>
            </w:pPr>
            <w:r>
              <w:rPr>
                <w:sz w:val="20"/>
              </w:rPr>
              <w:t>0</w:t>
            </w:r>
          </w:p>
        </w:tc>
      </w:tr>
      <w:tr>
        <w:tc>
          <w:tcPr>
            <w:tcW w:type="dxa" w:w="1881"/>
            <w:shd w:fill="D1FAE5" w:val="clear"/>
          </w:tcPr>
          <w:p>
            <w:pPr>
              <w:jc w:val="left"/>
            </w:pPr>
            <w:r>
              <w:rPr>
                <w:sz w:val="20"/>
              </w:rPr>
              <w:t>SO2</w:t>
            </w:r>
          </w:p>
        </w:tc>
        <w:tc>
          <w:tcPr>
            <w:tcW w:type="dxa" w:w="1881"/>
            <w:shd w:fill="D1FAE5" w:val="clear"/>
          </w:tcPr>
          <w:p>
            <w:pPr>
              <w:jc w:val="center"/>
            </w:pPr>
            <w:r>
              <w:rPr>
                <w:sz w:val="20"/>
              </w:rPr>
              <w:t>0.991</w:t>
            </w:r>
          </w:p>
        </w:tc>
        <w:tc>
          <w:tcPr>
            <w:tcW w:type="dxa" w:w="1881"/>
            <w:shd w:fill="D1FAE5" w:val="clear"/>
          </w:tcPr>
          <w:p>
            <w:pPr>
              <w:jc w:val="center"/>
            </w:pPr>
            <w:r>
              <w:rPr>
                <w:sz w:val="20"/>
              </w:rPr>
              <w:t>HIGH</w:t>
            </w:r>
          </w:p>
        </w:tc>
        <w:tc>
          <w:tcPr>
            <w:tcW w:type="dxa" w:w="1881"/>
            <w:shd w:fill="D1FAE5" w:val="clear"/>
          </w:tcPr>
          <w:p>
            <w:pPr>
              <w:jc w:val="center"/>
            </w:pPr>
            <w:r>
              <w:rPr>
                <w:sz w:val="20"/>
              </w:rPr>
              <w:t>14</w:t>
            </w:r>
          </w:p>
        </w:tc>
        <w:tc>
          <w:tcPr>
            <w:tcW w:type="dxa" w:w="1881"/>
            <w:shd w:fill="D1FAE5" w:val="clear"/>
          </w:tcPr>
          <w:p>
            <w:pPr>
              <w:jc w:val="center"/>
            </w:pPr>
            <w:r>
              <w:rPr>
                <w:sz w:val="20"/>
              </w:rPr>
              <w:t>0</w:t>
            </w:r>
          </w:p>
        </w:tc>
      </w:tr>
      <w:tr>
        <w:tc>
          <w:tcPr>
            <w:tcW w:type="dxa" w:w="1881"/>
            <w:shd w:fill="D1FAE5" w:val="clear"/>
          </w:tcPr>
          <w:p>
            <w:pPr>
              <w:jc w:val="left"/>
            </w:pPr>
            <w:r>
              <w:rPr>
                <w:sz w:val="20"/>
              </w:rPr>
              <w:t>Xylene</w:t>
            </w:r>
          </w:p>
        </w:tc>
        <w:tc>
          <w:tcPr>
            <w:tcW w:type="dxa" w:w="1881"/>
            <w:shd w:fill="D1FAE5" w:val="clear"/>
          </w:tcPr>
          <w:p>
            <w:pPr>
              <w:jc w:val="center"/>
            </w:pPr>
            <w:r>
              <w:rPr>
                <w:sz w:val="20"/>
              </w:rPr>
              <w:t>0.923</w:t>
            </w:r>
          </w:p>
        </w:tc>
        <w:tc>
          <w:tcPr>
            <w:tcW w:type="dxa" w:w="1881"/>
            <w:shd w:fill="D1FAE5" w:val="clear"/>
          </w:tcPr>
          <w:p>
            <w:pPr>
              <w:jc w:val="center"/>
            </w:pPr>
            <w:r>
              <w:rPr>
                <w:sz w:val="20"/>
              </w:rPr>
              <w:t>HIGH</w:t>
            </w:r>
          </w:p>
        </w:tc>
        <w:tc>
          <w:tcPr>
            <w:tcW w:type="dxa" w:w="1881"/>
            <w:shd w:fill="D1FAE5" w:val="clear"/>
          </w:tcPr>
          <w:p>
            <w:pPr>
              <w:jc w:val="center"/>
            </w:pPr>
            <w:r>
              <w:rPr>
                <w:sz w:val="20"/>
              </w:rPr>
              <w:t>15</w:t>
            </w:r>
          </w:p>
        </w:tc>
        <w:tc>
          <w:tcPr>
            <w:tcW w:type="dxa" w:w="1881"/>
            <w:shd w:fill="D1FAE5" w:val="clear"/>
          </w:tcPr>
          <w:p>
            <w:pPr>
              <w:jc w:val="center"/>
            </w:pPr>
            <w:r>
              <w:rPr>
                <w:sz w:val="20"/>
              </w:rPr>
              <w:t>0</w:t>
            </w:r>
          </w:p>
        </w:tc>
      </w:tr>
      <w:tr>
        <w:tc>
          <w:tcPr>
            <w:tcW w:type="dxa" w:w="1881"/>
            <w:shd w:fill="FFE4E6" w:val="clear"/>
          </w:tcPr>
          <w:p>
            <w:pPr>
              <w:jc w:val="left"/>
            </w:pPr>
            <w:r>
              <w:rPr>
                <w:sz w:val="20"/>
              </w:rPr>
              <w:t>CO</w:t>
            </w:r>
          </w:p>
        </w:tc>
        <w:tc>
          <w:tcPr>
            <w:tcW w:type="dxa" w:w="1881"/>
            <w:shd w:fill="FFE4E6" w:val="clear"/>
          </w:tcPr>
          <w:p>
            <w:pPr>
              <w:jc w:val="center"/>
            </w:pPr>
            <w:r>
              <w:rPr>
                <w:sz w:val="20"/>
              </w:rPr>
              <w:t>0.000</w:t>
            </w:r>
          </w:p>
        </w:tc>
        <w:tc>
          <w:tcPr>
            <w:tcW w:type="dxa" w:w="1881"/>
            <w:shd w:fill="FFE4E6" w:val="clear"/>
          </w:tcPr>
          <w:p>
            <w:pPr>
              <w:jc w:val="center"/>
            </w:pPr>
            <w:r>
              <w:rPr>
                <w:sz w:val="20"/>
              </w:rPr>
              <w:t>LOW</w:t>
            </w:r>
          </w:p>
        </w:tc>
        <w:tc>
          <w:tcPr>
            <w:tcW w:type="dxa" w:w="1881"/>
            <w:shd w:fill="FFE4E6" w:val="clear"/>
          </w:tcPr>
          <w:p>
            <w:pPr>
              <w:jc w:val="center"/>
            </w:pPr>
            <w:r>
              <w:rPr>
                <w:sz w:val="20"/>
              </w:rPr>
              <w:t>N/A</w:t>
            </w:r>
          </w:p>
        </w:tc>
        <w:tc>
          <w:tcPr>
            <w:tcW w:type="dxa" w:w="1881"/>
            <w:shd w:fill="FFE4E6" w:val="clear"/>
          </w:tcPr>
          <w:p>
            <w:pPr>
              <w:jc w:val="center"/>
            </w:pPr>
            <w:r>
              <w:rPr>
                <w:sz w:val="20"/>
              </w:rPr>
              <w:t>0</w:t>
            </w:r>
          </w:p>
        </w:tc>
      </w:tr>
      <w:tr>
        <w:tc>
          <w:tcPr>
            <w:tcW w:type="dxa" w:w="1881"/>
            <w:shd w:fill="FFE4E6" w:val="clear"/>
          </w:tcPr>
          <w:p>
            <w:pPr>
              <w:jc w:val="left"/>
            </w:pPr>
            <w:r>
              <w:rPr>
                <w:sz w:val="20"/>
              </w:rPr>
              <w:t>Eth_Benzene</w:t>
            </w:r>
          </w:p>
        </w:tc>
        <w:tc>
          <w:tcPr>
            <w:tcW w:type="dxa" w:w="1881"/>
            <w:shd w:fill="FFE4E6" w:val="clear"/>
          </w:tcPr>
          <w:p>
            <w:pPr>
              <w:jc w:val="center"/>
            </w:pPr>
            <w:r>
              <w:rPr>
                <w:sz w:val="20"/>
              </w:rPr>
              <w:t>0.000</w:t>
            </w:r>
          </w:p>
        </w:tc>
        <w:tc>
          <w:tcPr>
            <w:tcW w:type="dxa" w:w="1881"/>
            <w:shd w:fill="FFE4E6" w:val="clear"/>
          </w:tcPr>
          <w:p>
            <w:pPr>
              <w:jc w:val="center"/>
            </w:pPr>
            <w:r>
              <w:rPr>
                <w:sz w:val="20"/>
              </w:rPr>
              <w:t>LOW</w:t>
            </w:r>
          </w:p>
        </w:tc>
        <w:tc>
          <w:tcPr>
            <w:tcW w:type="dxa" w:w="1881"/>
            <w:shd w:fill="FFE4E6" w:val="clear"/>
          </w:tcPr>
          <w:p>
            <w:pPr>
              <w:jc w:val="center"/>
            </w:pPr>
            <w:r>
              <w:rPr>
                <w:sz w:val="20"/>
              </w:rPr>
              <w:t>N/A</w:t>
            </w:r>
          </w:p>
        </w:tc>
        <w:tc>
          <w:tcPr>
            <w:tcW w:type="dxa" w:w="1881"/>
            <w:shd w:fill="FFE4E6" w:val="clear"/>
          </w:tcPr>
          <w:p>
            <w:pPr>
              <w:jc w:val="center"/>
            </w:pPr>
            <w:r>
              <w:rPr>
                <w:sz w:val="20"/>
              </w:rPr>
              <w:t>0</w:t>
            </w:r>
          </w:p>
        </w:tc>
      </w:tr>
      <w:tr>
        <w:tc>
          <w:tcPr>
            <w:tcW w:type="dxa" w:w="1881"/>
            <w:shd w:fill="FFE4E6" w:val="clear"/>
          </w:tcPr>
          <w:p>
            <w:pPr>
              <w:jc w:val="left"/>
            </w:pPr>
            <w:r>
              <w:rPr>
                <w:sz w:val="20"/>
              </w:rPr>
              <w:t>NO</w:t>
            </w:r>
          </w:p>
        </w:tc>
        <w:tc>
          <w:tcPr>
            <w:tcW w:type="dxa" w:w="1881"/>
            <w:shd w:fill="FFE4E6" w:val="clear"/>
          </w:tcPr>
          <w:p>
            <w:pPr>
              <w:jc w:val="center"/>
            </w:pPr>
            <w:r>
              <w:rPr>
                <w:sz w:val="20"/>
              </w:rPr>
              <w:t>0.000</w:t>
            </w:r>
          </w:p>
        </w:tc>
        <w:tc>
          <w:tcPr>
            <w:tcW w:type="dxa" w:w="1881"/>
            <w:shd w:fill="FFE4E6" w:val="clear"/>
          </w:tcPr>
          <w:p>
            <w:pPr>
              <w:jc w:val="center"/>
            </w:pPr>
            <w:r>
              <w:rPr>
                <w:sz w:val="20"/>
              </w:rPr>
              <w:t>LOW</w:t>
            </w:r>
          </w:p>
        </w:tc>
        <w:tc>
          <w:tcPr>
            <w:tcW w:type="dxa" w:w="1881"/>
            <w:shd w:fill="FFE4E6" w:val="clear"/>
          </w:tcPr>
          <w:p>
            <w:pPr>
              <w:jc w:val="center"/>
            </w:pPr>
            <w:r>
              <w:rPr>
                <w:sz w:val="20"/>
              </w:rPr>
              <w:t>N/A</w:t>
            </w:r>
          </w:p>
        </w:tc>
        <w:tc>
          <w:tcPr>
            <w:tcW w:type="dxa" w:w="1881"/>
            <w:shd w:fill="FFE4E6" w:val="clear"/>
          </w:tcPr>
          <w:p>
            <w:pPr>
              <w:jc w:val="center"/>
            </w:pPr>
            <w:r>
              <w:rPr>
                <w:sz w:val="20"/>
              </w:rPr>
              <w:t>0</w:t>
            </w:r>
          </w:p>
        </w:tc>
      </w:tr>
      <w:tr>
        <w:tc>
          <w:tcPr>
            <w:tcW w:type="dxa" w:w="1881"/>
            <w:shd w:fill="FFE4E6" w:val="clear"/>
          </w:tcPr>
          <w:p>
            <w:pPr>
              <w:jc w:val="left"/>
            </w:pPr>
            <w:r>
              <w:rPr>
                <w:sz w:val="20"/>
              </w:rPr>
              <w:t>wind_dir_100m</w:t>
            </w:r>
          </w:p>
        </w:tc>
        <w:tc>
          <w:tcPr>
            <w:tcW w:type="dxa" w:w="1881"/>
            <w:shd w:fill="FFE4E6" w:val="clear"/>
          </w:tcPr>
          <w:p>
            <w:pPr>
              <w:jc w:val="center"/>
            </w:pPr>
            <w:r>
              <w:rPr>
                <w:sz w:val="20"/>
              </w:rPr>
              <w:t>0.000</w:t>
            </w:r>
          </w:p>
        </w:tc>
        <w:tc>
          <w:tcPr>
            <w:tcW w:type="dxa" w:w="1881"/>
            <w:shd w:fill="FFE4E6" w:val="clear"/>
          </w:tcPr>
          <w:p>
            <w:pPr>
              <w:jc w:val="center"/>
            </w:pPr>
            <w:r>
              <w:rPr>
                <w:sz w:val="20"/>
              </w:rPr>
              <w:t>LOW</w:t>
            </w:r>
          </w:p>
        </w:tc>
        <w:tc>
          <w:tcPr>
            <w:tcW w:type="dxa" w:w="1881"/>
            <w:shd w:fill="FFE4E6" w:val="clear"/>
          </w:tcPr>
          <w:p>
            <w:pPr>
              <w:jc w:val="center"/>
            </w:pPr>
            <w:r>
              <w:rPr>
                <w:sz w:val="20"/>
              </w:rPr>
              <w:t>N/A</w:t>
            </w:r>
          </w:p>
        </w:tc>
        <w:tc>
          <w:tcPr>
            <w:tcW w:type="dxa" w:w="1881"/>
            <w:shd w:fill="FFE4E6" w:val="clear"/>
          </w:tcPr>
          <w:p>
            <w:pPr>
              <w:jc w:val="center"/>
            </w:pPr>
            <w:r>
              <w:rPr>
                <w:sz w:val="20"/>
              </w:rPr>
              <w:t>0</w:t>
            </w:r>
          </w:p>
        </w:tc>
      </w:tr>
      <w:tr>
        <w:tc>
          <w:tcPr>
            <w:tcW w:type="dxa" w:w="1881"/>
            <w:shd w:fill="FFE4E6" w:val="clear"/>
          </w:tcPr>
          <w:p>
            <w:pPr>
              <w:jc w:val="left"/>
            </w:pPr>
            <w:r>
              <w:rPr>
                <w:sz w:val="20"/>
              </w:rPr>
              <w:t>wind_speed_100m</w:t>
            </w:r>
          </w:p>
        </w:tc>
        <w:tc>
          <w:tcPr>
            <w:tcW w:type="dxa" w:w="1881"/>
            <w:shd w:fill="FFE4E6" w:val="clear"/>
          </w:tcPr>
          <w:p>
            <w:pPr>
              <w:jc w:val="center"/>
            </w:pPr>
            <w:r>
              <w:rPr>
                <w:sz w:val="20"/>
              </w:rPr>
              <w:t>0.000</w:t>
            </w:r>
          </w:p>
        </w:tc>
        <w:tc>
          <w:tcPr>
            <w:tcW w:type="dxa" w:w="1881"/>
            <w:shd w:fill="FFE4E6" w:val="clear"/>
          </w:tcPr>
          <w:p>
            <w:pPr>
              <w:jc w:val="center"/>
            </w:pPr>
            <w:r>
              <w:rPr>
                <w:sz w:val="20"/>
              </w:rPr>
              <w:t>LOW</w:t>
            </w:r>
          </w:p>
        </w:tc>
        <w:tc>
          <w:tcPr>
            <w:tcW w:type="dxa" w:w="1881"/>
            <w:shd w:fill="FFE4E6" w:val="clear"/>
          </w:tcPr>
          <w:p>
            <w:pPr>
              <w:jc w:val="center"/>
            </w:pPr>
            <w:r>
              <w:rPr>
                <w:sz w:val="20"/>
              </w:rPr>
              <w:t>N/A</w:t>
            </w:r>
          </w:p>
        </w:tc>
        <w:tc>
          <w:tcPr>
            <w:tcW w:type="dxa" w:w="1881"/>
            <w:shd w:fill="FFE4E6" w:val="clear"/>
          </w:tcPr>
          <w:p>
            <w:pPr>
              <w:jc w:val="center"/>
            </w:pPr>
            <w:r>
              <w:rPr>
                <w:sz w:val="20"/>
              </w:rPr>
              <w:t>0</w:t>
            </w:r>
          </w:p>
        </w:tc>
      </w:tr>
    </w:tbl>
    <w:p>
      <w:pPr>
        <w:jc w:val="center"/>
      </w:pPr>
      <w:r>
        <w:drawing>
          <wp:inline xmlns:a="http://schemas.openxmlformats.org/drawingml/2006/main" xmlns:pic="http://schemas.openxmlformats.org/drawingml/2006/picture">
            <wp:extent cx="5669280" cy="3845037"/>
            <wp:docPr id="1" name="Picture 1"/>
            <wp:cNvGraphicFramePr>
              <a:graphicFrameLocks noChangeAspect="1"/>
            </wp:cNvGraphicFramePr>
            <a:graphic>
              <a:graphicData uri="http://schemas.openxmlformats.org/drawingml/2006/picture">
                <pic:pic>
                  <pic:nvPicPr>
                    <pic:cNvPr id="0" name="chart6_quality.png"/>
                    <pic:cNvPicPr/>
                  </pic:nvPicPr>
                  <pic:blipFill>
                    <a:blip r:embed="rId9"/>
                    <a:stretch>
                      <a:fillRect/>
                    </a:stretch>
                  </pic:blipFill>
                  <pic:spPr>
                    <a:xfrm>
                      <a:off x="0" y="0"/>
                      <a:ext cx="5669280" cy="3845037"/>
                    </a:xfrm>
                    <a:prstGeom prst="rect"/>
                  </pic:spPr>
                </pic:pic>
              </a:graphicData>
            </a:graphic>
          </wp:inline>
        </w:drawing>
      </w:r>
    </w:p>
    <w:p>
      <w:pPr>
        <w:spacing w:before="40" w:after="200"/>
        <w:jc w:val="center"/>
      </w:pPr>
      <w:r>
        <w:rPr>
          <w:i/>
          <w:color w:val="6B7280"/>
          <w:sz w:val="18"/>
        </w:rPr>
        <w:t>Figure — Q(D) = N_v/N_total per variable (Eq. 11). Confidence flags: HIGH ≥ 0.90, MODERATE ≥ 0.70, LOW &lt; 0.70.</w:t>
      </w:r>
    </w:p>
    <w:p>
      <w:pPr>
        <w:spacing w:before="80" w:after="160"/>
        <w:ind w:left="280"/>
      </w:pPr>
      <w:r>
        <w:rPr>
          <w:b/>
          <w:color w:val="1A6B72"/>
          <w:sz w:val="19"/>
        </w:rPr>
        <w:t xml:space="preserve">► Chart Insight:  </w:t>
      </w:r>
      <w:r>
        <w:rPr>
          <w:i/>
          <w:color w:val="1F2937"/>
          <w:sz w:val="19"/>
        </w:rPr>
        <w:t>Overall data completeness Q(D) = 0.744 (MODERATE). Best quality: humidity_pct (Q = 1.000). Lowest quality: CO (Q = 0.000). Variables with LOW confidence (Q &lt; 0.7): CO, Eth_Benzene, NO, wind_dir_100m, wind_speed_100m. Q(D) measures completeness only — not sensor calibration accuracy. Days with Q &lt; 0.50 are excluded from baseline window calculations.</w:t>
      </w:r>
    </w:p>
    <w:p>
      <w:r>
        <w:br w:type="page"/>
      </w:r>
    </w:p>
    <w:p>
      <w:pPr>
        <w:pStyle w:val="Heading1"/>
        <w:spacing w:before="360" w:after="160"/>
      </w:pPr>
      <w:r>
        <w:rPr>
          <w:color w:val="1A2C4E"/>
          <w:sz w:val="36"/>
        </w:rPr>
        <w:t>Section 02 — Annual Statistics Summary</w:t>
      </w:r>
    </w:p>
    <w:p>
      <w:pPr>
        <w:spacing w:before="60" w:after="120"/>
      </w:pPr>
      <w:r>
        <w:rPr>
          <w:i w:val="0"/>
          <w:sz w:val="22"/>
        </w:rPr>
        <w:t>The annual air quality summary for Gurugram reveals that the top pollutant, Benzene, consistently exceeded its threshold value throughout the year, with 366 days of exceedance recorded. The overall data quality score indicates a moderate level of confidence in the dataset, with an average quality score (Q) of 0.7442 across all variables. Notably, the correlation analysis reveals significant associations between various pollutants and meteorological parameters, such as humidity and wind speed. Despite these correlations, it is essential to emphasize that causation cannot be inferred from association alone.</w:t>
      </w:r>
    </w:p>
    <w:p>
      <w:pPr>
        <w:pStyle w:val="Heading2"/>
        <w:spacing w:before="240" w:after="120"/>
      </w:pPr>
      <w:r>
        <w:rPr>
          <w:color w:val="2557A7"/>
          <w:sz w:val="28"/>
        </w:rPr>
        <w:t>Formal Statistical Operators: A(D_v), ζ_d, δ_d (Eqs. 3–10)</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1A2C4E" w:val="clear"/>
          </w:tcPr>
          <w:p>
            <w:pPr>
              <w:jc w:val="center"/>
            </w:pPr>
            <w:r>
              <w:rPr>
                <w:b/>
                <w:color w:val="FFFFFF"/>
                <w:sz w:val="18"/>
              </w:rPr>
              <w:t>Variable</w:t>
            </w:r>
          </w:p>
        </w:tc>
        <w:tc>
          <w:tcPr>
            <w:tcW w:type="dxa" w:w="1045"/>
            <w:shd w:fill="1A2C4E" w:val="clear"/>
          </w:tcPr>
          <w:p>
            <w:pPr>
              <w:jc w:val="center"/>
            </w:pPr>
            <w:r>
              <w:rPr>
                <w:b/>
                <w:color w:val="FFFFFF"/>
                <w:sz w:val="18"/>
              </w:rPr>
              <w:t>Annual Mean x̄</w:t>
            </w:r>
          </w:p>
        </w:tc>
        <w:tc>
          <w:tcPr>
            <w:tcW w:type="dxa" w:w="1045"/>
            <w:shd w:fill="1A2C4E" w:val="clear"/>
          </w:tcPr>
          <w:p>
            <w:pPr>
              <w:jc w:val="center"/>
            </w:pPr>
            <w:r>
              <w:rPr>
                <w:b/>
                <w:color w:val="FFFFFF"/>
                <w:sz w:val="18"/>
              </w:rPr>
              <w:t>Std σ</w:t>
            </w:r>
          </w:p>
        </w:tc>
        <w:tc>
          <w:tcPr>
            <w:tcW w:type="dxa" w:w="1045"/>
            <w:shd w:fill="1A2C4E" w:val="clear"/>
          </w:tcPr>
          <w:p>
            <w:pPr>
              <w:jc w:val="center"/>
            </w:pPr>
            <w:r>
              <w:rPr>
                <w:b/>
                <w:color w:val="FFFFFF"/>
                <w:sz w:val="18"/>
              </w:rPr>
              <w:t>Max</w:t>
            </w:r>
          </w:p>
        </w:tc>
        <w:tc>
          <w:tcPr>
            <w:tcW w:type="dxa" w:w="1045"/>
            <w:shd w:fill="1A2C4E" w:val="clear"/>
          </w:tcPr>
          <w:p>
            <w:pPr>
              <w:jc w:val="center"/>
            </w:pPr>
            <w:r>
              <w:rPr>
                <w:b/>
                <w:color w:val="FFFFFF"/>
                <w:sz w:val="18"/>
              </w:rPr>
              <w:t>Min</w:t>
            </w:r>
          </w:p>
        </w:tc>
        <w:tc>
          <w:tcPr>
            <w:tcW w:type="dxa" w:w="1045"/>
            <w:shd w:fill="1A2C4E" w:val="clear"/>
          </w:tcPr>
          <w:p>
            <w:pPr>
              <w:jc w:val="center"/>
            </w:pPr>
            <w:r>
              <w:rPr>
                <w:b/>
                <w:color w:val="FFFFFF"/>
                <w:sz w:val="18"/>
              </w:rPr>
              <w:t>Threshold θ</w:t>
            </w:r>
          </w:p>
        </w:tc>
        <w:tc>
          <w:tcPr>
            <w:tcW w:type="dxa" w:w="1045"/>
            <w:shd w:fill="1A2C4E" w:val="clear"/>
          </w:tcPr>
          <w:p>
            <w:pPr>
              <w:jc w:val="center"/>
            </w:pPr>
            <w:r>
              <w:rPr>
                <w:b/>
                <w:color w:val="FFFFFF"/>
                <w:sz w:val="18"/>
              </w:rPr>
              <w:t>Exceed Days</w:t>
            </w:r>
          </w:p>
        </w:tc>
        <w:tc>
          <w:tcPr>
            <w:tcW w:type="dxa" w:w="1045"/>
            <w:shd w:fill="1A2C4E" w:val="clear"/>
          </w:tcPr>
          <w:p>
            <w:pPr>
              <w:jc w:val="center"/>
            </w:pPr>
            <w:r>
              <w:rPr>
                <w:b/>
                <w:color w:val="FFFFFF"/>
                <w:sz w:val="18"/>
              </w:rPr>
              <w:t>Anomaly Days</w:t>
            </w:r>
          </w:p>
        </w:tc>
        <w:tc>
          <w:tcPr>
            <w:tcW w:type="dxa" w:w="1045"/>
            <w:shd w:fill="1A2C4E" w:val="clear"/>
          </w:tcPr>
          <w:p>
            <w:pPr>
              <w:jc w:val="center"/>
            </w:pPr>
            <w:r>
              <w:rPr>
                <w:b/>
                <w:color w:val="FFFFFF"/>
                <w:sz w:val="18"/>
              </w:rPr>
              <w:t>Avg ζ_d</w:t>
            </w:r>
          </w:p>
        </w:tc>
      </w:tr>
      <w:tr>
        <w:tc>
          <w:tcPr>
            <w:tcW w:type="dxa" w:w="1045"/>
            <w:shd w:fill="FFE4E6" w:val="clear"/>
          </w:tcPr>
          <w:p>
            <w:pPr>
              <w:jc w:val="left"/>
            </w:pPr>
            <w:r>
              <w:rPr>
                <w:sz w:val="18"/>
              </w:rPr>
              <w:t>PM10</w:t>
            </w:r>
          </w:p>
        </w:tc>
        <w:tc>
          <w:tcPr>
            <w:tcW w:type="dxa" w:w="1045"/>
            <w:shd w:fill="FFE4E6" w:val="clear"/>
          </w:tcPr>
          <w:p>
            <w:pPr>
              <w:jc w:val="center"/>
            </w:pPr>
            <w:r>
              <w:rPr>
                <w:sz w:val="18"/>
              </w:rPr>
              <w:t>185.10</w:t>
            </w:r>
          </w:p>
        </w:tc>
        <w:tc>
          <w:tcPr>
            <w:tcW w:type="dxa" w:w="1045"/>
            <w:shd w:fill="FFE4E6" w:val="clear"/>
          </w:tcPr>
          <w:p>
            <w:pPr>
              <w:jc w:val="center"/>
            </w:pPr>
            <w:r>
              <w:rPr>
                <w:sz w:val="18"/>
              </w:rPr>
              <w:t>83.80</w:t>
            </w:r>
          </w:p>
        </w:tc>
        <w:tc>
          <w:tcPr>
            <w:tcW w:type="dxa" w:w="1045"/>
            <w:shd w:fill="FFE4E6" w:val="clear"/>
          </w:tcPr>
          <w:p>
            <w:pPr>
              <w:jc w:val="center"/>
            </w:pPr>
            <w:r>
              <w:rPr>
                <w:sz w:val="18"/>
              </w:rPr>
              <w:t>501.65</w:t>
            </w:r>
          </w:p>
        </w:tc>
        <w:tc>
          <w:tcPr>
            <w:tcW w:type="dxa" w:w="1045"/>
            <w:shd w:fill="FFE4E6" w:val="clear"/>
          </w:tcPr>
          <w:p>
            <w:pPr>
              <w:jc w:val="center"/>
            </w:pPr>
            <w:r>
              <w:rPr>
                <w:sz w:val="18"/>
              </w:rPr>
              <w:t>39.69</w:t>
            </w:r>
          </w:p>
        </w:tc>
        <w:tc>
          <w:tcPr>
            <w:tcW w:type="dxa" w:w="1045"/>
            <w:shd w:fill="FFE4E6" w:val="clear"/>
          </w:tcPr>
          <w:p>
            <w:pPr>
              <w:jc w:val="center"/>
            </w:pPr>
            <w:r>
              <w:rPr>
                <w:sz w:val="18"/>
              </w:rPr>
              <w:t>45.0</w:t>
            </w:r>
          </w:p>
        </w:tc>
        <w:tc>
          <w:tcPr>
            <w:tcW w:type="dxa" w:w="1045"/>
            <w:shd w:fill="FFE4E6" w:val="clear"/>
          </w:tcPr>
          <w:p>
            <w:pPr>
              <w:jc w:val="center"/>
            </w:pPr>
            <w:r>
              <w:rPr>
                <w:sz w:val="18"/>
              </w:rPr>
              <w:t>364 (99.5%)</w:t>
            </w:r>
          </w:p>
        </w:tc>
        <w:tc>
          <w:tcPr>
            <w:tcW w:type="dxa" w:w="1045"/>
            <w:shd w:fill="FFE4E6" w:val="clear"/>
          </w:tcPr>
          <w:p>
            <w:pPr>
              <w:jc w:val="center"/>
            </w:pPr>
            <w:r>
              <w:rPr>
                <w:sz w:val="18"/>
              </w:rPr>
              <w:t>8</w:t>
            </w:r>
          </w:p>
        </w:tc>
        <w:tc>
          <w:tcPr>
            <w:tcW w:type="dxa" w:w="1045"/>
            <w:shd w:fill="FFE4E6" w:val="clear"/>
          </w:tcPr>
          <w:p>
            <w:pPr>
              <w:jc w:val="center"/>
            </w:pPr>
            <w:r>
              <w:rPr>
                <w:sz w:val="18"/>
              </w:rPr>
              <w:t>0.01</w:t>
            </w:r>
          </w:p>
        </w:tc>
      </w:tr>
      <w:tr>
        <w:tc>
          <w:tcPr>
            <w:tcW w:type="dxa" w:w="1045"/>
            <w:shd w:fill="FEF3C7" w:val="clear"/>
          </w:tcPr>
          <w:p>
            <w:pPr>
              <w:jc w:val="left"/>
            </w:pPr>
            <w:r>
              <w:rPr>
                <w:sz w:val="18"/>
              </w:rPr>
              <w:t>NO2</w:t>
            </w:r>
          </w:p>
        </w:tc>
        <w:tc>
          <w:tcPr>
            <w:tcW w:type="dxa" w:w="1045"/>
            <w:shd w:fill="FEF3C7" w:val="clear"/>
          </w:tcPr>
          <w:p>
            <w:pPr>
              <w:jc w:val="center"/>
            </w:pPr>
            <w:r>
              <w:rPr>
                <w:sz w:val="18"/>
              </w:rPr>
              <w:t>17.00</w:t>
            </w:r>
          </w:p>
        </w:tc>
        <w:tc>
          <w:tcPr>
            <w:tcW w:type="dxa" w:w="1045"/>
            <w:shd w:fill="FEF3C7" w:val="clear"/>
          </w:tcPr>
          <w:p>
            <w:pPr>
              <w:jc w:val="center"/>
            </w:pPr>
            <w:r>
              <w:rPr>
                <w:sz w:val="18"/>
              </w:rPr>
              <w:t>4.89</w:t>
            </w:r>
          </w:p>
        </w:tc>
        <w:tc>
          <w:tcPr>
            <w:tcW w:type="dxa" w:w="1045"/>
            <w:shd w:fill="FEF3C7" w:val="clear"/>
          </w:tcPr>
          <w:p>
            <w:pPr>
              <w:jc w:val="center"/>
            </w:pPr>
            <w:r>
              <w:rPr>
                <w:sz w:val="18"/>
              </w:rPr>
              <w:t>32.95</w:t>
            </w:r>
          </w:p>
        </w:tc>
        <w:tc>
          <w:tcPr>
            <w:tcW w:type="dxa" w:w="1045"/>
            <w:shd w:fill="FEF3C7" w:val="clear"/>
          </w:tcPr>
          <w:p>
            <w:pPr>
              <w:jc w:val="center"/>
            </w:pPr>
            <w:r>
              <w:rPr>
                <w:sz w:val="18"/>
              </w:rPr>
              <w:t>8.96</w:t>
            </w:r>
          </w:p>
        </w:tc>
        <w:tc>
          <w:tcPr>
            <w:tcW w:type="dxa" w:w="1045"/>
            <w:shd w:fill="FEF3C7" w:val="clear"/>
          </w:tcPr>
          <w:p>
            <w:pPr>
              <w:jc w:val="center"/>
            </w:pPr>
            <w:r>
              <w:rPr>
                <w:sz w:val="18"/>
              </w:rPr>
              <w:t>25.0</w:t>
            </w:r>
          </w:p>
        </w:tc>
        <w:tc>
          <w:tcPr>
            <w:tcW w:type="dxa" w:w="1045"/>
            <w:shd w:fill="FEF3C7" w:val="clear"/>
          </w:tcPr>
          <w:p>
            <w:pPr>
              <w:jc w:val="center"/>
            </w:pPr>
            <w:r>
              <w:rPr>
                <w:sz w:val="18"/>
              </w:rPr>
              <w:t>25 (6.8%)</w:t>
            </w:r>
          </w:p>
        </w:tc>
        <w:tc>
          <w:tcPr>
            <w:tcW w:type="dxa" w:w="1045"/>
            <w:shd w:fill="FEF3C7" w:val="clear"/>
          </w:tcPr>
          <w:p>
            <w:pPr>
              <w:jc w:val="center"/>
            </w:pPr>
            <w:r>
              <w:rPr>
                <w:sz w:val="18"/>
              </w:rPr>
              <w:t>7</w:t>
            </w:r>
          </w:p>
        </w:tc>
        <w:tc>
          <w:tcPr>
            <w:tcW w:type="dxa" w:w="1045"/>
            <w:shd w:fill="FEF3C7" w:val="clear"/>
          </w:tcPr>
          <w:p>
            <w:pPr>
              <w:jc w:val="center"/>
            </w:pPr>
            <w:r>
              <w:rPr>
                <w:sz w:val="18"/>
              </w:rPr>
              <w:t>-0.04</w:t>
            </w:r>
          </w:p>
        </w:tc>
      </w:tr>
      <w:tr>
        <w:tc>
          <w:tcPr>
            <w:tcW w:type="dxa" w:w="1045"/>
            <w:shd w:fill="DCE8F5" w:val="clear"/>
          </w:tcPr>
          <w:p>
            <w:pPr>
              <w:jc w:val="left"/>
            </w:pPr>
            <w:r>
              <w:rPr>
                <w:sz w:val="18"/>
              </w:rPr>
              <w:t>NOx</w:t>
            </w:r>
          </w:p>
        </w:tc>
        <w:tc>
          <w:tcPr>
            <w:tcW w:type="dxa" w:w="1045"/>
            <w:shd w:fill="DCE8F5" w:val="clear"/>
          </w:tcPr>
          <w:p>
            <w:pPr>
              <w:jc w:val="center"/>
            </w:pPr>
            <w:r>
              <w:rPr>
                <w:sz w:val="18"/>
              </w:rPr>
              <w:t>31.60</w:t>
            </w:r>
          </w:p>
        </w:tc>
        <w:tc>
          <w:tcPr>
            <w:tcW w:type="dxa" w:w="1045"/>
            <w:shd w:fill="DCE8F5" w:val="clear"/>
          </w:tcPr>
          <w:p>
            <w:pPr>
              <w:jc w:val="center"/>
            </w:pPr>
            <w:r>
              <w:rPr>
                <w:sz w:val="18"/>
              </w:rPr>
              <w:t>8.19</w:t>
            </w:r>
          </w:p>
        </w:tc>
        <w:tc>
          <w:tcPr>
            <w:tcW w:type="dxa" w:w="1045"/>
            <w:shd w:fill="DCE8F5" w:val="clear"/>
          </w:tcPr>
          <w:p>
            <w:pPr>
              <w:jc w:val="center"/>
            </w:pPr>
            <w:r>
              <w:rPr>
                <w:sz w:val="18"/>
              </w:rPr>
              <w:t>67.67</w:t>
            </w:r>
          </w:p>
        </w:tc>
        <w:tc>
          <w:tcPr>
            <w:tcW w:type="dxa" w:w="1045"/>
            <w:shd w:fill="DCE8F5" w:val="clear"/>
          </w:tcPr>
          <w:p>
            <w:pPr>
              <w:jc w:val="center"/>
            </w:pPr>
            <w:r>
              <w:rPr>
                <w:sz w:val="18"/>
              </w:rPr>
              <w:t>14.71</w:t>
            </w:r>
          </w:p>
        </w:tc>
        <w:tc>
          <w:tcPr>
            <w:tcW w:type="dxa" w:w="1045"/>
            <w:shd w:fill="DCE8F5" w:val="clear"/>
          </w:tcPr>
          <w:p>
            <w:pPr>
              <w:jc w:val="center"/>
            </w:pPr>
            <w:r>
              <w:rPr>
                <w:sz w:val="18"/>
              </w:rPr>
              <w:t>—</w:t>
            </w:r>
          </w:p>
        </w:tc>
        <w:tc>
          <w:tcPr>
            <w:tcW w:type="dxa" w:w="1045"/>
            <w:shd w:fill="DCE8F5" w:val="clear"/>
          </w:tcPr>
          <w:p>
            <w:pPr>
              <w:jc w:val="center"/>
            </w:pPr>
            <w:r>
              <w:rPr>
                <w:sz w:val="18"/>
              </w:rPr>
              <w:t>0 (0.0%)</w:t>
            </w:r>
          </w:p>
        </w:tc>
        <w:tc>
          <w:tcPr>
            <w:tcW w:type="dxa" w:w="1045"/>
            <w:shd w:fill="DCE8F5" w:val="clear"/>
          </w:tcPr>
          <w:p>
            <w:pPr>
              <w:jc w:val="center"/>
            </w:pPr>
            <w:r>
              <w:rPr>
                <w:sz w:val="18"/>
              </w:rPr>
              <w:t>9</w:t>
            </w:r>
          </w:p>
        </w:tc>
        <w:tc>
          <w:tcPr>
            <w:tcW w:type="dxa" w:w="1045"/>
            <w:shd w:fill="DCE8F5" w:val="clear"/>
          </w:tcPr>
          <w:p>
            <w:pPr>
              <w:jc w:val="center"/>
            </w:pPr>
            <w:r>
              <w:rPr>
                <w:sz w:val="18"/>
              </w:rPr>
              <w:t>-0.02</w:t>
            </w:r>
          </w:p>
        </w:tc>
      </w:tr>
      <w:tr>
        <w:tc>
          <w:tcPr>
            <w:tcW w:type="dxa" w:w="1045"/>
            <w:shd w:fill="FFFFFF" w:val="clear"/>
          </w:tcPr>
          <w:p>
            <w:pPr>
              <w:jc w:val="left"/>
            </w:pPr>
            <w:r>
              <w:rPr>
                <w:sz w:val="18"/>
              </w:rPr>
              <w:t>NH3</w:t>
            </w:r>
          </w:p>
        </w:tc>
        <w:tc>
          <w:tcPr>
            <w:tcW w:type="dxa" w:w="1045"/>
            <w:shd w:fill="FFFFFF" w:val="clear"/>
          </w:tcPr>
          <w:p>
            <w:pPr>
              <w:jc w:val="center"/>
            </w:pPr>
            <w:r>
              <w:rPr>
                <w:sz w:val="18"/>
              </w:rPr>
              <w:t>68.56</w:t>
            </w:r>
          </w:p>
        </w:tc>
        <w:tc>
          <w:tcPr>
            <w:tcW w:type="dxa" w:w="1045"/>
            <w:shd w:fill="FFFFFF" w:val="clear"/>
          </w:tcPr>
          <w:p>
            <w:pPr>
              <w:jc w:val="center"/>
            </w:pPr>
            <w:r>
              <w:rPr>
                <w:sz w:val="18"/>
              </w:rPr>
              <w:t>36.01</w:t>
            </w:r>
          </w:p>
        </w:tc>
        <w:tc>
          <w:tcPr>
            <w:tcW w:type="dxa" w:w="1045"/>
            <w:shd w:fill="FFFFFF" w:val="clear"/>
          </w:tcPr>
          <w:p>
            <w:pPr>
              <w:jc w:val="center"/>
            </w:pPr>
            <w:r>
              <w:rPr>
                <w:sz w:val="18"/>
              </w:rPr>
              <w:t>204.61</w:t>
            </w:r>
          </w:p>
        </w:tc>
        <w:tc>
          <w:tcPr>
            <w:tcW w:type="dxa" w:w="1045"/>
            <w:shd w:fill="FFFFFF" w:val="clear"/>
          </w:tcPr>
          <w:p>
            <w:pPr>
              <w:jc w:val="center"/>
            </w:pPr>
            <w:r>
              <w:rPr>
                <w:sz w:val="18"/>
              </w:rPr>
              <w:t>24.90</w:t>
            </w:r>
          </w:p>
        </w:tc>
        <w:tc>
          <w:tcPr>
            <w:tcW w:type="dxa" w:w="1045"/>
            <w:shd w:fill="FFFFFF" w:val="clear"/>
          </w:tcPr>
          <w:p>
            <w:pPr>
              <w:jc w:val="center"/>
            </w:pPr>
            <w:r>
              <w:rPr>
                <w:sz w:val="18"/>
              </w:rPr>
              <w:t>400.0</w:t>
            </w:r>
          </w:p>
        </w:tc>
        <w:tc>
          <w:tcPr>
            <w:tcW w:type="dxa" w:w="1045"/>
            <w:shd w:fill="FFFFFF" w:val="clear"/>
          </w:tcPr>
          <w:p>
            <w:pPr>
              <w:jc w:val="center"/>
            </w:pPr>
            <w:r>
              <w:rPr>
                <w:sz w:val="18"/>
              </w:rPr>
              <w:t>0 (0.0%)</w:t>
            </w:r>
          </w:p>
        </w:tc>
        <w:tc>
          <w:tcPr>
            <w:tcW w:type="dxa" w:w="1045"/>
            <w:shd w:fill="FFFFFF" w:val="clear"/>
          </w:tcPr>
          <w:p>
            <w:pPr>
              <w:jc w:val="center"/>
            </w:pPr>
            <w:r>
              <w:rPr>
                <w:sz w:val="18"/>
              </w:rPr>
              <w:t>13</w:t>
            </w:r>
          </w:p>
        </w:tc>
        <w:tc>
          <w:tcPr>
            <w:tcW w:type="dxa" w:w="1045"/>
            <w:shd w:fill="FFFFFF" w:val="clear"/>
          </w:tcPr>
          <w:p>
            <w:pPr>
              <w:jc w:val="center"/>
            </w:pPr>
            <w:r>
              <w:rPr>
                <w:sz w:val="18"/>
              </w:rPr>
              <w:t>-0.11</w:t>
            </w:r>
          </w:p>
        </w:tc>
      </w:tr>
      <w:tr>
        <w:tc>
          <w:tcPr>
            <w:tcW w:type="dxa" w:w="1045"/>
            <w:shd w:fill="DCE8F5" w:val="clear"/>
          </w:tcPr>
          <w:p>
            <w:pPr>
              <w:jc w:val="left"/>
            </w:pPr>
            <w:r>
              <w:rPr>
                <w:sz w:val="18"/>
              </w:rPr>
              <w:t>SO2</w:t>
            </w:r>
          </w:p>
        </w:tc>
        <w:tc>
          <w:tcPr>
            <w:tcW w:type="dxa" w:w="1045"/>
            <w:shd w:fill="DCE8F5" w:val="clear"/>
          </w:tcPr>
          <w:p>
            <w:pPr>
              <w:jc w:val="center"/>
            </w:pPr>
            <w:r>
              <w:rPr>
                <w:sz w:val="18"/>
              </w:rPr>
              <w:t>9.69</w:t>
            </w:r>
          </w:p>
        </w:tc>
        <w:tc>
          <w:tcPr>
            <w:tcW w:type="dxa" w:w="1045"/>
            <w:shd w:fill="DCE8F5" w:val="clear"/>
          </w:tcPr>
          <w:p>
            <w:pPr>
              <w:jc w:val="center"/>
            </w:pPr>
            <w:r>
              <w:rPr>
                <w:sz w:val="18"/>
              </w:rPr>
              <w:t>2.69</w:t>
            </w:r>
          </w:p>
        </w:tc>
        <w:tc>
          <w:tcPr>
            <w:tcW w:type="dxa" w:w="1045"/>
            <w:shd w:fill="DCE8F5" w:val="clear"/>
          </w:tcPr>
          <w:p>
            <w:pPr>
              <w:jc w:val="center"/>
            </w:pPr>
            <w:r>
              <w:rPr>
                <w:sz w:val="18"/>
              </w:rPr>
              <w:t>16.99</w:t>
            </w:r>
          </w:p>
        </w:tc>
        <w:tc>
          <w:tcPr>
            <w:tcW w:type="dxa" w:w="1045"/>
            <w:shd w:fill="DCE8F5" w:val="clear"/>
          </w:tcPr>
          <w:p>
            <w:pPr>
              <w:jc w:val="center"/>
            </w:pPr>
            <w:r>
              <w:rPr>
                <w:sz w:val="18"/>
              </w:rPr>
              <w:t>2.99</w:t>
            </w:r>
          </w:p>
        </w:tc>
        <w:tc>
          <w:tcPr>
            <w:tcW w:type="dxa" w:w="1045"/>
            <w:shd w:fill="DCE8F5" w:val="clear"/>
          </w:tcPr>
          <w:p>
            <w:pPr>
              <w:jc w:val="center"/>
            </w:pPr>
            <w:r>
              <w:rPr>
                <w:sz w:val="18"/>
              </w:rPr>
              <w:t>40.0</w:t>
            </w:r>
          </w:p>
        </w:tc>
        <w:tc>
          <w:tcPr>
            <w:tcW w:type="dxa" w:w="1045"/>
            <w:shd w:fill="DCE8F5" w:val="clear"/>
          </w:tcPr>
          <w:p>
            <w:pPr>
              <w:jc w:val="center"/>
            </w:pPr>
            <w:r>
              <w:rPr>
                <w:sz w:val="18"/>
              </w:rPr>
              <w:t>0 (0.0%)</w:t>
            </w:r>
          </w:p>
        </w:tc>
        <w:tc>
          <w:tcPr>
            <w:tcW w:type="dxa" w:w="1045"/>
            <w:shd w:fill="DCE8F5" w:val="clear"/>
          </w:tcPr>
          <w:p>
            <w:pPr>
              <w:jc w:val="center"/>
            </w:pPr>
            <w:r>
              <w:rPr>
                <w:sz w:val="18"/>
              </w:rPr>
              <w:t>14</w:t>
            </w:r>
          </w:p>
        </w:tc>
        <w:tc>
          <w:tcPr>
            <w:tcW w:type="dxa" w:w="1045"/>
            <w:shd w:fill="DCE8F5" w:val="clear"/>
          </w:tcPr>
          <w:p>
            <w:pPr>
              <w:jc w:val="center"/>
            </w:pPr>
            <w:r>
              <w:rPr>
                <w:sz w:val="18"/>
              </w:rPr>
              <w:t>-0.04</w:t>
            </w:r>
          </w:p>
        </w:tc>
      </w:tr>
      <w:tr>
        <w:tc>
          <w:tcPr>
            <w:tcW w:type="dxa" w:w="1045"/>
            <w:shd w:fill="FFFFFF" w:val="clear"/>
          </w:tcPr>
          <w:p>
            <w:pPr>
              <w:jc w:val="left"/>
            </w:pPr>
            <w:r>
              <w:rPr>
                <w:sz w:val="18"/>
              </w:rPr>
              <w:t>Ozone</w:t>
            </w:r>
          </w:p>
        </w:tc>
        <w:tc>
          <w:tcPr>
            <w:tcW w:type="dxa" w:w="1045"/>
            <w:shd w:fill="FFFFFF" w:val="clear"/>
          </w:tcPr>
          <w:p>
            <w:pPr>
              <w:jc w:val="center"/>
            </w:pPr>
            <w:r>
              <w:rPr>
                <w:sz w:val="18"/>
              </w:rPr>
              <w:t>31.65</w:t>
            </w:r>
          </w:p>
        </w:tc>
        <w:tc>
          <w:tcPr>
            <w:tcW w:type="dxa" w:w="1045"/>
            <w:shd w:fill="FFFFFF" w:val="clear"/>
          </w:tcPr>
          <w:p>
            <w:pPr>
              <w:jc w:val="center"/>
            </w:pPr>
            <w:r>
              <w:rPr>
                <w:sz w:val="18"/>
              </w:rPr>
              <w:t>7.31</w:t>
            </w:r>
          </w:p>
        </w:tc>
        <w:tc>
          <w:tcPr>
            <w:tcW w:type="dxa" w:w="1045"/>
            <w:shd w:fill="FFFFFF" w:val="clear"/>
          </w:tcPr>
          <w:p>
            <w:pPr>
              <w:jc w:val="center"/>
            </w:pPr>
            <w:r>
              <w:rPr>
                <w:sz w:val="18"/>
              </w:rPr>
              <w:t>64.53</w:t>
            </w:r>
          </w:p>
        </w:tc>
        <w:tc>
          <w:tcPr>
            <w:tcW w:type="dxa" w:w="1045"/>
            <w:shd w:fill="FFFFFF" w:val="clear"/>
          </w:tcPr>
          <w:p>
            <w:pPr>
              <w:jc w:val="center"/>
            </w:pPr>
            <w:r>
              <w:rPr>
                <w:sz w:val="18"/>
              </w:rPr>
              <w:t>18.41</w:t>
            </w:r>
          </w:p>
        </w:tc>
        <w:tc>
          <w:tcPr>
            <w:tcW w:type="dxa" w:w="1045"/>
            <w:shd w:fill="FFFFFF" w:val="clear"/>
          </w:tcPr>
          <w:p>
            <w:pPr>
              <w:jc w:val="center"/>
            </w:pPr>
            <w:r>
              <w:rPr>
                <w:sz w:val="18"/>
              </w:rPr>
              <w:t>100.0</w:t>
            </w:r>
          </w:p>
        </w:tc>
        <w:tc>
          <w:tcPr>
            <w:tcW w:type="dxa" w:w="1045"/>
            <w:shd w:fill="FFFFFF" w:val="clear"/>
          </w:tcPr>
          <w:p>
            <w:pPr>
              <w:jc w:val="center"/>
            </w:pPr>
            <w:r>
              <w:rPr>
                <w:sz w:val="18"/>
              </w:rPr>
              <w:t>0 (0.0%)</w:t>
            </w:r>
          </w:p>
        </w:tc>
        <w:tc>
          <w:tcPr>
            <w:tcW w:type="dxa" w:w="1045"/>
            <w:shd w:fill="FFFFFF" w:val="clear"/>
          </w:tcPr>
          <w:p>
            <w:pPr>
              <w:jc w:val="center"/>
            </w:pPr>
            <w:r>
              <w:rPr>
                <w:sz w:val="18"/>
              </w:rPr>
              <w:t>12</w:t>
            </w:r>
          </w:p>
        </w:tc>
        <w:tc>
          <w:tcPr>
            <w:tcW w:type="dxa" w:w="1045"/>
            <w:shd w:fill="FFFFFF" w:val="clear"/>
          </w:tcPr>
          <w:p>
            <w:pPr>
              <w:jc w:val="center"/>
            </w:pPr>
            <w:r>
              <w:rPr>
                <w:sz w:val="18"/>
              </w:rPr>
              <w:t>0.10</w:t>
            </w:r>
          </w:p>
        </w:tc>
      </w:tr>
      <w:tr>
        <w:tc>
          <w:tcPr>
            <w:tcW w:type="dxa" w:w="1045"/>
            <w:shd w:fill="FFE4E6" w:val="clear"/>
          </w:tcPr>
          <w:p>
            <w:pPr>
              <w:jc w:val="left"/>
            </w:pPr>
            <w:r>
              <w:rPr>
                <w:sz w:val="18"/>
              </w:rPr>
              <w:t>Benzene</w:t>
            </w:r>
          </w:p>
        </w:tc>
        <w:tc>
          <w:tcPr>
            <w:tcW w:type="dxa" w:w="1045"/>
            <w:shd w:fill="FFE4E6" w:val="clear"/>
          </w:tcPr>
          <w:p>
            <w:pPr>
              <w:jc w:val="center"/>
            </w:pPr>
            <w:r>
              <w:rPr>
                <w:sz w:val="18"/>
              </w:rPr>
              <w:t>4.37</w:t>
            </w:r>
          </w:p>
        </w:tc>
        <w:tc>
          <w:tcPr>
            <w:tcW w:type="dxa" w:w="1045"/>
            <w:shd w:fill="FFE4E6" w:val="clear"/>
          </w:tcPr>
          <w:p>
            <w:pPr>
              <w:jc w:val="center"/>
            </w:pPr>
            <w:r>
              <w:rPr>
                <w:sz w:val="18"/>
              </w:rPr>
              <w:t>1.04</w:t>
            </w:r>
          </w:p>
        </w:tc>
        <w:tc>
          <w:tcPr>
            <w:tcW w:type="dxa" w:w="1045"/>
            <w:shd w:fill="FFE4E6" w:val="clear"/>
          </w:tcPr>
          <w:p>
            <w:pPr>
              <w:jc w:val="center"/>
            </w:pPr>
            <w:r>
              <w:rPr>
                <w:sz w:val="18"/>
              </w:rPr>
              <w:t>10.27</w:t>
            </w:r>
          </w:p>
        </w:tc>
        <w:tc>
          <w:tcPr>
            <w:tcW w:type="dxa" w:w="1045"/>
            <w:shd w:fill="FFE4E6" w:val="clear"/>
          </w:tcPr>
          <w:p>
            <w:pPr>
              <w:jc w:val="center"/>
            </w:pPr>
            <w:r>
              <w:rPr>
                <w:sz w:val="18"/>
              </w:rPr>
              <w:t>2.71</w:t>
            </w:r>
          </w:p>
        </w:tc>
        <w:tc>
          <w:tcPr>
            <w:tcW w:type="dxa" w:w="1045"/>
            <w:shd w:fill="FFE4E6" w:val="clear"/>
          </w:tcPr>
          <w:p>
            <w:pPr>
              <w:jc w:val="center"/>
            </w:pPr>
            <w:r>
              <w:rPr>
                <w:sz w:val="18"/>
              </w:rPr>
              <w:t>1.7</w:t>
            </w:r>
          </w:p>
        </w:tc>
        <w:tc>
          <w:tcPr>
            <w:tcW w:type="dxa" w:w="1045"/>
            <w:shd w:fill="FFE4E6" w:val="clear"/>
          </w:tcPr>
          <w:p>
            <w:pPr>
              <w:jc w:val="center"/>
            </w:pPr>
            <w:r>
              <w:rPr>
                <w:sz w:val="18"/>
              </w:rPr>
              <w:t>366 (100.0%)</w:t>
            </w:r>
          </w:p>
        </w:tc>
        <w:tc>
          <w:tcPr>
            <w:tcW w:type="dxa" w:w="1045"/>
            <w:shd w:fill="FFE4E6" w:val="clear"/>
          </w:tcPr>
          <w:p>
            <w:pPr>
              <w:jc w:val="center"/>
            </w:pPr>
            <w:r>
              <w:rPr>
                <w:sz w:val="18"/>
              </w:rPr>
              <w:t>13</w:t>
            </w:r>
          </w:p>
        </w:tc>
        <w:tc>
          <w:tcPr>
            <w:tcW w:type="dxa" w:w="1045"/>
            <w:shd w:fill="FFE4E6" w:val="clear"/>
          </w:tcPr>
          <w:p>
            <w:pPr>
              <w:jc w:val="center"/>
            </w:pPr>
            <w:r>
              <w:rPr>
                <w:sz w:val="18"/>
              </w:rPr>
              <w:t>0.09</w:t>
            </w:r>
          </w:p>
        </w:tc>
      </w:tr>
      <w:tr>
        <w:tc>
          <w:tcPr>
            <w:tcW w:type="dxa" w:w="1045"/>
            <w:shd w:fill="FFFFFF" w:val="clear"/>
          </w:tcPr>
          <w:p>
            <w:pPr>
              <w:jc w:val="left"/>
            </w:pPr>
            <w:r>
              <w:rPr>
                <w:sz w:val="18"/>
              </w:rPr>
              <w:t>Toluene</w:t>
            </w:r>
          </w:p>
        </w:tc>
        <w:tc>
          <w:tcPr>
            <w:tcW w:type="dxa" w:w="1045"/>
            <w:shd w:fill="FFFFFF" w:val="clear"/>
          </w:tcPr>
          <w:p>
            <w:pPr>
              <w:jc w:val="center"/>
            </w:pPr>
            <w:r>
              <w:rPr>
                <w:sz w:val="18"/>
              </w:rPr>
              <w:t>11.12</w:t>
            </w:r>
          </w:p>
        </w:tc>
        <w:tc>
          <w:tcPr>
            <w:tcW w:type="dxa" w:w="1045"/>
            <w:shd w:fill="FFFFFF" w:val="clear"/>
          </w:tcPr>
          <w:p>
            <w:pPr>
              <w:jc w:val="center"/>
            </w:pPr>
            <w:r>
              <w:rPr>
                <w:sz w:val="18"/>
              </w:rPr>
              <w:t>4.96</w:t>
            </w:r>
          </w:p>
        </w:tc>
        <w:tc>
          <w:tcPr>
            <w:tcW w:type="dxa" w:w="1045"/>
            <w:shd w:fill="FFFFFF" w:val="clear"/>
          </w:tcPr>
          <w:p>
            <w:pPr>
              <w:jc w:val="center"/>
            </w:pPr>
            <w:r>
              <w:rPr>
                <w:sz w:val="18"/>
              </w:rPr>
              <w:t>35.24</w:t>
            </w:r>
          </w:p>
        </w:tc>
        <w:tc>
          <w:tcPr>
            <w:tcW w:type="dxa" w:w="1045"/>
            <w:shd w:fill="FFFFFF" w:val="clear"/>
          </w:tcPr>
          <w:p>
            <w:pPr>
              <w:jc w:val="center"/>
            </w:pPr>
            <w:r>
              <w:rPr>
                <w:sz w:val="18"/>
              </w:rPr>
              <w:t>4.16</w:t>
            </w:r>
          </w:p>
        </w:tc>
        <w:tc>
          <w:tcPr>
            <w:tcW w:type="dxa" w:w="1045"/>
            <w:shd w:fill="FFFFFF" w:val="clear"/>
          </w:tcPr>
          <w:p>
            <w:pPr>
              <w:jc w:val="center"/>
            </w:pPr>
            <w:r>
              <w:rPr>
                <w:sz w:val="18"/>
              </w:rPr>
              <w:t>—</w:t>
            </w:r>
          </w:p>
        </w:tc>
        <w:tc>
          <w:tcPr>
            <w:tcW w:type="dxa" w:w="1045"/>
            <w:shd w:fill="FFFFFF" w:val="clear"/>
          </w:tcPr>
          <w:p>
            <w:pPr>
              <w:jc w:val="center"/>
            </w:pPr>
            <w:r>
              <w:rPr>
                <w:sz w:val="18"/>
              </w:rPr>
              <w:t>0 (0.0%)</w:t>
            </w:r>
          </w:p>
        </w:tc>
        <w:tc>
          <w:tcPr>
            <w:tcW w:type="dxa" w:w="1045"/>
            <w:shd w:fill="FFFFFF" w:val="clear"/>
          </w:tcPr>
          <w:p>
            <w:pPr>
              <w:jc w:val="center"/>
            </w:pPr>
            <w:r>
              <w:rPr>
                <w:sz w:val="18"/>
              </w:rPr>
              <w:t>19</w:t>
            </w:r>
          </w:p>
        </w:tc>
        <w:tc>
          <w:tcPr>
            <w:tcW w:type="dxa" w:w="1045"/>
            <w:shd w:fill="FFFFFF" w:val="clear"/>
          </w:tcPr>
          <w:p>
            <w:pPr>
              <w:jc w:val="center"/>
            </w:pPr>
            <w:r>
              <w:rPr>
                <w:sz w:val="18"/>
              </w:rPr>
              <w:t>0.07</w:t>
            </w:r>
          </w:p>
        </w:tc>
      </w:tr>
      <w:tr>
        <w:tc>
          <w:tcPr>
            <w:tcW w:type="dxa" w:w="1045"/>
            <w:shd w:fill="DCE8F5" w:val="clear"/>
          </w:tcPr>
          <w:p>
            <w:pPr>
              <w:jc w:val="left"/>
            </w:pPr>
            <w:r>
              <w:rPr>
                <w:sz w:val="18"/>
              </w:rPr>
              <w:t>Xylene</w:t>
            </w:r>
          </w:p>
        </w:tc>
        <w:tc>
          <w:tcPr>
            <w:tcW w:type="dxa" w:w="1045"/>
            <w:shd w:fill="DCE8F5" w:val="clear"/>
          </w:tcPr>
          <w:p>
            <w:pPr>
              <w:jc w:val="center"/>
            </w:pPr>
            <w:r>
              <w:rPr>
                <w:sz w:val="18"/>
              </w:rPr>
              <w:t>2.77</w:t>
            </w:r>
          </w:p>
        </w:tc>
        <w:tc>
          <w:tcPr>
            <w:tcW w:type="dxa" w:w="1045"/>
            <w:shd w:fill="DCE8F5" w:val="clear"/>
          </w:tcPr>
          <w:p>
            <w:pPr>
              <w:jc w:val="center"/>
            </w:pPr>
            <w:r>
              <w:rPr>
                <w:sz w:val="18"/>
              </w:rPr>
              <w:t>0.06</w:t>
            </w:r>
          </w:p>
        </w:tc>
        <w:tc>
          <w:tcPr>
            <w:tcW w:type="dxa" w:w="1045"/>
            <w:shd w:fill="DCE8F5" w:val="clear"/>
          </w:tcPr>
          <w:p>
            <w:pPr>
              <w:jc w:val="center"/>
            </w:pPr>
            <w:r>
              <w:rPr>
                <w:sz w:val="18"/>
              </w:rPr>
              <w:t>3.08</w:t>
            </w:r>
          </w:p>
        </w:tc>
        <w:tc>
          <w:tcPr>
            <w:tcW w:type="dxa" w:w="1045"/>
            <w:shd w:fill="DCE8F5" w:val="clear"/>
          </w:tcPr>
          <w:p>
            <w:pPr>
              <w:jc w:val="center"/>
            </w:pPr>
            <w:r>
              <w:rPr>
                <w:sz w:val="18"/>
              </w:rPr>
              <w:t>2.60</w:t>
            </w:r>
          </w:p>
        </w:tc>
        <w:tc>
          <w:tcPr>
            <w:tcW w:type="dxa" w:w="1045"/>
            <w:shd w:fill="DCE8F5" w:val="clear"/>
          </w:tcPr>
          <w:p>
            <w:pPr>
              <w:jc w:val="center"/>
            </w:pPr>
            <w:r>
              <w:rPr>
                <w:sz w:val="18"/>
              </w:rPr>
              <w:t>—</w:t>
            </w:r>
          </w:p>
        </w:tc>
        <w:tc>
          <w:tcPr>
            <w:tcW w:type="dxa" w:w="1045"/>
            <w:shd w:fill="DCE8F5" w:val="clear"/>
          </w:tcPr>
          <w:p>
            <w:pPr>
              <w:jc w:val="center"/>
            </w:pPr>
            <w:r>
              <w:rPr>
                <w:sz w:val="18"/>
              </w:rPr>
              <w:t>0 (0.0%)</w:t>
            </w:r>
          </w:p>
        </w:tc>
        <w:tc>
          <w:tcPr>
            <w:tcW w:type="dxa" w:w="1045"/>
            <w:shd w:fill="DCE8F5" w:val="clear"/>
          </w:tcPr>
          <w:p>
            <w:pPr>
              <w:jc w:val="center"/>
            </w:pPr>
            <w:r>
              <w:rPr>
                <w:sz w:val="18"/>
              </w:rPr>
              <w:t>15</w:t>
            </w:r>
          </w:p>
        </w:tc>
        <w:tc>
          <w:tcPr>
            <w:tcW w:type="dxa" w:w="1045"/>
            <w:shd w:fill="DCE8F5" w:val="clear"/>
          </w:tcPr>
          <w:p>
            <w:pPr>
              <w:jc w:val="center"/>
            </w:pPr>
            <w:r>
              <w:rPr>
                <w:sz w:val="18"/>
              </w:rPr>
              <w:t>0.10</w:t>
            </w:r>
          </w:p>
        </w:tc>
      </w:tr>
      <w:tr>
        <w:tc>
          <w:tcPr>
            <w:tcW w:type="dxa" w:w="1045"/>
            <w:shd w:fill="FFFFFF" w:val="clear"/>
          </w:tcPr>
          <w:p>
            <w:pPr>
              <w:jc w:val="left"/>
            </w:pPr>
            <w:r>
              <w:rPr>
                <w:sz w:val="18"/>
              </w:rPr>
              <w:t>MP_Xylene</w:t>
            </w:r>
          </w:p>
        </w:tc>
        <w:tc>
          <w:tcPr>
            <w:tcW w:type="dxa" w:w="1045"/>
            <w:shd w:fill="FFFFFF" w:val="clear"/>
          </w:tcPr>
          <w:p>
            <w:pPr>
              <w:jc w:val="center"/>
            </w:pPr>
            <w:r>
              <w:rPr>
                <w:sz w:val="18"/>
              </w:rPr>
              <w:t>5.04</w:t>
            </w:r>
          </w:p>
        </w:tc>
        <w:tc>
          <w:tcPr>
            <w:tcW w:type="dxa" w:w="1045"/>
            <w:shd w:fill="FFFFFF" w:val="clear"/>
          </w:tcPr>
          <w:p>
            <w:pPr>
              <w:jc w:val="center"/>
            </w:pPr>
            <w:r>
              <w:rPr>
                <w:sz w:val="18"/>
              </w:rPr>
              <w:t>1.50</w:t>
            </w:r>
          </w:p>
        </w:tc>
        <w:tc>
          <w:tcPr>
            <w:tcW w:type="dxa" w:w="1045"/>
            <w:shd w:fill="FFFFFF" w:val="clear"/>
          </w:tcPr>
          <w:p>
            <w:pPr>
              <w:jc w:val="center"/>
            </w:pPr>
            <w:r>
              <w:rPr>
                <w:sz w:val="18"/>
              </w:rPr>
              <w:t>11.03</w:t>
            </w:r>
          </w:p>
        </w:tc>
        <w:tc>
          <w:tcPr>
            <w:tcW w:type="dxa" w:w="1045"/>
            <w:shd w:fill="FFFFFF" w:val="clear"/>
          </w:tcPr>
          <w:p>
            <w:pPr>
              <w:jc w:val="center"/>
            </w:pPr>
            <w:r>
              <w:rPr>
                <w:sz w:val="18"/>
              </w:rPr>
              <w:t>2.39</w:t>
            </w:r>
          </w:p>
        </w:tc>
        <w:tc>
          <w:tcPr>
            <w:tcW w:type="dxa" w:w="1045"/>
            <w:shd w:fill="FFFFFF" w:val="clear"/>
          </w:tcPr>
          <w:p>
            <w:pPr>
              <w:jc w:val="center"/>
            </w:pPr>
            <w:r>
              <w:rPr>
                <w:sz w:val="18"/>
              </w:rPr>
              <w:t>—</w:t>
            </w:r>
          </w:p>
        </w:tc>
        <w:tc>
          <w:tcPr>
            <w:tcW w:type="dxa" w:w="1045"/>
            <w:shd w:fill="FFFFFF" w:val="clear"/>
          </w:tcPr>
          <w:p>
            <w:pPr>
              <w:jc w:val="center"/>
            </w:pPr>
            <w:r>
              <w:rPr>
                <w:sz w:val="18"/>
              </w:rPr>
              <w:t>0 (0.0%)</w:t>
            </w:r>
          </w:p>
        </w:tc>
        <w:tc>
          <w:tcPr>
            <w:tcW w:type="dxa" w:w="1045"/>
            <w:shd w:fill="FFFFFF" w:val="clear"/>
          </w:tcPr>
          <w:p>
            <w:pPr>
              <w:jc w:val="center"/>
            </w:pPr>
            <w:r>
              <w:rPr>
                <w:sz w:val="18"/>
              </w:rPr>
              <w:t>9</w:t>
            </w:r>
          </w:p>
        </w:tc>
        <w:tc>
          <w:tcPr>
            <w:tcW w:type="dxa" w:w="1045"/>
            <w:shd w:fill="FFFFFF" w:val="clear"/>
          </w:tcPr>
          <w:p>
            <w:pPr>
              <w:jc w:val="center"/>
            </w:pPr>
            <w:r>
              <w:rPr>
                <w:sz w:val="18"/>
              </w:rPr>
              <w:t>0.11</w:t>
            </w:r>
          </w:p>
        </w:tc>
      </w:tr>
    </w:tbl>
    <w:p>
      <w:pPr>
        <w:spacing w:before="60" w:after="120"/>
      </w:pPr>
      <w:r>
        <w:rPr>
          <w:i/>
          <w:sz w:val="22"/>
        </w:rPr>
        <w:t>x̄ = mean of all daily means over the monitoring period (annual mean). σ = sample standard deviation of daily means. Exceed Days = number of days where the daily mean exceeded guideline threshold θ. Anomaly Days = number of days where |ζ_d| &gt; 3.0 (z-score threshold, Eq. 9). All statistics are computed from quality-validated records only (q_i = 1).</w:t>
      </w:r>
    </w:p>
    <w:p>
      <w:r>
        <w:br w:type="page"/>
      </w:r>
    </w:p>
    <w:p>
      <w:pPr>
        <w:pStyle w:val="Heading1"/>
        <w:spacing w:before="360" w:after="160"/>
      </w:pPr>
      <w:r>
        <w:rPr>
          <w:color w:val="1A2C4E"/>
          <w:sz w:val="36"/>
        </w:rPr>
        <w:t>Section 03 — Hourly Time-Series Analysis</w:t>
      </w:r>
    </w:p>
    <w:p>
      <w:pPr>
        <w:jc w:val="center"/>
      </w:pPr>
      <w:r>
        <w:drawing>
          <wp:inline xmlns:a="http://schemas.openxmlformats.org/drawingml/2006/main" xmlns:pic="http://schemas.openxmlformats.org/drawingml/2006/picture">
            <wp:extent cx="5669280" cy="4378861"/>
            <wp:docPr id="2" name="Picture 2"/>
            <wp:cNvGraphicFramePr>
              <a:graphicFrameLocks noChangeAspect="1"/>
            </wp:cNvGraphicFramePr>
            <a:graphic>
              <a:graphicData uri="http://schemas.openxmlformats.org/drawingml/2006/picture">
                <pic:pic>
                  <pic:nvPicPr>
                    <pic:cNvPr id="0" name="chart1_timeseries.png"/>
                    <pic:cNvPicPr/>
                  </pic:nvPicPr>
                  <pic:blipFill>
                    <a:blip r:embed="rId10"/>
                    <a:stretch>
                      <a:fillRect/>
                    </a:stretch>
                  </pic:blipFill>
                  <pic:spPr>
                    <a:xfrm>
                      <a:off x="0" y="0"/>
                      <a:ext cx="5669280" cy="4378861"/>
                    </a:xfrm>
                    <a:prstGeom prst="rect"/>
                  </pic:spPr>
                </pic:pic>
              </a:graphicData>
            </a:graphic>
          </wp:inline>
        </w:drawing>
      </w:r>
    </w:p>
    <w:p>
      <w:pPr>
        <w:spacing w:before="40" w:after="200"/>
        <w:jc w:val="center"/>
      </w:pPr>
      <w:r>
        <w:rPr>
          <w:i/>
          <w:color w:val="6B7280"/>
          <w:sz w:val="18"/>
        </w:rPr>
        <w:t>Figure — Hourly concentrations with daily mean overlay and WHO AQG 2021 reference guidelines. Shaded areas indicate exceedance zones.</w:t>
      </w:r>
    </w:p>
    <w:p>
      <w:pPr>
        <w:spacing w:before="80" w:after="160"/>
        <w:ind w:left="280"/>
      </w:pPr>
      <w:r>
        <w:rPr>
          <w:b/>
          <w:color w:val="1A6B72"/>
          <w:sz w:val="19"/>
        </w:rPr>
        <w:t xml:space="preserve">► Chart Insight:  </w:t>
      </w:r>
      <w:r>
        <w:rPr>
          <w:i/>
          <w:color w:val="1F2937"/>
          <w:sz w:val="19"/>
        </w:rPr>
        <w:t>PM10 annual mean: 185.1 µg/m³ (above WHO guideline 45.0 µg/m³). Peak daily mean: 501.6 µg/m³. WHO exceedances: 364 days (99.5% of monitored period). NO₂ annual mean: 17.0 µg/m³ (below WHO guideline 25.0 µg/m³).</w:t>
      </w:r>
    </w:p>
    <w:p>
      <w:pPr>
        <w:spacing w:before="60" w:after="120"/>
      </w:pPr>
      <w:r>
        <w:rPr>
          <w:i w:val="0"/>
          <w:sz w:val="22"/>
        </w:rPr>
        <w:t>Benzene's annual mean value is 4.372, with an annual maximum of 10.266 and an annual minimum of 2.708. The pollutant exceeds its threshold on all days in the dataset, with a total of 366 exceedance days. This corresponds to a high exceedance percentage of 100.0. Benzene's annual mean value is significantly higher than other pollutants.</w:t>
        <w:br/>
        <w:br/>
        <w:t>NO2's annual mean value is 16.995, with an annual maximum of 32.945 and an annual minimum of 8.957. The pollutant exceeds its threshold on only 25 days in the dataset, resulting in a low exceedance percentage of 6.83%. This indicates that NO2 has relatively few exceedance days compared to other pollutants.</w:t>
        <w:br/>
        <w:br/>
        <w:t>NOx's annual mean value is 31.597, with an annual maximum of 67.67 and an annual minimum of 14.705. The pollutant does not exceed its threshold on any days in the dataset, resulting in a zero exceedance percentage. This suggests that NOx has no significant exceedance events during the study period.</w:t>
      </w:r>
    </w:p>
    <w:p>
      <w:pPr>
        <w:pStyle w:val="Heading2"/>
        <w:spacing w:before="240" w:after="120"/>
      </w:pPr>
      <w:r>
        <w:rPr>
          <w:color w:val="2557A7"/>
          <w:sz w:val="28"/>
        </w:rPr>
        <w:t>30-Day Rolling Baseline Trend (Eq. 7–8)</w:t>
      </w:r>
    </w:p>
    <w:p>
      <w:pPr>
        <w:spacing w:before="60" w:after="120"/>
      </w:pPr>
      <w:r>
        <w:rPr>
          <w:i w:val="0"/>
          <w:sz w:val="22"/>
        </w:rPr>
        <w:t>The chart below shows the daily pollutant concentration alongside the 30-day rolling baseline mean τ̅_W and standard deviation σ_W. Deviations above the rolling mean identify periods of elevated pollution relative to recent local norms, without seasonal bias.</w:t>
      </w:r>
    </w:p>
    <w:p>
      <w:pPr>
        <w:jc w:val="center"/>
      </w:pPr>
      <w:r>
        <w:drawing>
          <wp:inline xmlns:a="http://schemas.openxmlformats.org/drawingml/2006/main" xmlns:pic="http://schemas.openxmlformats.org/drawingml/2006/picture">
            <wp:extent cx="5669280" cy="2788772"/>
            <wp:docPr id="3" name="Picture 3"/>
            <wp:cNvGraphicFramePr>
              <a:graphicFrameLocks noChangeAspect="1"/>
            </wp:cNvGraphicFramePr>
            <a:graphic>
              <a:graphicData uri="http://schemas.openxmlformats.org/drawingml/2006/picture">
                <pic:pic>
                  <pic:nvPicPr>
                    <pic:cNvPr id="0" name="chart3_trend.png"/>
                    <pic:cNvPicPr/>
                  </pic:nvPicPr>
                  <pic:blipFill>
                    <a:blip r:embed="rId11"/>
                    <a:stretch>
                      <a:fillRect/>
                    </a:stretch>
                  </pic:blipFill>
                  <pic:spPr>
                    <a:xfrm>
                      <a:off x="0" y="0"/>
                      <a:ext cx="5669280" cy="2788772"/>
                    </a:xfrm>
                    <a:prstGeom prst="rect"/>
                  </pic:spPr>
                </pic:pic>
              </a:graphicData>
            </a:graphic>
          </wp:inline>
        </w:drawing>
      </w:r>
    </w:p>
    <w:p>
      <w:pPr>
        <w:spacing w:before="40" w:after="200"/>
        <w:jc w:val="center"/>
      </w:pPr>
      <w:r>
        <w:rPr>
          <w:i/>
          <w:color w:val="6B7280"/>
          <w:sz w:val="18"/>
        </w:rPr>
        <w:t>Figure — Daily trend and 30-day rolling baseline x̄_W (Eqs. 7–8). Dashed lines show baseline mean. Dotted lines show WHO guidelines.</w:t>
      </w:r>
    </w:p>
    <w:p>
      <w:pPr>
        <w:spacing w:before="80" w:after="160"/>
        <w:ind w:left="280"/>
      </w:pPr>
      <w:r>
        <w:rPr>
          <w:b/>
          <w:color w:val="1A6B72"/>
          <w:sz w:val="19"/>
        </w:rPr>
        <w:t xml:space="preserve">► Chart Insight:  </w:t>
      </w:r>
      <w:r>
        <w:rPr>
          <w:i/>
          <w:color w:val="1F2937"/>
          <w:sz w:val="19"/>
        </w:rPr>
        <w:t>PM10 30-day rolling mean peaks in Jan and reaches minimum in Sep, indicating strong seasonal variation (annual σ = 83.8 µg/m³). The rolling window smooths short-term spikes to reveal the underlying seasonal pattern. Deviations above the rolling mean indicate elevated pollution episodes.</w:t>
      </w:r>
    </w:p>
    <w:p>
      <w:r>
        <w:br w:type="page"/>
      </w:r>
    </w:p>
    <w:p>
      <w:pPr>
        <w:pStyle w:val="Heading1"/>
        <w:spacing w:before="360" w:after="160"/>
      </w:pPr>
      <w:r>
        <w:rPr>
          <w:color w:val="1A2C4E"/>
          <w:sz w:val="36"/>
        </w:rPr>
        <w:t>Section 04 — Anomaly Detection (Z-Score Analysis)</w:t>
      </w:r>
    </w:p>
    <w:p>
      <w:pPr>
        <w:spacing w:before="60" w:after="120"/>
      </w:pPr>
      <w:r>
        <w:rPr>
          <w:i w:val="0"/>
          <w:sz w:val="22"/>
        </w:rPr>
        <w:t>The dataset exhibits a total of 8 anomaly days across all pollutants, with Benzene displaying the highest number of anomalies at 13 days. The z-score threshold of 3.0 was not exceeded for any pollutant, as indicated by the absence of "anomaly_days" values above this threshold. However, some pollutants like Benzene and Xylene have a high number of anomaly days despite not exceeding the z-score threshold, suggesting potential issues with data quality or model performance. The formal operators defined in the dataset do not provide further insight into the anomaly detection results.</w:t>
      </w:r>
    </w:p>
    <w:p>
      <w:pPr>
        <w:jc w:val="center"/>
      </w:pPr>
      <w:r>
        <w:drawing>
          <wp:inline xmlns:a="http://schemas.openxmlformats.org/drawingml/2006/main" xmlns:pic="http://schemas.openxmlformats.org/drawingml/2006/picture">
            <wp:extent cx="5669280" cy="4256546"/>
            <wp:docPr id="4" name="Picture 4"/>
            <wp:cNvGraphicFramePr>
              <a:graphicFrameLocks noChangeAspect="1"/>
            </wp:cNvGraphicFramePr>
            <a:graphic>
              <a:graphicData uri="http://schemas.openxmlformats.org/drawingml/2006/picture">
                <pic:pic>
                  <pic:nvPicPr>
                    <pic:cNvPr id="0" name="chart4_anomalies.png"/>
                    <pic:cNvPicPr/>
                  </pic:nvPicPr>
                  <pic:blipFill>
                    <a:blip r:embed="rId12"/>
                    <a:stretch>
                      <a:fillRect/>
                    </a:stretch>
                  </pic:blipFill>
                  <pic:spPr>
                    <a:xfrm>
                      <a:off x="0" y="0"/>
                      <a:ext cx="5669280" cy="4256546"/>
                    </a:xfrm>
                    <a:prstGeom prst="rect"/>
                  </pic:spPr>
                </pic:pic>
              </a:graphicData>
            </a:graphic>
          </wp:inline>
        </w:drawing>
      </w:r>
    </w:p>
    <w:p>
      <w:pPr>
        <w:spacing w:before="40" w:after="200"/>
        <w:jc w:val="center"/>
      </w:pPr>
      <w:r>
        <w:rPr>
          <w:i/>
          <w:color w:val="6B7280"/>
          <w:sz w:val="18"/>
        </w:rPr>
        <w:t>Figure — (a) Daily mean with 95% CI band (Eq. 12). (b) Z-score ζ_d = (x̄_d − x̄_W) / σ_W (Eq. 9). Red diamonds indicate anomaly days (|ζ_d| &gt; 3.0).</w:t>
      </w:r>
    </w:p>
    <w:p>
      <w:pPr>
        <w:spacing w:before="80" w:after="160"/>
        <w:ind w:left="280"/>
      </w:pPr>
      <w:r>
        <w:rPr>
          <w:b/>
          <w:color w:val="1A6B72"/>
          <w:sz w:val="19"/>
        </w:rPr>
        <w:t xml:space="preserve">► Chart Insight:  </w:t>
      </w:r>
      <w:r>
        <w:rPr>
          <w:i/>
          <w:color w:val="1F2937"/>
          <w:sz w:val="19"/>
        </w:rPr>
        <w:t>Anomaly threshold: |ζ_d| &gt; 3.0 (3σ rule). PM10 anomaly days: 8 (2.2% of monitored period). NO₂ anomaly days: 7. Anomalies are computed against a 30-day rolling baseline, so seasonal variation does not inflate anomaly counts. Each anomaly represents a statistically significant deviation from recent local norms.</w:t>
      </w:r>
    </w:p>
    <w:p>
      <w:pPr>
        <w:pStyle w:val="Heading2"/>
        <w:spacing w:before="240" w:after="120"/>
      </w:pPr>
      <w:r>
        <w:rPr>
          <w:color w:val="2557A7"/>
          <w:sz w:val="28"/>
        </w:rPr>
        <w:t>Anomaly Summary by Pollutant</w:t>
      </w:r>
    </w:p>
    <w:tbl>
      <w:tblPr>
        <w:tblStyle w:val="TableGrid"/>
        <w:tblW w:type="auto" w:w="0"/>
        <w:tblLook w:firstColumn="1" w:firstRow="1" w:lastColumn="0" w:lastRow="0" w:noHBand="0" w:noVBand="1" w:val="04A0"/>
      </w:tblPr>
      <w:tblGrid>
        <w:gridCol w:w="3135"/>
        <w:gridCol w:w="3135"/>
        <w:gridCol w:w="3135"/>
      </w:tblGrid>
      <w:tr>
        <w:tc>
          <w:tcPr>
            <w:tcW w:type="dxa" w:w="3135"/>
            <w:shd w:fill="1A2C4E" w:val="clear"/>
          </w:tcPr>
          <w:p>
            <w:r>
              <w:rPr>
                <w:b/>
                <w:color w:val="FFFFFF"/>
                <w:sz w:val="20"/>
              </w:rPr>
              <w:t>Variable</w:t>
            </w:r>
          </w:p>
        </w:tc>
        <w:tc>
          <w:tcPr>
            <w:tcW w:type="dxa" w:w="3135"/>
            <w:shd w:fill="1A2C4E" w:val="clear"/>
          </w:tcPr>
          <w:p>
            <w:r>
              <w:rPr>
                <w:b/>
                <w:color w:val="FFFFFF"/>
                <w:sz w:val="20"/>
              </w:rPr>
              <w:t>Anomaly Days (|ζ_d| &gt; 3)</w:t>
            </w:r>
          </w:p>
        </w:tc>
        <w:tc>
          <w:tcPr>
            <w:tcW w:type="dxa" w:w="3135"/>
            <w:shd w:fill="1A2C4E" w:val="clear"/>
          </w:tcPr>
          <w:p>
            <w:r>
              <w:rPr>
                <w:b/>
                <w:color w:val="FFFFFF"/>
                <w:sz w:val="20"/>
              </w:rPr>
              <w:t>Mean ζ_d</w:t>
            </w:r>
          </w:p>
        </w:tc>
      </w:tr>
      <w:tr>
        <w:tc>
          <w:tcPr>
            <w:tcW w:type="dxa" w:w="3135"/>
            <w:shd w:fill="FFF5F5" w:val="clear"/>
          </w:tcPr>
          <w:p>
            <w:pPr>
              <w:jc w:val="center"/>
            </w:pPr>
            <w:r>
              <w:rPr>
                <w:sz w:val="20"/>
              </w:rPr>
              <w:t>Toluene</w:t>
            </w:r>
          </w:p>
        </w:tc>
        <w:tc>
          <w:tcPr>
            <w:tcW w:type="dxa" w:w="3135"/>
            <w:shd w:fill="FFF5F5" w:val="clear"/>
          </w:tcPr>
          <w:p>
            <w:pPr>
              <w:jc w:val="center"/>
            </w:pPr>
            <w:r>
              <w:rPr>
                <w:sz w:val="20"/>
              </w:rPr>
              <w:t>19</w:t>
            </w:r>
          </w:p>
        </w:tc>
        <w:tc>
          <w:tcPr>
            <w:tcW w:type="dxa" w:w="3135"/>
            <w:shd w:fill="FFF5F5" w:val="clear"/>
          </w:tcPr>
          <w:p>
            <w:pPr>
              <w:jc w:val="center"/>
            </w:pPr>
            <w:r>
              <w:rPr>
                <w:sz w:val="20"/>
              </w:rPr>
              <w:t>0.07</w:t>
            </w:r>
          </w:p>
        </w:tc>
      </w:tr>
      <w:tr>
        <w:tc>
          <w:tcPr>
            <w:tcW w:type="dxa" w:w="3135"/>
            <w:shd w:fill="FFF5F5" w:val="clear"/>
          </w:tcPr>
          <w:p>
            <w:pPr>
              <w:jc w:val="center"/>
            </w:pPr>
            <w:r>
              <w:rPr>
                <w:sz w:val="20"/>
              </w:rPr>
              <w:t>Xylene</w:t>
            </w:r>
          </w:p>
        </w:tc>
        <w:tc>
          <w:tcPr>
            <w:tcW w:type="dxa" w:w="3135"/>
            <w:shd w:fill="FFF5F5" w:val="clear"/>
          </w:tcPr>
          <w:p>
            <w:pPr>
              <w:jc w:val="center"/>
            </w:pPr>
            <w:r>
              <w:rPr>
                <w:sz w:val="20"/>
              </w:rPr>
              <w:t>15</w:t>
            </w:r>
          </w:p>
        </w:tc>
        <w:tc>
          <w:tcPr>
            <w:tcW w:type="dxa" w:w="3135"/>
            <w:shd w:fill="FFF5F5" w:val="clear"/>
          </w:tcPr>
          <w:p>
            <w:pPr>
              <w:jc w:val="center"/>
            </w:pPr>
            <w:r>
              <w:rPr>
                <w:sz w:val="20"/>
              </w:rPr>
              <w:t>0.10</w:t>
            </w:r>
          </w:p>
        </w:tc>
      </w:tr>
      <w:tr>
        <w:tc>
          <w:tcPr>
            <w:tcW w:type="dxa" w:w="3135"/>
            <w:shd w:fill="FFF5F5" w:val="clear"/>
          </w:tcPr>
          <w:p>
            <w:pPr>
              <w:jc w:val="center"/>
            </w:pPr>
            <w:r>
              <w:rPr>
                <w:sz w:val="20"/>
              </w:rPr>
              <w:t>SO2</w:t>
            </w:r>
          </w:p>
        </w:tc>
        <w:tc>
          <w:tcPr>
            <w:tcW w:type="dxa" w:w="3135"/>
            <w:shd w:fill="FFF5F5" w:val="clear"/>
          </w:tcPr>
          <w:p>
            <w:pPr>
              <w:jc w:val="center"/>
            </w:pPr>
            <w:r>
              <w:rPr>
                <w:sz w:val="20"/>
              </w:rPr>
              <w:t>14</w:t>
            </w:r>
          </w:p>
        </w:tc>
        <w:tc>
          <w:tcPr>
            <w:tcW w:type="dxa" w:w="3135"/>
            <w:shd w:fill="FFF5F5" w:val="clear"/>
          </w:tcPr>
          <w:p>
            <w:pPr>
              <w:jc w:val="center"/>
            </w:pPr>
            <w:r>
              <w:rPr>
                <w:sz w:val="20"/>
              </w:rPr>
              <w:t>-0.04</w:t>
            </w:r>
          </w:p>
        </w:tc>
      </w:tr>
      <w:tr>
        <w:tc>
          <w:tcPr>
            <w:tcW w:type="dxa" w:w="3135"/>
            <w:shd w:fill="FFF5F5" w:val="clear"/>
          </w:tcPr>
          <w:p>
            <w:pPr>
              <w:jc w:val="center"/>
            </w:pPr>
            <w:r>
              <w:rPr>
                <w:sz w:val="20"/>
              </w:rPr>
              <w:t>NH3</w:t>
            </w:r>
          </w:p>
        </w:tc>
        <w:tc>
          <w:tcPr>
            <w:tcW w:type="dxa" w:w="3135"/>
            <w:shd w:fill="FFF5F5" w:val="clear"/>
          </w:tcPr>
          <w:p>
            <w:pPr>
              <w:jc w:val="center"/>
            </w:pPr>
            <w:r>
              <w:rPr>
                <w:sz w:val="20"/>
              </w:rPr>
              <w:t>13</w:t>
            </w:r>
          </w:p>
        </w:tc>
        <w:tc>
          <w:tcPr>
            <w:tcW w:type="dxa" w:w="3135"/>
            <w:shd w:fill="FFF5F5" w:val="clear"/>
          </w:tcPr>
          <w:p>
            <w:pPr>
              <w:jc w:val="center"/>
            </w:pPr>
            <w:r>
              <w:rPr>
                <w:sz w:val="20"/>
              </w:rPr>
              <w:t>-0.11</w:t>
            </w:r>
          </w:p>
        </w:tc>
      </w:tr>
      <w:tr>
        <w:tc>
          <w:tcPr>
            <w:tcW w:type="dxa" w:w="3135"/>
            <w:shd w:fill="FFF5F5" w:val="clear"/>
          </w:tcPr>
          <w:p>
            <w:pPr>
              <w:jc w:val="center"/>
            </w:pPr>
            <w:r>
              <w:rPr>
                <w:sz w:val="20"/>
              </w:rPr>
              <w:t>Benzene</w:t>
            </w:r>
          </w:p>
        </w:tc>
        <w:tc>
          <w:tcPr>
            <w:tcW w:type="dxa" w:w="3135"/>
            <w:shd w:fill="FFF5F5" w:val="clear"/>
          </w:tcPr>
          <w:p>
            <w:pPr>
              <w:jc w:val="center"/>
            </w:pPr>
            <w:r>
              <w:rPr>
                <w:sz w:val="20"/>
              </w:rPr>
              <w:t>13</w:t>
            </w:r>
          </w:p>
        </w:tc>
        <w:tc>
          <w:tcPr>
            <w:tcW w:type="dxa" w:w="3135"/>
            <w:shd w:fill="FFF5F5" w:val="clear"/>
          </w:tcPr>
          <w:p>
            <w:pPr>
              <w:jc w:val="center"/>
            </w:pPr>
            <w:r>
              <w:rPr>
                <w:sz w:val="20"/>
              </w:rPr>
              <w:t>0.09</w:t>
            </w:r>
          </w:p>
        </w:tc>
      </w:tr>
      <w:tr>
        <w:tc>
          <w:tcPr>
            <w:tcW w:type="dxa" w:w="3135"/>
            <w:shd w:fill="FFF5F5" w:val="clear"/>
          </w:tcPr>
          <w:p>
            <w:pPr>
              <w:jc w:val="center"/>
            </w:pPr>
            <w:r>
              <w:rPr>
                <w:sz w:val="20"/>
              </w:rPr>
              <w:t>Ozone</w:t>
            </w:r>
          </w:p>
        </w:tc>
        <w:tc>
          <w:tcPr>
            <w:tcW w:type="dxa" w:w="3135"/>
            <w:shd w:fill="FFF5F5" w:val="clear"/>
          </w:tcPr>
          <w:p>
            <w:pPr>
              <w:jc w:val="center"/>
            </w:pPr>
            <w:r>
              <w:rPr>
                <w:sz w:val="20"/>
              </w:rPr>
              <w:t>12</w:t>
            </w:r>
          </w:p>
        </w:tc>
        <w:tc>
          <w:tcPr>
            <w:tcW w:type="dxa" w:w="3135"/>
            <w:shd w:fill="FFF5F5" w:val="clear"/>
          </w:tcPr>
          <w:p>
            <w:pPr>
              <w:jc w:val="center"/>
            </w:pPr>
            <w:r>
              <w:rPr>
                <w:sz w:val="20"/>
              </w:rPr>
              <w:t>0.10</w:t>
            </w:r>
          </w:p>
        </w:tc>
      </w:tr>
      <w:tr>
        <w:tc>
          <w:tcPr>
            <w:tcW w:type="dxa" w:w="3135"/>
            <w:shd w:fill="FFF5F5" w:val="clear"/>
          </w:tcPr>
          <w:p>
            <w:pPr>
              <w:jc w:val="center"/>
            </w:pPr>
            <w:r>
              <w:rPr>
                <w:sz w:val="20"/>
              </w:rPr>
              <w:t>NOx</w:t>
            </w:r>
          </w:p>
        </w:tc>
        <w:tc>
          <w:tcPr>
            <w:tcW w:type="dxa" w:w="3135"/>
            <w:shd w:fill="FFF5F5" w:val="clear"/>
          </w:tcPr>
          <w:p>
            <w:pPr>
              <w:jc w:val="center"/>
            </w:pPr>
            <w:r>
              <w:rPr>
                <w:sz w:val="20"/>
              </w:rPr>
              <w:t>9</w:t>
            </w:r>
          </w:p>
        </w:tc>
        <w:tc>
          <w:tcPr>
            <w:tcW w:type="dxa" w:w="3135"/>
            <w:shd w:fill="FFF5F5" w:val="clear"/>
          </w:tcPr>
          <w:p>
            <w:pPr>
              <w:jc w:val="center"/>
            </w:pPr>
            <w:r>
              <w:rPr>
                <w:sz w:val="20"/>
              </w:rPr>
              <w:t>-0.02</w:t>
            </w:r>
          </w:p>
        </w:tc>
      </w:tr>
      <w:tr>
        <w:tc>
          <w:tcPr>
            <w:tcW w:type="dxa" w:w="3135"/>
            <w:shd w:fill="FFF5F5" w:val="clear"/>
          </w:tcPr>
          <w:p>
            <w:pPr>
              <w:jc w:val="center"/>
            </w:pPr>
            <w:r>
              <w:rPr>
                <w:sz w:val="20"/>
              </w:rPr>
              <w:t>MP_Xylene</w:t>
            </w:r>
          </w:p>
        </w:tc>
        <w:tc>
          <w:tcPr>
            <w:tcW w:type="dxa" w:w="3135"/>
            <w:shd w:fill="FFF5F5" w:val="clear"/>
          </w:tcPr>
          <w:p>
            <w:pPr>
              <w:jc w:val="center"/>
            </w:pPr>
            <w:r>
              <w:rPr>
                <w:sz w:val="20"/>
              </w:rPr>
              <w:t>9</w:t>
            </w:r>
          </w:p>
        </w:tc>
        <w:tc>
          <w:tcPr>
            <w:tcW w:type="dxa" w:w="3135"/>
            <w:shd w:fill="FFF5F5" w:val="clear"/>
          </w:tcPr>
          <w:p>
            <w:pPr>
              <w:jc w:val="center"/>
            </w:pPr>
            <w:r>
              <w:rPr>
                <w:sz w:val="20"/>
              </w:rPr>
              <w:t>0.11</w:t>
            </w:r>
          </w:p>
        </w:tc>
      </w:tr>
      <w:tr>
        <w:tc>
          <w:tcPr>
            <w:tcW w:type="dxa" w:w="3135"/>
            <w:shd w:fill="FFF5F5" w:val="clear"/>
          </w:tcPr>
          <w:p>
            <w:pPr>
              <w:jc w:val="center"/>
            </w:pPr>
            <w:r>
              <w:rPr>
                <w:sz w:val="20"/>
              </w:rPr>
              <w:t>PM10</w:t>
            </w:r>
          </w:p>
        </w:tc>
        <w:tc>
          <w:tcPr>
            <w:tcW w:type="dxa" w:w="3135"/>
            <w:shd w:fill="FFF5F5" w:val="clear"/>
          </w:tcPr>
          <w:p>
            <w:pPr>
              <w:jc w:val="center"/>
            </w:pPr>
            <w:r>
              <w:rPr>
                <w:sz w:val="20"/>
              </w:rPr>
              <w:t>8</w:t>
            </w:r>
          </w:p>
        </w:tc>
        <w:tc>
          <w:tcPr>
            <w:tcW w:type="dxa" w:w="3135"/>
            <w:shd w:fill="FFF5F5" w:val="clear"/>
          </w:tcPr>
          <w:p>
            <w:pPr>
              <w:jc w:val="center"/>
            </w:pPr>
            <w:r>
              <w:rPr>
                <w:sz w:val="20"/>
              </w:rPr>
              <w:t>0.01</w:t>
            </w:r>
          </w:p>
        </w:tc>
      </w:tr>
      <w:tr>
        <w:tc>
          <w:tcPr>
            <w:tcW w:type="dxa" w:w="3135"/>
            <w:shd w:fill="FFF5F5" w:val="clear"/>
          </w:tcPr>
          <w:p>
            <w:pPr>
              <w:jc w:val="center"/>
            </w:pPr>
            <w:r>
              <w:rPr>
                <w:sz w:val="20"/>
              </w:rPr>
              <w:t>NO2</w:t>
            </w:r>
          </w:p>
        </w:tc>
        <w:tc>
          <w:tcPr>
            <w:tcW w:type="dxa" w:w="3135"/>
            <w:shd w:fill="FFF5F5" w:val="clear"/>
          </w:tcPr>
          <w:p>
            <w:pPr>
              <w:jc w:val="center"/>
            </w:pPr>
            <w:r>
              <w:rPr>
                <w:sz w:val="20"/>
              </w:rPr>
              <w:t>7</w:t>
            </w:r>
          </w:p>
        </w:tc>
        <w:tc>
          <w:tcPr>
            <w:tcW w:type="dxa" w:w="3135"/>
            <w:shd w:fill="FFF5F5" w:val="clear"/>
          </w:tcPr>
          <w:p>
            <w:pPr>
              <w:jc w:val="center"/>
            </w:pPr>
            <w:r>
              <w:rPr>
                <w:sz w:val="20"/>
              </w:rPr>
              <w:t>-0.04</w:t>
            </w:r>
          </w:p>
        </w:tc>
      </w:tr>
    </w:tbl>
    <w:p>
      <w:r>
        <w:br w:type="page"/>
      </w:r>
    </w:p>
    <w:p>
      <w:pPr>
        <w:pStyle w:val="Heading1"/>
        <w:spacing w:before="360" w:after="160"/>
      </w:pPr>
      <w:r>
        <w:rPr>
          <w:color w:val="1A2C4E"/>
          <w:sz w:val="36"/>
        </w:rPr>
        <w:t>Section 05 — Temporal Dependency: ACF and PACF</w:t>
      </w:r>
    </w:p>
    <w:p>
      <w:pPr>
        <w:jc w:val="center"/>
      </w:pPr>
      <w:r>
        <w:drawing>
          <wp:inline xmlns:a="http://schemas.openxmlformats.org/drawingml/2006/main" xmlns:pic="http://schemas.openxmlformats.org/drawingml/2006/picture">
            <wp:extent cx="5486400" cy="4131194"/>
            <wp:docPr id="5" name="Picture 5"/>
            <wp:cNvGraphicFramePr>
              <a:graphicFrameLocks noChangeAspect="1"/>
            </wp:cNvGraphicFramePr>
            <a:graphic>
              <a:graphicData uri="http://schemas.openxmlformats.org/drawingml/2006/picture">
                <pic:pic>
                  <pic:nvPicPr>
                    <pic:cNvPr id="0" name="chart5_acf_pacf.png"/>
                    <pic:cNvPicPr/>
                  </pic:nvPicPr>
                  <pic:blipFill>
                    <a:blip r:embed="rId13"/>
                    <a:stretch>
                      <a:fillRect/>
                    </a:stretch>
                  </pic:blipFill>
                  <pic:spPr>
                    <a:xfrm>
                      <a:off x="0" y="0"/>
                      <a:ext cx="5486400" cy="4131194"/>
                    </a:xfrm>
                    <a:prstGeom prst="rect"/>
                  </pic:spPr>
                </pic:pic>
              </a:graphicData>
            </a:graphic>
          </wp:inline>
        </w:drawing>
      </w:r>
    </w:p>
    <w:p>
      <w:pPr>
        <w:spacing w:before="40" w:after="200"/>
        <w:jc w:val="center"/>
      </w:pPr>
      <w:r>
        <w:rPr>
          <w:i/>
          <w:color w:val="6B7280"/>
          <w:sz w:val="18"/>
        </w:rPr>
        <w:t>Figure — (a) ACF ρ̂(k) = Corr(x_t, x_{t-k}) (Eq. 12). (b) PACF φ̂_kk: conditional correlation at lag k (Eq. 13). Bars outside red dashed CI band indicate significant temporal dependence.</w:t>
      </w:r>
    </w:p>
    <w:p>
      <w:pPr>
        <w:spacing w:before="80" w:after="160"/>
        <w:ind w:left="280"/>
      </w:pPr>
      <w:r>
        <w:rPr>
          <w:b/>
          <w:color w:val="1A6B72"/>
          <w:sz w:val="19"/>
        </w:rPr>
        <w:t xml:space="preserve">► Chart Insight:  </w:t>
      </w:r>
      <w:r>
        <w:rPr>
          <w:i/>
          <w:color w:val="1F2937"/>
          <w:sz w:val="19"/>
        </w:rPr>
        <w:t>PM10 lag-1 autocorrelation: ρ̂(1) = 0.793 — strong temporal memory (today's PM10 strongly predicts tomorrow's). ACF at 48 lags and PACF at 24 lags. Dashed lines = 95% confidence bounds (±1.96/√n). Bars extending beyond the dashed lines are statistically significant. This autocorrelation structure violates the independence assumption of standard statistical tests.</w:t>
      </w:r>
    </w:p>
    <w:p>
      <w:pPr>
        <w:spacing w:before="60" w:after="120"/>
      </w:pPr>
      <w:r>
        <w:rPr>
          <w:i w:val="0"/>
          <w:sz w:val="22"/>
        </w:rPr>
        <w:t>The Autocorrelation Function (ACF) measures the total correlation between observations separated by lag k. The Partial ACF (PACF) isolates the direct contribution of lag k after removing the influence of all shorter lags. Together, ACF and PACF characterise the temporal memory structure of the series and provide the empirical basis for identifying appropriate ARMA model orders.</w:t>
      </w:r>
    </w:p>
    <w:p>
      <w:r>
        <w:br w:type="page"/>
      </w:r>
    </w:p>
    <w:p>
      <w:pPr>
        <w:pStyle w:val="Heading1"/>
        <w:spacing w:before="360" w:after="160"/>
      </w:pPr>
      <w:r>
        <w:rPr>
          <w:color w:val="1A2C4E"/>
          <w:sz w:val="36"/>
        </w:rPr>
        <w:t>Section 06 — Correlation &amp; Multivariate Analysis</w:t>
      </w:r>
    </w:p>
    <w:p>
      <w:pPr>
        <w:spacing w:before="60" w:after="120"/>
      </w:pPr>
      <w:r>
        <w:rPr>
          <w:i w:val="0"/>
          <w:sz w:val="22"/>
        </w:rPr>
        <w:t>The strongest statistical associations identified in the correlation analysis are between NO2 and NOx (r=0.688), NH3 and NOx (r=0.652), and NO2 and NH3 (r=0.61). These correlations suggest that there is a significant positive relationship between these variables, but it is essential to note that correlation does not imply causation. The observed associations may be due to shared underlying factors or other confounding variables, rather than direct causal relationships.</w:t>
      </w:r>
    </w:p>
    <w:p>
      <w:pPr>
        <w:jc w:val="center"/>
      </w:pPr>
      <w:r>
        <w:drawing>
          <wp:inline xmlns:a="http://schemas.openxmlformats.org/drawingml/2006/main" xmlns:pic="http://schemas.openxmlformats.org/drawingml/2006/picture">
            <wp:extent cx="5486400" cy="5016560"/>
            <wp:docPr id="6" name="Picture 6"/>
            <wp:cNvGraphicFramePr>
              <a:graphicFrameLocks noChangeAspect="1"/>
            </wp:cNvGraphicFramePr>
            <a:graphic>
              <a:graphicData uri="http://schemas.openxmlformats.org/drawingml/2006/picture">
                <pic:pic>
                  <pic:nvPicPr>
                    <pic:cNvPr id="0" name="chart2_correlation.png"/>
                    <pic:cNvPicPr/>
                  </pic:nvPicPr>
                  <pic:blipFill>
                    <a:blip r:embed="rId14"/>
                    <a:stretch>
                      <a:fillRect/>
                    </a:stretch>
                  </pic:blipFill>
                  <pic:spPr>
                    <a:xfrm>
                      <a:off x="0" y="0"/>
                      <a:ext cx="5486400" cy="5016560"/>
                    </a:xfrm>
                    <a:prstGeom prst="rect"/>
                  </pic:spPr>
                </pic:pic>
              </a:graphicData>
            </a:graphic>
          </wp:inline>
        </w:drawing>
      </w:r>
    </w:p>
    <w:p>
      <w:pPr>
        <w:spacing w:before="40" w:after="200"/>
        <w:jc w:val="center"/>
      </w:pPr>
      <w:r>
        <w:rPr>
          <w:i/>
          <w:color w:val="6B7280"/>
          <w:sz w:val="18"/>
        </w:rPr>
        <w:t>Figure — Pearson correlation matrix R (Eq. 18). Blue = positive, red = negative. Values annotated per cell. FORMAL CAUSAL DISCLAIMER: Corr(X,Y) ≢ C(X→Y). Association does not imply causation.</w:t>
      </w:r>
    </w:p>
    <w:p>
      <w:pPr>
        <w:spacing w:before="80" w:after="160"/>
        <w:ind w:left="280"/>
      </w:pPr>
      <w:r>
        <w:rPr>
          <w:b/>
          <w:color w:val="1A6B72"/>
          <w:sz w:val="19"/>
        </w:rPr>
        <w:t xml:space="preserve">► Chart Insight:  </w:t>
      </w:r>
      <w:r>
        <w:rPr>
          <w:i/>
          <w:color w:val="1F2937"/>
          <w:sz w:val="19"/>
        </w:rPr>
        <w:t>Strongest association: NO2–NOx (r = 0.688, positive). PM10–humidity association: r = -0.363 (rain washes out particles — consistent with wet deposition). NOTE: All correlations are statistical associations only — not causal relationships.</w:t>
      </w:r>
    </w:p>
    <w:p>
      <w:pPr>
        <w:pStyle w:val="Heading2"/>
        <w:spacing w:before="240" w:after="120"/>
      </w:pPr>
      <w:r>
        <w:rPr>
          <w:color w:val="2557A7"/>
          <w:sz w:val="28"/>
        </w:rPr>
        <w:t>OLS Regression: PM10 ~ f(meteorological variables) (Eq. 14)</w:t>
      </w:r>
    </w:p>
    <w:p>
      <w:pPr>
        <w:spacing w:before="60" w:after="120"/>
      </w:pPr>
      <w:r>
        <w:rPr>
          <w:i w:val="0"/>
          <w:sz w:val="22"/>
        </w:rPr>
        <w:t>β̂ = (XᵀX)⁻¹Xᵀy. R² = 0.4244. n = 366 observations. Association only — Corr(X,Y) does not imply causation (Eq. 17)</w:t>
      </w:r>
    </w:p>
    <w:tbl>
      <w:tblPr>
        <w:tblStyle w:val="TableGrid"/>
        <w:tblW w:type="auto" w:w="0"/>
        <w:tblLook w:firstColumn="1" w:firstRow="1" w:lastColumn="0" w:lastRow="0" w:noHBand="0" w:noVBand="1" w:val="04A0"/>
      </w:tblPr>
      <w:tblGrid>
        <w:gridCol w:w="3135"/>
        <w:gridCol w:w="3135"/>
        <w:gridCol w:w="3135"/>
      </w:tblGrid>
      <w:tr>
        <w:tc>
          <w:tcPr>
            <w:tcW w:type="dxa" w:w="3135"/>
            <w:shd w:fill="1A2C4E" w:val="clear"/>
          </w:tcPr>
          <w:p>
            <w:r>
              <w:rPr>
                <w:b/>
                <w:color w:val="FFFFFF"/>
                <w:sz w:val="20"/>
              </w:rPr>
              <w:t>Predictor</w:t>
            </w:r>
          </w:p>
        </w:tc>
        <w:tc>
          <w:tcPr>
            <w:tcW w:type="dxa" w:w="3135"/>
            <w:shd w:fill="1A2C4E" w:val="clear"/>
          </w:tcPr>
          <w:p>
            <w:r>
              <w:rPr>
                <w:b/>
                <w:color w:val="FFFFFF"/>
                <w:sz w:val="20"/>
              </w:rPr>
              <w:t>Coefficient β̂</w:t>
            </w:r>
          </w:p>
        </w:tc>
        <w:tc>
          <w:tcPr>
            <w:tcW w:type="dxa" w:w="3135"/>
            <w:shd w:fill="1A2C4E" w:val="clear"/>
          </w:tcPr>
          <w:p>
            <w:r>
              <w:rPr>
                <w:b/>
                <w:color w:val="FFFFFF"/>
                <w:sz w:val="20"/>
              </w:rPr>
              <w:t>Interpretation</w:t>
            </w:r>
          </w:p>
        </w:tc>
      </w:tr>
      <w:tr>
        <w:tc>
          <w:tcPr>
            <w:tcW w:type="dxa" w:w="3135"/>
            <w:shd w:fill="DCE8F5" w:val="clear"/>
          </w:tcPr>
          <w:p>
            <w:r>
              <w:rPr>
                <w:sz w:val="20"/>
              </w:rPr>
              <w:t>humidity_pct</w:t>
            </w:r>
          </w:p>
        </w:tc>
        <w:tc>
          <w:tcPr>
            <w:tcW w:type="dxa" w:w="3135"/>
            <w:shd w:fill="DCE8F5" w:val="clear"/>
          </w:tcPr>
          <w:p>
            <w:r>
              <w:rPr>
                <w:sz w:val="20"/>
              </w:rPr>
              <w:t>-41.9372</w:t>
            </w:r>
          </w:p>
        </w:tc>
        <w:tc>
          <w:tcPr>
            <w:tcW w:type="dxa" w:w="3135"/>
            <w:shd w:fill="DCE8F5" w:val="clear"/>
          </w:tcPr>
          <w:p>
            <w:r>
              <w:rPr>
                <w:sz w:val="20"/>
              </w:rPr>
              <w:t>negative association</w:t>
            </w:r>
          </w:p>
        </w:tc>
      </w:tr>
      <w:tr>
        <w:tc>
          <w:tcPr>
            <w:tcW w:type="dxa" w:w="3135"/>
            <w:shd w:fill="DCE8F5" w:val="clear"/>
          </w:tcPr>
          <w:p>
            <w:r>
              <w:rPr>
                <w:sz w:val="20"/>
              </w:rPr>
              <w:t>wind_speed_10m</w:t>
            </w:r>
          </w:p>
        </w:tc>
        <w:tc>
          <w:tcPr>
            <w:tcW w:type="dxa" w:w="3135"/>
            <w:shd w:fill="DCE8F5" w:val="clear"/>
          </w:tcPr>
          <w:p>
            <w:r>
              <w:rPr>
                <w:sz w:val="20"/>
              </w:rPr>
              <w:t>-2.4456</w:t>
            </w:r>
          </w:p>
        </w:tc>
        <w:tc>
          <w:tcPr>
            <w:tcW w:type="dxa" w:w="3135"/>
            <w:shd w:fill="DCE8F5" w:val="clear"/>
          </w:tcPr>
          <w:p>
            <w:r>
              <w:rPr>
                <w:sz w:val="20"/>
              </w:rPr>
              <w:t>negative association</w:t>
            </w:r>
          </w:p>
        </w:tc>
      </w:tr>
      <w:tr>
        <w:tc>
          <w:tcPr>
            <w:tcW w:type="dxa" w:w="3135"/>
            <w:shd w:fill="DCE8F5" w:val="clear"/>
          </w:tcPr>
          <w:p>
            <w:r>
              <w:rPr>
                <w:sz w:val="20"/>
              </w:rPr>
              <w:t>rain_mm</w:t>
            </w:r>
          </w:p>
        </w:tc>
        <w:tc>
          <w:tcPr>
            <w:tcW w:type="dxa" w:w="3135"/>
            <w:shd w:fill="DCE8F5" w:val="clear"/>
          </w:tcPr>
          <w:p>
            <w:r>
              <w:rPr>
                <w:sz w:val="20"/>
              </w:rPr>
              <w:t>0.0197</w:t>
            </w:r>
          </w:p>
        </w:tc>
        <w:tc>
          <w:tcPr>
            <w:tcW w:type="dxa" w:w="3135"/>
            <w:shd w:fill="DCE8F5" w:val="clear"/>
          </w:tcPr>
          <w:p>
            <w:r>
              <w:rPr>
                <w:sz w:val="20"/>
              </w:rPr>
              <w:t>positive association</w:t>
            </w:r>
          </w:p>
        </w:tc>
      </w:tr>
      <w:tr>
        <w:tc>
          <w:tcPr>
            <w:tcW w:type="dxa" w:w="3135"/>
            <w:shd w:fill="DCE8F5" w:val="clear"/>
          </w:tcPr>
          <w:p>
            <w:r>
              <w:rPr>
                <w:sz w:val="20"/>
              </w:rPr>
              <w:t>pressure_hpa</w:t>
            </w:r>
          </w:p>
        </w:tc>
        <w:tc>
          <w:tcPr>
            <w:tcW w:type="dxa" w:w="3135"/>
            <w:shd w:fill="DCE8F5" w:val="clear"/>
          </w:tcPr>
          <w:p>
            <w:r>
              <w:rPr>
                <w:sz w:val="20"/>
              </w:rPr>
              <w:t>45.8383</w:t>
            </w:r>
          </w:p>
        </w:tc>
        <w:tc>
          <w:tcPr>
            <w:tcW w:type="dxa" w:w="3135"/>
            <w:shd w:fill="DCE8F5" w:val="clear"/>
          </w:tcPr>
          <w:p>
            <w:r>
              <w:rPr>
                <w:sz w:val="20"/>
              </w:rPr>
              <w:t>positive association</w:t>
            </w:r>
          </w:p>
        </w:tc>
      </w:tr>
    </w:tbl>
    <w:p>
      <w:pPr>
        <w:spacing w:before="60" w:after="120"/>
      </w:pPr>
      <w:r>
        <w:rPr>
          <w:i/>
          <w:sz w:val="22"/>
        </w:rPr>
        <w:t>Coefficients are standardised (predictors are z-score normalised before regression). The R² value quantifies how much of the variance in the target variable is explained by the meteorological predictors in this dataset. No causal interpretation is warranted — regression coefficients describe statistical association only.</w:t>
      </w:r>
    </w:p>
    <w:p>
      <w:r>
        <w:br w:type="page"/>
      </w:r>
    </w:p>
    <w:p>
      <w:pPr>
        <w:pStyle w:val="Heading1"/>
        <w:spacing w:before="360" w:after="160"/>
      </w:pPr>
      <w:r>
        <w:rPr>
          <w:color w:val="1A2C4E"/>
          <w:sz w:val="36"/>
        </w:rPr>
        <w:t>Section 07 — Seasonal Pattern Analysis</w:t>
      </w:r>
    </w:p>
    <w:p>
      <w:pPr>
        <w:spacing w:before="60" w:after="120"/>
      </w:pPr>
      <w:r>
        <w:rPr>
          <w:i w:val="0"/>
          <w:sz w:val="22"/>
        </w:rPr>
        <w:t>Monthly box plots reveal the full distribution of daily pollutant concentrations across the year. Each box spans the 25th to 75th percentile, with the horizontal line at the median. Whiskers extend to 1.5 times the inter-quartile range; individual points beyond the whiskers are statistical outliers. This non-parametric display requires no normality assumption and clearly shows which months carry the highest pollution burden.</w:t>
      </w:r>
    </w:p>
    <w:p>
      <w:pPr>
        <w:jc w:val="center"/>
      </w:pPr>
      <w:r>
        <w:drawing>
          <wp:inline xmlns:a="http://schemas.openxmlformats.org/drawingml/2006/main" xmlns:pic="http://schemas.openxmlformats.org/drawingml/2006/picture">
            <wp:extent cx="5669280" cy="3430923"/>
            <wp:docPr id="7" name="Picture 7"/>
            <wp:cNvGraphicFramePr>
              <a:graphicFrameLocks noChangeAspect="1"/>
            </wp:cNvGraphicFramePr>
            <a:graphic>
              <a:graphicData uri="http://schemas.openxmlformats.org/drawingml/2006/picture">
                <pic:pic>
                  <pic:nvPicPr>
                    <pic:cNvPr id="0" name="chart7_seasonal.png"/>
                    <pic:cNvPicPr/>
                  </pic:nvPicPr>
                  <pic:blipFill>
                    <a:blip r:embed="rId15"/>
                    <a:stretch>
                      <a:fillRect/>
                    </a:stretch>
                  </pic:blipFill>
                  <pic:spPr>
                    <a:xfrm>
                      <a:off x="0" y="0"/>
                      <a:ext cx="5669280" cy="3430923"/>
                    </a:xfrm>
                    <a:prstGeom prst="rect"/>
                  </pic:spPr>
                </pic:pic>
              </a:graphicData>
            </a:graphic>
          </wp:inline>
        </w:drawing>
      </w:r>
    </w:p>
    <w:p>
      <w:pPr>
        <w:spacing w:before="40" w:after="200"/>
        <w:jc w:val="center"/>
      </w:pPr>
      <w:r>
        <w:rPr>
          <w:i/>
          <w:color w:val="6B7280"/>
          <w:sz w:val="18"/>
        </w:rPr>
        <w:t>Figure — Monthly distribution: median x̃ (Eq. 24), IQR (Eq. 25), whiskers = 1.5×IQR. Non-parametric — no normality assumption. Dotted line = WHO 24h reference guideline.</w:t>
      </w:r>
    </w:p>
    <w:p>
      <w:pPr>
        <w:spacing w:before="80" w:after="160"/>
        <w:ind w:left="280"/>
      </w:pPr>
      <w:r>
        <w:rPr>
          <w:b/>
          <w:color w:val="1A6B72"/>
          <w:sz w:val="19"/>
        </w:rPr>
        <w:t xml:space="preserve">► Chart Insight:  </w:t>
      </w:r>
      <w:r>
        <w:rPr>
          <w:i/>
          <w:color w:val="1F2937"/>
          <w:sz w:val="19"/>
        </w:rPr>
        <w:t>Monthly box plots show the full distribution of daily PM10 means for each month. Peak pollution month: Jan. Lowest pollution month: Sep. Box = 25th–75th percentile. Whiskers = 1.5×IQR. Circles = outlier days. Annual PM10 σ = 83.8 µg/m³ — indicating high seasonal variability.</w:t>
      </w:r>
    </w:p>
    <w:p>
      <w:r>
        <w:br w:type="page"/>
      </w:r>
    </w:p>
    <w:p>
      <w:pPr>
        <w:pStyle w:val="Heading1"/>
        <w:spacing w:before="360" w:after="160"/>
      </w:pPr>
      <w:r>
        <w:rPr>
          <w:color w:val="1A2C4E"/>
          <w:sz w:val="36"/>
        </w:rPr>
        <w:t>Section 08 — Diurnal Cycle Analysis</w:t>
      </w:r>
    </w:p>
    <w:p>
      <w:pPr>
        <w:spacing w:before="60" w:after="120"/>
      </w:pPr>
      <w:r>
        <w:rPr>
          <w:i w:val="0"/>
          <w:sz w:val="22"/>
        </w:rPr>
        <w:t>The diurnal profile shows the average pollutant concentration for each hour of the day (00:00 to 23:00), computed across the full monitoring period. The timing of daily peaks identifies the dominant emission sources: morning and evening peaks typically indicate traffic, while midday peaks may reflect industrial or secondary photochemical formation. The shaded band represents the mean ± 1σ envelope across all days in the dataset. The normalised overlay panel (peak = 1.0 per pollutant) allows direct shape comparison across variables regardless of their concentration magnitudes.</w:t>
      </w:r>
    </w:p>
    <w:p>
      <w:pPr>
        <w:jc w:val="center"/>
      </w:pPr>
      <w:r>
        <w:drawing>
          <wp:inline xmlns:a="http://schemas.openxmlformats.org/drawingml/2006/main" xmlns:pic="http://schemas.openxmlformats.org/drawingml/2006/picture">
            <wp:extent cx="5669280" cy="4112727"/>
            <wp:docPr id="8" name="Picture 8"/>
            <wp:cNvGraphicFramePr>
              <a:graphicFrameLocks noChangeAspect="1"/>
            </wp:cNvGraphicFramePr>
            <a:graphic>
              <a:graphicData uri="http://schemas.openxmlformats.org/drawingml/2006/picture">
                <pic:pic>
                  <pic:nvPicPr>
                    <pic:cNvPr id="0" name="chart8_diurnal.png"/>
                    <pic:cNvPicPr/>
                  </pic:nvPicPr>
                  <pic:blipFill>
                    <a:blip r:embed="rId16"/>
                    <a:stretch>
                      <a:fillRect/>
                    </a:stretch>
                  </pic:blipFill>
                  <pic:spPr>
                    <a:xfrm>
                      <a:off x="0" y="0"/>
                      <a:ext cx="5669280" cy="4112727"/>
                    </a:xfrm>
                    <a:prstGeom prst="rect"/>
                  </pic:spPr>
                </pic:pic>
              </a:graphicData>
            </a:graphic>
          </wp:inline>
        </w:drawing>
      </w:r>
    </w:p>
    <w:p>
      <w:pPr>
        <w:spacing w:before="40" w:after="200"/>
        <w:jc w:val="center"/>
      </w:pPr>
      <w:r>
        <w:rPr>
          <w:i/>
          <w:color w:val="6B7280"/>
          <w:sz w:val="18"/>
        </w:rPr>
        <w:t>Figure — Hourly diurnal profile for key pollutants. Shaded band = mean ± σ. Bottom-right panel: normalised overlay (peak = 1.0 per variable). Peak hours identify primary emission timing.</w:t>
      </w:r>
    </w:p>
    <w:p>
      <w:pPr>
        <w:spacing w:before="80" w:after="160"/>
        <w:ind w:left="280"/>
      </w:pPr>
      <w:r>
        <w:rPr>
          <w:b/>
          <w:color w:val="1A6B72"/>
          <w:sz w:val="19"/>
        </w:rPr>
        <w:t xml:space="preserve">► Chart Insight:  </w:t>
      </w:r>
      <w:r>
        <w:rPr>
          <w:i/>
          <w:color w:val="1F2937"/>
          <w:sz w:val="19"/>
        </w:rPr>
        <w:t>Diurnal PM10 pattern: peak at 23:00 (218.3 µg/m³), minimum at 16:00 (154.0 µg/m³). Peak timing may reflect local industrial or meteorological patterns. Diurnal amplitude = 64.4 µg/m³.</w:t>
      </w:r>
    </w:p>
    <w:p>
      <w:r>
        <w:br w:type="page"/>
      </w:r>
    </w:p>
    <w:p>
      <w:pPr>
        <w:pStyle w:val="Heading1"/>
        <w:spacing w:before="360" w:after="160"/>
      </w:pPr>
      <w:r>
        <w:rPr>
          <w:color w:val="1A2C4E"/>
          <w:sz w:val="36"/>
        </w:rPr>
        <w:t>Section 09 — Day-of-Week Pattern</w:t>
      </w:r>
    </w:p>
    <w:p>
      <w:pPr>
        <w:spacing w:before="60" w:after="120"/>
      </w:pPr>
      <w:r>
        <w:rPr>
          <w:i w:val="0"/>
          <w:sz w:val="22"/>
        </w:rPr>
        <w:t>Day-of-week analysis reveals whether pollution follows a weekly anthropogenic cycle. Concentrations are typically higher on weekdays due to traffic and industrial activity, and lower on weekends. A clear weekday-to-weekend contrast indicates human-driven emission sources; the absence of such a pattern suggests natural or regionally transported background pollution.</w:t>
      </w:r>
    </w:p>
    <w:p>
      <w:pPr>
        <w:jc w:val="center"/>
      </w:pPr>
      <w:r>
        <w:drawing>
          <wp:inline xmlns:a="http://schemas.openxmlformats.org/drawingml/2006/main" xmlns:pic="http://schemas.openxmlformats.org/drawingml/2006/picture">
            <wp:extent cx="5669280" cy="2956955"/>
            <wp:docPr id="9" name="Picture 9"/>
            <wp:cNvGraphicFramePr>
              <a:graphicFrameLocks noChangeAspect="1"/>
            </wp:cNvGraphicFramePr>
            <a:graphic>
              <a:graphicData uri="http://schemas.openxmlformats.org/drawingml/2006/picture">
                <pic:pic>
                  <pic:nvPicPr>
                    <pic:cNvPr id="0" name="chart9_day_of_week.png"/>
                    <pic:cNvPicPr/>
                  </pic:nvPicPr>
                  <pic:blipFill>
                    <a:blip r:embed="rId17"/>
                    <a:stretch>
                      <a:fillRect/>
                    </a:stretch>
                  </pic:blipFill>
                  <pic:spPr>
                    <a:xfrm>
                      <a:off x="0" y="0"/>
                      <a:ext cx="5669280" cy="2956955"/>
                    </a:xfrm>
                    <a:prstGeom prst="rect"/>
                  </pic:spPr>
                </pic:pic>
              </a:graphicData>
            </a:graphic>
          </wp:inline>
        </w:drawing>
      </w:r>
    </w:p>
    <w:p>
      <w:pPr>
        <w:spacing w:before="40" w:after="200"/>
        <w:jc w:val="center"/>
      </w:pPr>
      <w:r>
        <w:rPr>
          <w:i/>
          <w:color w:val="6B7280"/>
          <w:sz w:val="18"/>
        </w:rPr>
        <w:t>Figure — Mean daily concentration by day of week. Error bars = ±1σ. Weekday–weekend contrast indicates anthropogenic emission cycle.</w:t>
      </w:r>
    </w:p>
    <w:p>
      <w:pPr>
        <w:spacing w:before="80" w:after="160"/>
        <w:ind w:left="280"/>
      </w:pPr>
      <w:r>
        <w:rPr>
          <w:b/>
          <w:color w:val="1A6B72"/>
          <w:sz w:val="19"/>
        </w:rPr>
        <w:t xml:space="preserve">► Chart Insight:  </w:t>
      </w:r>
      <w:r>
        <w:rPr>
          <w:i/>
          <w:color w:val="1F2937"/>
          <w:sz w:val="19"/>
        </w:rPr>
        <w:t>Highest PM10: Wed. Lowest: Thu. Weekday mean: 184.8 µg/m³ vs weekend mean: 185.7 µg/m³ (minimal weekday–weekend difference — suggests non-traffic dominant sources).</w:t>
      </w:r>
    </w:p>
    <w:p>
      <w:r>
        <w:br w:type="page"/>
      </w:r>
    </w:p>
    <w:p>
      <w:pPr>
        <w:pStyle w:val="Heading1"/>
        <w:spacing w:before="360" w:after="160"/>
      </w:pPr>
      <w:r>
        <w:rPr>
          <w:color w:val="1A2C4E"/>
          <w:sz w:val="36"/>
        </w:rPr>
        <w:t>Section 10 — Volatile Organic Compounds (VOC) Panel</w:t>
      </w:r>
    </w:p>
    <w:p>
      <w:pPr>
        <w:spacing w:before="60" w:after="120"/>
      </w:pPr>
      <w:r>
        <w:rPr>
          <w:i w:val="0"/>
          <w:sz w:val="22"/>
        </w:rPr>
        <w:t>The BTEX group (Benzene, Toluene, Ethylbenzene, and Xylene) together with MP-Xylene are primary markers of vehicular exhaust and industrial solvent emissions. Benzene is classified as a Group 1 carcinogen by the IARC, with a WHO annual reference concentration of 1.7 µg/m³. The grouped monthly bar chart in panel (b) reveals the seasonal pattern of VOC concentrations and identifies months with elevated BTEX loading.</w:t>
      </w:r>
    </w:p>
    <w:p>
      <w:pPr>
        <w:jc w:val="center"/>
      </w:pPr>
      <w:r>
        <w:drawing>
          <wp:inline xmlns:a="http://schemas.openxmlformats.org/drawingml/2006/main" xmlns:pic="http://schemas.openxmlformats.org/drawingml/2006/picture">
            <wp:extent cx="5486400" cy="4705156"/>
            <wp:docPr id="10" name="Picture 10"/>
            <wp:cNvGraphicFramePr>
              <a:graphicFrameLocks noChangeAspect="1"/>
            </wp:cNvGraphicFramePr>
            <a:graphic>
              <a:graphicData uri="http://schemas.openxmlformats.org/drawingml/2006/picture">
                <pic:pic>
                  <pic:nvPicPr>
                    <pic:cNvPr id="0" name="chart10_voc.png"/>
                    <pic:cNvPicPr/>
                  </pic:nvPicPr>
                  <pic:blipFill>
                    <a:blip r:embed="rId18"/>
                    <a:stretch>
                      <a:fillRect/>
                    </a:stretch>
                  </pic:blipFill>
                  <pic:spPr>
                    <a:xfrm>
                      <a:off x="0" y="0"/>
                      <a:ext cx="5486400" cy="4705156"/>
                    </a:xfrm>
                    <a:prstGeom prst="rect"/>
                  </pic:spPr>
                </pic:pic>
              </a:graphicData>
            </a:graphic>
          </wp:inline>
        </w:drawing>
      </w:r>
    </w:p>
    <w:p>
      <w:pPr>
        <w:spacing w:before="40" w:after="200"/>
        <w:jc w:val="center"/>
      </w:pPr>
      <w:r>
        <w:rPr>
          <w:i/>
          <w:color w:val="6B7280"/>
          <w:sz w:val="18"/>
        </w:rPr>
        <w:t>Figure — (a) VOC daily means time series. (b) Monthly grouped bar chart for all VOC compounds. Benzene WHO annual guideline: 1.7 µg/m³ (dotted red line, panel a).</w:t>
      </w:r>
    </w:p>
    <w:p>
      <w:pPr>
        <w:spacing w:before="80" w:after="160"/>
        <w:ind w:left="280"/>
      </w:pPr>
      <w:r>
        <w:rPr>
          <w:b/>
          <w:color w:val="1A6B72"/>
          <w:sz w:val="19"/>
        </w:rPr>
        <w:t xml:space="preserve">► Chart Insight:  </w:t>
      </w:r>
      <w:r>
        <w:rPr>
          <w:i/>
          <w:color w:val="1F2937"/>
          <w:sz w:val="19"/>
        </w:rPr>
        <w:t>Benzene annual mean: 4.372 µg/m³ (above WHO annual reference 1.7 µg/m³). Toluene annual mean: 11.12 µg/m³. BTEX compounds (Benzene, Toluene, Ethylbenzene, Xylene) indicate petrochemical and traffic emission sources. Benzene is a Group 1 IARC carcinogen — even sub-guideline levels warrant monitoring.</w:t>
      </w:r>
    </w:p>
    <w:p>
      <w:r>
        <w:br w:type="page"/>
      </w:r>
    </w:p>
    <w:p>
      <w:pPr>
        <w:pStyle w:val="Heading1"/>
        <w:spacing w:before="360" w:after="160"/>
      </w:pPr>
      <w:r>
        <w:rPr>
          <w:color w:val="1A2C4E"/>
          <w:sz w:val="36"/>
        </w:rPr>
        <w:t>Section 11 — Precipitation vs Pollutant Scatter (Wet Deposition)</w:t>
      </w:r>
    </w:p>
    <w:p>
      <w:pPr>
        <w:spacing w:before="60" w:after="120"/>
      </w:pPr>
      <w:r>
        <w:rPr>
          <w:i w:val="0"/>
          <w:sz w:val="22"/>
        </w:rPr>
        <w:t>Scatter plots of daily rainfall (mm) against PM10, SO2, and NO2 daily means reveal statistical associations between precipitation events and pollutant concentration levels. Negative Pearson r values indicate that higher rainfall is associated with lower concentrations — consistent with wet deposition, where precipitation removes particulates and soluble gases from the atmosphere. Note: this is a statistical association only. Confounding meteorological factors such as wind speed and boundary layer height may contribute independently.</w:t>
      </w:r>
    </w:p>
    <w:p>
      <w:pPr>
        <w:jc w:val="center"/>
      </w:pPr>
      <w:r>
        <w:drawing>
          <wp:inline xmlns:a="http://schemas.openxmlformats.org/drawingml/2006/main" xmlns:pic="http://schemas.openxmlformats.org/drawingml/2006/picture">
            <wp:extent cx="5669280" cy="2956955"/>
            <wp:docPr id="11" name="Picture 11"/>
            <wp:cNvGraphicFramePr>
              <a:graphicFrameLocks noChangeAspect="1"/>
            </wp:cNvGraphicFramePr>
            <a:graphic>
              <a:graphicData uri="http://schemas.openxmlformats.org/drawingml/2006/picture">
                <pic:pic>
                  <pic:nvPicPr>
                    <pic:cNvPr id="0" name="chart11_rain_scatter.png"/>
                    <pic:cNvPicPr/>
                  </pic:nvPicPr>
                  <pic:blipFill>
                    <a:blip r:embed="rId19"/>
                    <a:stretch>
                      <a:fillRect/>
                    </a:stretch>
                  </pic:blipFill>
                  <pic:spPr>
                    <a:xfrm>
                      <a:off x="0" y="0"/>
                      <a:ext cx="5669280" cy="2956955"/>
                    </a:xfrm>
                    <a:prstGeom prst="rect"/>
                  </pic:spPr>
                </pic:pic>
              </a:graphicData>
            </a:graphic>
          </wp:inline>
        </w:drawing>
      </w:r>
    </w:p>
    <w:p>
      <w:pPr>
        <w:spacing w:before="40" w:after="200"/>
        <w:jc w:val="center"/>
      </w:pPr>
      <w:r>
        <w:rPr>
          <w:i/>
          <w:color w:val="6B7280"/>
          <w:sz w:val="18"/>
        </w:rPr>
        <w:t>Figure — Daily rain (mm) vs pollutant concentration scatter. Dashed line = OLS trend. r = Pearson correlation coefficient. Association only — not causal wet deposition estimation.</w:t>
      </w:r>
    </w:p>
    <w:p>
      <w:pPr>
        <w:spacing w:before="80" w:after="160"/>
        <w:ind w:left="280"/>
      </w:pPr>
      <w:r>
        <w:rPr>
          <w:b/>
          <w:color w:val="1A6B72"/>
          <w:sz w:val="19"/>
        </w:rPr>
        <w:t xml:space="preserve">► Chart Insight:  </w:t>
      </w:r>
      <w:r>
        <w:rPr>
          <w:i/>
          <w:color w:val="1F2937"/>
          <w:sz w:val="19"/>
        </w:rPr>
        <w:t>PM10–rainfall Pearson r = -0.301 (negative — consistent with wet deposition (rain washes PM10 out of atmosphere)). OLS trend line shows association direction. IMPORTANT: This is statistical association only — not a proven causal wet-deposition mechanism.</w:t>
      </w:r>
    </w:p>
    <w:p>
      <w:r>
        <w:br w:type="page"/>
      </w:r>
    </w:p>
    <w:p>
      <w:pPr>
        <w:pStyle w:val="Heading1"/>
        <w:spacing w:before="360" w:after="160"/>
      </w:pPr>
      <w:r>
        <w:rPr>
          <w:color w:val="1A2C4E"/>
          <w:sz w:val="36"/>
        </w:rPr>
        <w:t>Section 12 — Annual Exceedance Calendar Heatmap</w:t>
      </w:r>
    </w:p>
    <w:p>
      <w:pPr>
        <w:spacing w:before="60" w:after="120"/>
      </w:pPr>
      <w:r>
        <w:rPr>
          <w:i w:val="0"/>
          <w:sz w:val="22"/>
        </w:rPr>
        <w:t>The calendar heatmap provides a full-year view of daily PM10 concentrations at a glance. Each cell shows the daily mean value. Cells marked × indicate days where the daily mean exceeded the WHO 24h guideline. The colour scale from green (clean) to red (polluted) immediately reveals seasonal pollution clusters, high-concentration episodes, and clean-air periods.</w:t>
      </w:r>
    </w:p>
    <w:p>
      <w:pPr>
        <w:jc w:val="center"/>
      </w:pPr>
      <w:r>
        <w:drawing>
          <wp:inline xmlns:a="http://schemas.openxmlformats.org/drawingml/2006/main" xmlns:pic="http://schemas.openxmlformats.org/drawingml/2006/picture">
            <wp:extent cx="5669280" cy="3240045"/>
            <wp:docPr id="12" name="Picture 12"/>
            <wp:cNvGraphicFramePr>
              <a:graphicFrameLocks noChangeAspect="1"/>
            </wp:cNvGraphicFramePr>
            <a:graphic>
              <a:graphicData uri="http://schemas.openxmlformats.org/drawingml/2006/picture">
                <pic:pic>
                  <pic:nvPicPr>
                    <pic:cNvPr id="0" name="chart12_calendar.png"/>
                    <pic:cNvPicPr/>
                  </pic:nvPicPr>
                  <pic:blipFill>
                    <a:blip r:embed="rId20"/>
                    <a:stretch>
                      <a:fillRect/>
                    </a:stretch>
                  </pic:blipFill>
                  <pic:spPr>
                    <a:xfrm>
                      <a:off x="0" y="0"/>
                      <a:ext cx="5669280" cy="3240045"/>
                    </a:xfrm>
                    <a:prstGeom prst="rect"/>
                  </pic:spPr>
                </pic:pic>
              </a:graphicData>
            </a:graphic>
          </wp:inline>
        </w:drawing>
      </w:r>
    </w:p>
    <w:p>
      <w:pPr>
        <w:spacing w:before="40" w:after="200"/>
        <w:jc w:val="center"/>
      </w:pPr>
      <w:r>
        <w:rPr>
          <w:i/>
          <w:color w:val="6B7280"/>
          <w:sz w:val="18"/>
        </w:rPr>
        <w:t>Figure — PM10 calendar heatmap: month (rows) × day of month (columns). × = WHO 24h guideline exceedance. Green = clean, Red = polluted. Numeric value = daily mean µg/m³.</w:t>
      </w:r>
    </w:p>
    <w:p>
      <w:pPr>
        <w:spacing w:before="80" w:after="160"/>
        <w:ind w:left="280"/>
      </w:pPr>
      <w:r>
        <w:rPr>
          <w:b/>
          <w:color w:val="1A6B72"/>
          <w:sz w:val="19"/>
        </w:rPr>
        <w:t xml:space="preserve">► Chart Insight:  </w:t>
      </w:r>
      <w:r>
        <w:rPr>
          <w:i/>
          <w:color w:val="1F2937"/>
          <w:sz w:val="19"/>
        </w:rPr>
        <w:t>Full-year calendar heatmap of PM10 daily means (µg/m³). × marks days exceeding WHO guideline (45.0 µg/m³). Total exceedances: 364 days (99.5% of monitored period). Clustering of × marks in Jan indicates seasonal high-pollution period. Green cells = clean days. Red cells = high pollution. Each cell value = that day's daily mean PM10 (µg/m³).</w:t>
      </w:r>
    </w:p>
    <w:p>
      <w:r>
        <w:br w:type="page"/>
      </w:r>
    </w:p>
    <w:p>
      <w:pPr>
        <w:pStyle w:val="Heading1"/>
        <w:spacing w:before="360" w:after="160"/>
      </w:pPr>
      <w:r>
        <w:rPr>
          <w:color w:val="1A2C4E"/>
          <w:sz w:val="36"/>
        </w:rPr>
        <w:t>Section 13 — Runtime Grounding Verification Certificate (RGV)</w:t>
      </w:r>
    </w:p>
    <w:p>
      <w:pPr>
        <w:spacing w:before="80" w:after="200"/>
      </w:pPr>
      <w:r>
        <w:rPr>
          <w:b/>
          <w:color w:val="4C1D95"/>
          <w:sz w:val="20"/>
        </w:rPr>
        <w:t>This section presents the Runtime Grounding Verifier (RGV), a programmatic system that verifies every numerical claim in LLM-generated text against the formal JSON contract J. Unlike prior work that enforces G(s) ⊆ J only through prompt instruction, RGV enforces it algorithmically and produces a measurable scalar metric G_rate ∈ [0, 1]. This formal verification property has no published precedent in environmental monitoring pipelines and constitutes the primary novel contribution of ATARS. [ATARS Eq. 19]</w:t>
      </w:r>
    </w:p>
    <w:p>
      <w:pPr>
        <w:pStyle w:val="Heading2"/>
        <w:spacing w:before="240" w:after="120"/>
      </w:pPr>
      <w:r>
        <w:rPr>
          <w:color w:val="2557A7"/>
          <w:sz w:val="28"/>
        </w:rPr>
        <w:t>Formal Verification Result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F4FFF4" w:val="clear"/>
          </w:tcPr>
          <w:p/>
          <w:p>
            <w:pPr>
              <w:jc w:val="center"/>
            </w:pPr>
            <w:r>
              <w:rPr>
                <w:b/>
                <w:color w:val="6B7280"/>
                <w:sz w:val="18"/>
              </w:rPr>
              <w:t>Overall G_rate</w:t>
            </w:r>
          </w:p>
          <w:p>
            <w:pPr>
              <w:jc w:val="center"/>
            </w:pPr>
            <w:r>
              <w:rPr>
                <w:b/>
                <w:color w:val="1E6B3C"/>
                <w:sz w:val="40"/>
              </w:rPr>
              <w:t>92.9%</w:t>
            </w:r>
          </w:p>
        </w:tc>
        <w:tc>
          <w:tcPr>
            <w:tcW w:type="dxa" w:w="2351"/>
            <w:shd w:fill="F4FFF4" w:val="clear"/>
          </w:tcPr>
          <w:p/>
          <w:p>
            <w:pPr>
              <w:jc w:val="center"/>
            </w:pPr>
            <w:r>
              <w:rPr>
                <w:b/>
                <w:color w:val="6B7280"/>
                <w:sz w:val="18"/>
              </w:rPr>
              <w:t>Verdict</w:t>
            </w:r>
          </w:p>
          <w:p>
            <w:pPr>
              <w:jc w:val="center"/>
            </w:pPr>
            <w:r>
              <w:rPr>
                <w:b/>
                <w:color w:val="1E6B3C"/>
                <w:sz w:val="40"/>
              </w:rPr>
              <w:t>PASS ✓</w:t>
            </w:r>
          </w:p>
        </w:tc>
        <w:tc>
          <w:tcPr>
            <w:tcW w:type="dxa" w:w="2351"/>
            <w:shd w:fill="F4FFF4" w:val="clear"/>
          </w:tcPr>
          <w:p/>
          <w:p>
            <w:pPr>
              <w:jc w:val="center"/>
            </w:pPr>
            <w:r>
              <w:rPr>
                <w:b/>
                <w:color w:val="6B7280"/>
                <w:sz w:val="18"/>
              </w:rPr>
              <w:t>Grounded / Total</w:t>
            </w:r>
          </w:p>
          <w:p>
            <w:pPr>
              <w:jc w:val="center"/>
            </w:pPr>
            <w:r>
              <w:rPr>
                <w:b/>
                <w:color w:val="2557A7"/>
                <w:sz w:val="40"/>
              </w:rPr>
              <w:t>13 / 14</w:t>
            </w:r>
          </w:p>
        </w:tc>
        <w:tc>
          <w:tcPr>
            <w:tcW w:type="dxa" w:w="2351"/>
            <w:shd w:fill="F4FFF4" w:val="clear"/>
          </w:tcPr>
          <w:p/>
          <w:p>
            <w:pPr>
              <w:jc w:val="center"/>
            </w:pPr>
            <w:r>
              <w:rPr>
                <w:b/>
                <w:color w:val="6B7280"/>
                <w:sz w:val="18"/>
              </w:rPr>
              <w:t>J Lookup Entries</w:t>
            </w:r>
          </w:p>
          <w:p>
            <w:pPr>
              <w:jc w:val="center"/>
            </w:pPr>
            <w:r>
              <w:rPr>
                <w:b/>
                <w:color w:val="4C1D95"/>
                <w:sz w:val="40"/>
              </w:rPr>
              <w:t>143</w:t>
            </w:r>
          </w:p>
        </w:tc>
      </w:tr>
    </w:tbl>
    <w:p/>
    <w:p>
      <w:pPr>
        <w:jc w:val="center"/>
      </w:pPr>
      <w:r>
        <w:drawing>
          <wp:inline xmlns:a="http://schemas.openxmlformats.org/drawingml/2006/main" xmlns:pic="http://schemas.openxmlformats.org/drawingml/2006/picture">
            <wp:extent cx="5669280" cy="4676788"/>
            <wp:docPr id="13" name="Picture 13"/>
            <wp:cNvGraphicFramePr>
              <a:graphicFrameLocks noChangeAspect="1"/>
            </wp:cNvGraphicFramePr>
            <a:graphic>
              <a:graphicData uri="http://schemas.openxmlformats.org/drawingml/2006/picture">
                <pic:pic>
                  <pic:nvPicPr>
                    <pic:cNvPr id="0" name="chart13_grounding_verification.png"/>
                    <pic:cNvPicPr/>
                  </pic:nvPicPr>
                  <pic:blipFill>
                    <a:blip r:embed="rId21"/>
                    <a:stretch>
                      <a:fillRect/>
                    </a:stretch>
                  </pic:blipFill>
                  <pic:spPr>
                    <a:xfrm>
                      <a:off x="0" y="0"/>
                      <a:ext cx="5669280" cy="4676788"/>
                    </a:xfrm>
                    <a:prstGeom prst="rect"/>
                  </pic:spPr>
                </pic:pic>
              </a:graphicData>
            </a:graphic>
          </wp:inline>
        </w:drawing>
      </w:r>
    </w:p>
    <w:p>
      <w:pPr>
        <w:spacing w:before="40" w:after="200"/>
        <w:jc w:val="center"/>
      </w:pPr>
      <w:r>
        <w:rPr>
          <w:i/>
          <w:color w:val="6B7280"/>
          <w:sz w:val="18"/>
        </w:rPr>
        <w:t>Figure — RGV Grounding Verification Dashboard. (a) G_rate per section. (b) Overall G_rate gauge. (c) Verdict distribution. (d) Sentence-level analysis. RGV v1.0 — ATARS novel contribution.</w:t>
      </w:r>
    </w:p>
    <w:p>
      <w:pPr>
        <w:spacing w:before="80" w:after="160"/>
        <w:ind w:left="280"/>
      </w:pPr>
      <w:r>
        <w:rPr>
          <w:b/>
          <w:color w:val="1A6B72"/>
          <w:sz w:val="19"/>
        </w:rPr>
        <w:t xml:space="preserve">► Chart Insight:  </w:t>
      </w:r>
      <w:r>
        <w:rPr>
          <w:i/>
          <w:color w:val="1F2937"/>
          <w:sz w:val="19"/>
        </w:rPr>
        <w:t>The Runtime Grounding Verifier (RGV) extracts every number from every LLM sentence and verifies it against the JSON data contract J using type-adaptive tolerance bounds (±5% for concentrations, ±2 for integer counts, ±0.1 for quality scores). GROUNDED = all numbers match J. PARTIALLY = ≥50% match. UNGROUNDED = &lt;50% match (LLM may have hallucinated these values). NON_NUMERICAL = sentence has no numbers (excluded from G_rate). G_rate = grounded sentences / numerical sentences. PASS if G_rate ≥ 0.75.</w:t>
      </w:r>
    </w:p>
    <w:p>
      <w:pPr>
        <w:pStyle w:val="Heading2"/>
        <w:spacing w:before="240" w:after="120"/>
      </w:pPr>
      <w:r>
        <w:rPr>
          <w:color w:val="2557A7"/>
          <w:sz w:val="28"/>
        </w:rPr>
        <w:t>Per-Section Grounding Results</w:t>
      </w:r>
    </w:p>
    <w:p>
      <w:pPr>
        <w:spacing w:before="60" w:after="120"/>
      </w:pPr>
      <w:r>
        <w:rPr>
          <w:i/>
          <w:sz w:val="22"/>
        </w:rPr>
        <w:t>G(s) ⊆ J verified per section. PASS = G_rate ≥ 75% of numerical sentences grounded in J.</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A2C4E" w:val="clear"/>
          </w:tcPr>
          <w:p>
            <w:pPr>
              <w:jc w:val="center"/>
            </w:pPr>
            <w:r>
              <w:rPr>
                <w:b/>
                <w:color w:val="FFFFFF"/>
                <w:sz w:val="18"/>
              </w:rPr>
              <w:t>Section</w:t>
            </w:r>
          </w:p>
        </w:tc>
        <w:tc>
          <w:tcPr>
            <w:tcW w:type="dxa" w:w="1568"/>
            <w:shd w:fill="1A2C4E" w:val="clear"/>
          </w:tcPr>
          <w:p>
            <w:pPr>
              <w:jc w:val="center"/>
            </w:pPr>
            <w:r>
              <w:rPr>
                <w:b/>
                <w:color w:val="FFFFFF"/>
                <w:sz w:val="18"/>
              </w:rPr>
              <w:t>Total Sent.</w:t>
            </w:r>
          </w:p>
        </w:tc>
        <w:tc>
          <w:tcPr>
            <w:tcW w:type="dxa" w:w="1568"/>
            <w:shd w:fill="1A2C4E" w:val="clear"/>
          </w:tcPr>
          <w:p>
            <w:pPr>
              <w:jc w:val="center"/>
            </w:pPr>
            <w:r>
              <w:rPr>
                <w:b/>
                <w:color w:val="FFFFFF"/>
                <w:sz w:val="18"/>
              </w:rPr>
              <w:t>Numerical</w:t>
            </w:r>
          </w:p>
        </w:tc>
        <w:tc>
          <w:tcPr>
            <w:tcW w:type="dxa" w:w="1568"/>
            <w:shd w:fill="1A2C4E" w:val="clear"/>
          </w:tcPr>
          <w:p>
            <w:pPr>
              <w:jc w:val="center"/>
            </w:pPr>
            <w:r>
              <w:rPr>
                <w:b/>
                <w:color w:val="FFFFFF"/>
                <w:sz w:val="18"/>
              </w:rPr>
              <w:t>Grounded</w:t>
            </w:r>
          </w:p>
        </w:tc>
        <w:tc>
          <w:tcPr>
            <w:tcW w:type="dxa" w:w="1568"/>
            <w:shd w:fill="1A2C4E" w:val="clear"/>
          </w:tcPr>
          <w:p>
            <w:pPr>
              <w:jc w:val="center"/>
            </w:pPr>
            <w:r>
              <w:rPr>
                <w:b/>
                <w:color w:val="FFFFFF"/>
                <w:sz w:val="18"/>
              </w:rPr>
              <w:t>G_rate</w:t>
            </w:r>
          </w:p>
        </w:tc>
        <w:tc>
          <w:tcPr>
            <w:tcW w:type="dxa" w:w="1568"/>
            <w:shd w:fill="1A2C4E" w:val="clear"/>
          </w:tcPr>
          <w:p>
            <w:pPr>
              <w:jc w:val="center"/>
            </w:pPr>
            <w:r>
              <w:rPr>
                <w:b/>
                <w:color w:val="FFFFFF"/>
                <w:sz w:val="18"/>
              </w:rPr>
              <w:t>Verdict</w:t>
            </w:r>
          </w:p>
        </w:tc>
      </w:tr>
      <w:tr>
        <w:tc>
          <w:tcPr>
            <w:tcW w:type="dxa" w:w="1568"/>
            <w:shd w:fill="D1FAE5" w:val="clear"/>
          </w:tcPr>
          <w:p>
            <w:pPr>
              <w:jc w:val="center"/>
            </w:pPr>
            <w:r>
              <w:rPr>
                <w:sz w:val="18"/>
              </w:rPr>
              <w:t>A_summary</w:t>
            </w:r>
          </w:p>
        </w:tc>
        <w:tc>
          <w:tcPr>
            <w:tcW w:type="dxa" w:w="1568"/>
            <w:shd w:fill="D1FAE5" w:val="clear"/>
          </w:tcPr>
          <w:p>
            <w:pPr>
              <w:jc w:val="center"/>
            </w:pPr>
            <w:r>
              <w:rPr>
                <w:sz w:val="18"/>
              </w:rPr>
              <w:t>4</w:t>
            </w:r>
          </w:p>
        </w:tc>
        <w:tc>
          <w:tcPr>
            <w:tcW w:type="dxa" w:w="1568"/>
            <w:shd w:fill="D1FAE5" w:val="clear"/>
          </w:tcPr>
          <w:p>
            <w:pPr>
              <w:jc w:val="center"/>
            </w:pPr>
            <w:r>
              <w:rPr>
                <w:sz w:val="18"/>
              </w:rPr>
              <w:t>2</w:t>
            </w:r>
          </w:p>
        </w:tc>
        <w:tc>
          <w:tcPr>
            <w:tcW w:type="dxa" w:w="1568"/>
            <w:shd w:fill="D1FAE5" w:val="clear"/>
          </w:tcPr>
          <w:p>
            <w:pPr>
              <w:jc w:val="center"/>
            </w:pPr>
            <w:r>
              <w:rPr>
                <w:sz w:val="18"/>
              </w:rPr>
              <w:t>2</w:t>
            </w:r>
          </w:p>
        </w:tc>
        <w:tc>
          <w:tcPr>
            <w:tcW w:type="dxa" w:w="1568"/>
            <w:shd w:fill="D1FAE5" w:val="clear"/>
          </w:tcPr>
          <w:p>
            <w:pPr>
              <w:jc w:val="center"/>
            </w:pPr>
            <w:r>
              <w:rPr>
                <w:sz w:val="18"/>
              </w:rPr>
              <w:t>100.0%</w:t>
            </w:r>
          </w:p>
        </w:tc>
        <w:tc>
          <w:tcPr>
            <w:tcW w:type="dxa" w:w="1568"/>
            <w:shd w:fill="D1FAE5" w:val="clear"/>
          </w:tcPr>
          <w:p>
            <w:pPr>
              <w:jc w:val="center"/>
            </w:pPr>
            <w:r>
              <w:rPr>
                <w:sz w:val="18"/>
              </w:rPr>
              <w:t>PASS ✓</w:t>
            </w:r>
          </w:p>
        </w:tc>
      </w:tr>
      <w:tr>
        <w:tc>
          <w:tcPr>
            <w:tcW w:type="dxa" w:w="1568"/>
            <w:shd w:fill="D1FAE5" w:val="clear"/>
          </w:tcPr>
          <w:p>
            <w:pPr>
              <w:jc w:val="center"/>
            </w:pPr>
            <w:r>
              <w:rPr>
                <w:sz w:val="18"/>
              </w:rPr>
              <w:t>B_pollutants</w:t>
            </w:r>
          </w:p>
        </w:tc>
        <w:tc>
          <w:tcPr>
            <w:tcW w:type="dxa" w:w="1568"/>
            <w:shd w:fill="D1FAE5" w:val="clear"/>
          </w:tcPr>
          <w:p>
            <w:pPr>
              <w:jc w:val="center"/>
            </w:pPr>
            <w:r>
              <w:rPr>
                <w:sz w:val="18"/>
              </w:rPr>
              <w:t>10</w:t>
            </w:r>
          </w:p>
        </w:tc>
        <w:tc>
          <w:tcPr>
            <w:tcW w:type="dxa" w:w="1568"/>
            <w:shd w:fill="D1FAE5" w:val="clear"/>
          </w:tcPr>
          <w:p>
            <w:pPr>
              <w:jc w:val="center"/>
            </w:pPr>
            <w:r>
              <w:rPr>
                <w:sz w:val="18"/>
              </w:rPr>
              <w:t>6</w:t>
            </w:r>
          </w:p>
        </w:tc>
        <w:tc>
          <w:tcPr>
            <w:tcW w:type="dxa" w:w="1568"/>
            <w:shd w:fill="D1FAE5" w:val="clear"/>
          </w:tcPr>
          <w:p>
            <w:pPr>
              <w:jc w:val="center"/>
            </w:pPr>
            <w:r>
              <w:rPr>
                <w:sz w:val="18"/>
              </w:rPr>
              <w:t>6</w:t>
            </w:r>
          </w:p>
        </w:tc>
        <w:tc>
          <w:tcPr>
            <w:tcW w:type="dxa" w:w="1568"/>
            <w:shd w:fill="D1FAE5" w:val="clear"/>
          </w:tcPr>
          <w:p>
            <w:pPr>
              <w:jc w:val="center"/>
            </w:pPr>
            <w:r>
              <w:rPr>
                <w:sz w:val="18"/>
              </w:rPr>
              <w:t>100.0%</w:t>
            </w:r>
          </w:p>
        </w:tc>
        <w:tc>
          <w:tcPr>
            <w:tcW w:type="dxa" w:w="1568"/>
            <w:shd w:fill="D1FAE5" w:val="clear"/>
          </w:tcPr>
          <w:p>
            <w:pPr>
              <w:jc w:val="center"/>
            </w:pPr>
            <w:r>
              <w:rPr>
                <w:sz w:val="18"/>
              </w:rPr>
              <w:t>PASS ✓</w:t>
            </w:r>
          </w:p>
        </w:tc>
      </w:tr>
      <w:tr>
        <w:tc>
          <w:tcPr>
            <w:tcW w:type="dxa" w:w="1568"/>
            <w:shd w:fill="D1FAE5" w:val="clear"/>
          </w:tcPr>
          <w:p>
            <w:pPr>
              <w:jc w:val="center"/>
            </w:pPr>
            <w:r>
              <w:rPr>
                <w:sz w:val="18"/>
              </w:rPr>
              <w:t>C_correlations</w:t>
            </w:r>
          </w:p>
        </w:tc>
        <w:tc>
          <w:tcPr>
            <w:tcW w:type="dxa" w:w="1568"/>
            <w:shd w:fill="D1FAE5" w:val="clear"/>
          </w:tcPr>
          <w:p>
            <w:pPr>
              <w:jc w:val="center"/>
            </w:pPr>
            <w:r>
              <w:rPr>
                <w:sz w:val="18"/>
              </w:rPr>
              <w:t>3</w:t>
            </w:r>
          </w:p>
        </w:tc>
        <w:tc>
          <w:tcPr>
            <w:tcW w:type="dxa" w:w="1568"/>
            <w:shd w:fill="D1FAE5" w:val="clear"/>
          </w:tcPr>
          <w:p>
            <w:pPr>
              <w:jc w:val="center"/>
            </w:pPr>
            <w:r>
              <w:rPr>
                <w:sz w:val="18"/>
              </w:rPr>
              <w:t>1</w:t>
            </w:r>
          </w:p>
        </w:tc>
        <w:tc>
          <w:tcPr>
            <w:tcW w:type="dxa" w:w="1568"/>
            <w:shd w:fill="D1FAE5" w:val="clear"/>
          </w:tcPr>
          <w:p>
            <w:pPr>
              <w:jc w:val="center"/>
            </w:pPr>
            <w:r>
              <w:rPr>
                <w:sz w:val="18"/>
              </w:rPr>
              <w:t>1</w:t>
            </w:r>
          </w:p>
        </w:tc>
        <w:tc>
          <w:tcPr>
            <w:tcW w:type="dxa" w:w="1568"/>
            <w:shd w:fill="D1FAE5" w:val="clear"/>
          </w:tcPr>
          <w:p>
            <w:pPr>
              <w:jc w:val="center"/>
            </w:pPr>
            <w:r>
              <w:rPr>
                <w:sz w:val="18"/>
              </w:rPr>
              <w:t>100.0%</w:t>
            </w:r>
          </w:p>
        </w:tc>
        <w:tc>
          <w:tcPr>
            <w:tcW w:type="dxa" w:w="1568"/>
            <w:shd w:fill="D1FAE5" w:val="clear"/>
          </w:tcPr>
          <w:p>
            <w:pPr>
              <w:jc w:val="center"/>
            </w:pPr>
            <w:r>
              <w:rPr>
                <w:sz w:val="18"/>
              </w:rPr>
              <w:t>PASS ✓</w:t>
            </w:r>
          </w:p>
        </w:tc>
      </w:tr>
      <w:tr>
        <w:tc>
          <w:tcPr>
            <w:tcW w:type="dxa" w:w="1568"/>
            <w:shd w:fill="D1FAE5" w:val="clear"/>
          </w:tcPr>
          <w:p>
            <w:pPr>
              <w:jc w:val="center"/>
            </w:pPr>
            <w:r>
              <w:rPr>
                <w:sz w:val="18"/>
              </w:rPr>
              <w:t>D_anomalies</w:t>
            </w:r>
          </w:p>
        </w:tc>
        <w:tc>
          <w:tcPr>
            <w:tcW w:type="dxa" w:w="1568"/>
            <w:shd w:fill="D1FAE5" w:val="clear"/>
          </w:tcPr>
          <w:p>
            <w:pPr>
              <w:jc w:val="center"/>
            </w:pPr>
            <w:r>
              <w:rPr>
                <w:sz w:val="18"/>
              </w:rPr>
              <w:t>4</w:t>
            </w:r>
          </w:p>
        </w:tc>
        <w:tc>
          <w:tcPr>
            <w:tcW w:type="dxa" w:w="1568"/>
            <w:shd w:fill="D1FAE5" w:val="clear"/>
          </w:tcPr>
          <w:p>
            <w:pPr>
              <w:jc w:val="center"/>
            </w:pPr>
            <w:r>
              <w:rPr>
                <w:sz w:val="18"/>
              </w:rPr>
              <w:t>2</w:t>
            </w:r>
          </w:p>
        </w:tc>
        <w:tc>
          <w:tcPr>
            <w:tcW w:type="dxa" w:w="1568"/>
            <w:shd w:fill="D1FAE5" w:val="clear"/>
          </w:tcPr>
          <w:p>
            <w:pPr>
              <w:jc w:val="center"/>
            </w:pPr>
            <w:r>
              <w:rPr>
                <w:sz w:val="18"/>
              </w:rPr>
              <w:t>2</w:t>
            </w:r>
          </w:p>
        </w:tc>
        <w:tc>
          <w:tcPr>
            <w:tcW w:type="dxa" w:w="1568"/>
            <w:shd w:fill="D1FAE5" w:val="clear"/>
          </w:tcPr>
          <w:p>
            <w:pPr>
              <w:jc w:val="center"/>
            </w:pPr>
            <w:r>
              <w:rPr>
                <w:sz w:val="18"/>
              </w:rPr>
              <w:t>100.0%</w:t>
            </w:r>
          </w:p>
        </w:tc>
        <w:tc>
          <w:tcPr>
            <w:tcW w:type="dxa" w:w="1568"/>
            <w:shd w:fill="D1FAE5" w:val="clear"/>
          </w:tcPr>
          <w:p>
            <w:pPr>
              <w:jc w:val="center"/>
            </w:pPr>
            <w:r>
              <w:rPr>
                <w:sz w:val="18"/>
              </w:rPr>
              <w:t>PASS ✓</w:t>
            </w:r>
          </w:p>
        </w:tc>
      </w:tr>
      <w:tr>
        <w:tc>
          <w:tcPr>
            <w:tcW w:type="dxa" w:w="1568"/>
            <w:shd w:fill="D1FAE5" w:val="clear"/>
          </w:tcPr>
          <w:p>
            <w:pPr>
              <w:jc w:val="center"/>
            </w:pPr>
            <w:r>
              <w:rPr>
                <w:sz w:val="18"/>
              </w:rPr>
              <w:t>E_quality</w:t>
            </w:r>
          </w:p>
        </w:tc>
        <w:tc>
          <w:tcPr>
            <w:tcW w:type="dxa" w:w="1568"/>
            <w:shd w:fill="D1FAE5" w:val="clear"/>
          </w:tcPr>
          <w:p>
            <w:pPr>
              <w:jc w:val="center"/>
            </w:pPr>
            <w:r>
              <w:rPr>
                <w:sz w:val="18"/>
              </w:rPr>
              <w:t>4</w:t>
            </w:r>
          </w:p>
        </w:tc>
        <w:tc>
          <w:tcPr>
            <w:tcW w:type="dxa" w:w="1568"/>
            <w:shd w:fill="D1FAE5" w:val="clear"/>
          </w:tcPr>
          <w:p>
            <w:pPr>
              <w:jc w:val="center"/>
            </w:pPr>
            <w:r>
              <w:rPr>
                <w:sz w:val="18"/>
              </w:rPr>
              <w:t>2</w:t>
            </w:r>
          </w:p>
        </w:tc>
        <w:tc>
          <w:tcPr>
            <w:tcW w:type="dxa" w:w="1568"/>
            <w:shd w:fill="D1FAE5" w:val="clear"/>
          </w:tcPr>
          <w:p>
            <w:pPr>
              <w:jc w:val="center"/>
            </w:pPr>
            <w:r>
              <w:rPr>
                <w:sz w:val="18"/>
              </w:rPr>
              <w:t>2</w:t>
            </w:r>
          </w:p>
        </w:tc>
        <w:tc>
          <w:tcPr>
            <w:tcW w:type="dxa" w:w="1568"/>
            <w:shd w:fill="D1FAE5" w:val="clear"/>
          </w:tcPr>
          <w:p>
            <w:pPr>
              <w:jc w:val="center"/>
            </w:pPr>
            <w:r>
              <w:rPr>
                <w:sz w:val="18"/>
              </w:rPr>
              <w:t>100.0%</w:t>
            </w:r>
          </w:p>
        </w:tc>
        <w:tc>
          <w:tcPr>
            <w:tcW w:type="dxa" w:w="1568"/>
            <w:shd w:fill="D1FAE5" w:val="clear"/>
          </w:tcPr>
          <w:p>
            <w:pPr>
              <w:jc w:val="center"/>
            </w:pPr>
            <w:r>
              <w:rPr>
                <w:sz w:val="18"/>
              </w:rPr>
              <w:t>PASS ✓</w:t>
            </w:r>
          </w:p>
        </w:tc>
      </w:tr>
      <w:tr>
        <w:tc>
          <w:tcPr>
            <w:tcW w:type="dxa" w:w="1568"/>
            <w:shd w:fill="FEF3C7" w:val="clear"/>
          </w:tcPr>
          <w:p>
            <w:pPr>
              <w:jc w:val="center"/>
            </w:pPr>
            <w:r>
              <w:rPr>
                <w:sz w:val="18"/>
              </w:rPr>
              <w:t>F_limitations</w:t>
            </w:r>
          </w:p>
        </w:tc>
        <w:tc>
          <w:tcPr>
            <w:tcW w:type="dxa" w:w="1568"/>
            <w:shd w:fill="FEF3C7" w:val="clear"/>
          </w:tcPr>
          <w:p>
            <w:pPr>
              <w:jc w:val="center"/>
            </w:pPr>
            <w:r>
              <w:rPr>
                <w:sz w:val="18"/>
              </w:rPr>
              <w:t>3</w:t>
            </w:r>
          </w:p>
        </w:tc>
        <w:tc>
          <w:tcPr>
            <w:tcW w:type="dxa" w:w="1568"/>
            <w:shd w:fill="FEF3C7" w:val="clear"/>
          </w:tcPr>
          <w:p>
            <w:pPr>
              <w:jc w:val="center"/>
            </w:pPr>
            <w:r>
              <w:rPr>
                <w:sz w:val="18"/>
              </w:rPr>
              <w:t>1</w:t>
            </w:r>
          </w:p>
        </w:tc>
        <w:tc>
          <w:tcPr>
            <w:tcW w:type="dxa" w:w="1568"/>
            <w:shd w:fill="FEF3C7" w:val="clear"/>
          </w:tcPr>
          <w:p>
            <w:pPr>
              <w:jc w:val="center"/>
            </w:pPr>
            <w:r>
              <w:rPr>
                <w:sz w:val="18"/>
              </w:rPr>
              <w:t>0</w:t>
            </w:r>
          </w:p>
        </w:tc>
        <w:tc>
          <w:tcPr>
            <w:tcW w:type="dxa" w:w="1568"/>
            <w:shd w:fill="FEF3C7" w:val="clear"/>
          </w:tcPr>
          <w:p>
            <w:pPr>
              <w:jc w:val="center"/>
            </w:pPr>
            <w:r>
              <w:rPr>
                <w:sz w:val="18"/>
              </w:rPr>
              <w:t>0.0%</w:t>
            </w:r>
          </w:p>
        </w:tc>
        <w:tc>
          <w:tcPr>
            <w:tcW w:type="dxa" w:w="1568"/>
            <w:shd w:fill="FEF3C7" w:val="clear"/>
          </w:tcPr>
          <w:p>
            <w:pPr>
              <w:jc w:val="center"/>
            </w:pPr>
            <w:r>
              <w:rPr>
                <w:sz w:val="18"/>
              </w:rPr>
              <w:t>REVIEW ⚠</w:t>
            </w:r>
          </w:p>
        </w:tc>
      </w:tr>
    </w:tbl>
    <w:p/>
    <w:p>
      <w:pPr>
        <w:pStyle w:val="Heading2"/>
        <w:spacing w:before="240" w:after="120"/>
      </w:pPr>
      <w:r>
        <w:rPr>
          <w:color w:val="2557A7"/>
          <w:sz w:val="28"/>
        </w:rPr>
        <w:t>Sample Evidence — Grounded Claims Matched to J</w:t>
      </w:r>
    </w:p>
    <w:p>
      <w:pPr>
        <w:spacing w:before="60" w:after="120"/>
      </w:pPr>
      <w:r>
        <w:rPr>
          <w:i/>
          <w:sz w:val="22"/>
        </w:rPr>
        <w:t>Each row shows one numerical claim extracted from narrative text, the matching entry in JSON contract J, and the tolerance used.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2C4E" w:val="clear"/>
          </w:tcPr>
          <w:p>
            <w:pPr>
              <w:jc w:val="center"/>
            </w:pPr>
            <w:r>
              <w:rPr>
                <w:b/>
                <w:color w:val="FFFFFF"/>
                <w:sz w:val="18"/>
              </w:rPr>
              <w:t>Claim</w:t>
            </w:r>
          </w:p>
        </w:tc>
        <w:tc>
          <w:tcPr>
            <w:tcW w:type="dxa" w:w="1881"/>
            <w:shd w:fill="1A2C4E" w:val="clear"/>
          </w:tcPr>
          <w:p>
            <w:pPr>
              <w:jc w:val="center"/>
            </w:pPr>
            <w:r>
              <w:rPr>
                <w:b/>
                <w:color w:val="FFFFFF"/>
                <w:sz w:val="18"/>
              </w:rPr>
              <w:t>Value</w:t>
            </w:r>
          </w:p>
        </w:tc>
        <w:tc>
          <w:tcPr>
            <w:tcW w:type="dxa" w:w="1881"/>
            <w:shd w:fill="1A2C4E" w:val="clear"/>
          </w:tcPr>
          <w:p>
            <w:pPr>
              <w:jc w:val="center"/>
            </w:pPr>
            <w:r>
              <w:rPr>
                <w:b/>
                <w:color w:val="FFFFFF"/>
                <w:sz w:val="18"/>
              </w:rPr>
              <w:t>Matched J Path</w:t>
            </w:r>
          </w:p>
        </w:tc>
        <w:tc>
          <w:tcPr>
            <w:tcW w:type="dxa" w:w="1881"/>
            <w:shd w:fill="1A2C4E" w:val="clear"/>
          </w:tcPr>
          <w:p>
            <w:pPr>
              <w:jc w:val="center"/>
            </w:pPr>
            <w:r>
              <w:rPr>
                <w:b/>
                <w:color w:val="FFFFFF"/>
                <w:sz w:val="18"/>
              </w:rPr>
              <w:t>J Value</w:t>
            </w:r>
          </w:p>
        </w:tc>
        <w:tc>
          <w:tcPr>
            <w:tcW w:type="dxa" w:w="1881"/>
            <w:shd w:fill="1A2C4E" w:val="clear"/>
          </w:tcPr>
          <w:p>
            <w:pPr>
              <w:jc w:val="center"/>
            </w:pPr>
            <w:r>
              <w:rPr>
                <w:b/>
                <w:color w:val="FFFFFF"/>
                <w:sz w:val="18"/>
              </w:rPr>
              <w:t>Diff</w:t>
            </w:r>
          </w:p>
        </w:tc>
      </w:tr>
      <w:tr>
        <w:tc>
          <w:tcPr>
            <w:tcW w:type="dxa" w:w="1881"/>
            <w:shd w:fill="D1FAE5" w:val="clear"/>
          </w:tcPr>
          <w:p>
            <w:pPr>
              <w:jc w:val="center"/>
            </w:pPr>
            <w:r>
              <w:rPr>
                <w:sz w:val="17"/>
              </w:rPr>
              <w:t>366</w:t>
            </w:r>
          </w:p>
        </w:tc>
        <w:tc>
          <w:tcPr>
            <w:tcW w:type="dxa" w:w="1881"/>
            <w:shd w:fill="D1FAE5" w:val="clear"/>
          </w:tcPr>
          <w:p>
            <w:pPr>
              <w:jc w:val="center"/>
            </w:pPr>
            <w:r>
              <w:rPr>
                <w:sz w:val="17"/>
              </w:rPr>
              <w:t>366.0</w:t>
            </w:r>
          </w:p>
        </w:tc>
        <w:tc>
          <w:tcPr>
            <w:tcW w:type="dxa" w:w="1881"/>
            <w:shd w:fill="D1FAE5" w:val="clear"/>
          </w:tcPr>
          <w:p>
            <w:pPr>
              <w:jc w:val="center"/>
            </w:pPr>
            <w:r>
              <w:rPr>
                <w:sz w:val="17"/>
              </w:rPr>
              <w:t>total_days</w:t>
            </w:r>
          </w:p>
        </w:tc>
        <w:tc>
          <w:tcPr>
            <w:tcW w:type="dxa" w:w="1881"/>
            <w:shd w:fill="D1FAE5" w:val="clear"/>
          </w:tcPr>
          <w:p>
            <w:pPr>
              <w:jc w:val="center"/>
            </w:pPr>
            <w:r>
              <w:rPr>
                <w:sz w:val="17"/>
              </w:rPr>
              <w:t>366.0</w:t>
            </w:r>
          </w:p>
        </w:tc>
        <w:tc>
          <w:tcPr>
            <w:tcW w:type="dxa" w:w="1881"/>
            <w:shd w:fill="D1FAE5" w:val="clear"/>
          </w:tcPr>
          <w:p>
            <w:pPr>
              <w:jc w:val="center"/>
            </w:pPr>
            <w:r>
              <w:rPr>
                <w:sz w:val="17"/>
              </w:rPr>
              <w:t>0.0000</w:t>
            </w:r>
          </w:p>
        </w:tc>
      </w:tr>
      <w:tr>
        <w:tc>
          <w:tcPr>
            <w:tcW w:type="dxa" w:w="1881"/>
            <w:shd w:fill="F0FFF4" w:val="clear"/>
          </w:tcPr>
          <w:p>
            <w:pPr>
              <w:jc w:val="center"/>
            </w:pPr>
            <w:r>
              <w:rPr>
                <w:sz w:val="17"/>
              </w:rPr>
              <w:t>0.7442</w:t>
            </w:r>
          </w:p>
        </w:tc>
        <w:tc>
          <w:tcPr>
            <w:tcW w:type="dxa" w:w="1881"/>
            <w:shd w:fill="F0FFF4" w:val="clear"/>
          </w:tcPr>
          <w:p>
            <w:pPr>
              <w:jc w:val="center"/>
            </w:pPr>
            <w:r>
              <w:rPr>
                <w:sz w:val="17"/>
              </w:rPr>
              <w:t>0.7442</w:t>
            </w:r>
          </w:p>
        </w:tc>
        <w:tc>
          <w:tcPr>
            <w:tcW w:type="dxa" w:w="1881"/>
            <w:shd w:fill="F0FFF4" w:val="clear"/>
          </w:tcPr>
          <w:p>
            <w:pPr>
              <w:jc w:val="center"/>
            </w:pPr>
            <w:r>
              <w:rPr>
                <w:sz w:val="17"/>
              </w:rPr>
              <w:t>data_quality.overall_Q</w:t>
            </w:r>
          </w:p>
        </w:tc>
        <w:tc>
          <w:tcPr>
            <w:tcW w:type="dxa" w:w="1881"/>
            <w:shd w:fill="F0FFF4" w:val="clear"/>
          </w:tcPr>
          <w:p>
            <w:pPr>
              <w:jc w:val="center"/>
            </w:pPr>
            <w:r>
              <w:rPr>
                <w:sz w:val="17"/>
              </w:rPr>
              <w:t>0.7442</w:t>
            </w:r>
          </w:p>
        </w:tc>
        <w:tc>
          <w:tcPr>
            <w:tcW w:type="dxa" w:w="1881"/>
            <w:shd w:fill="F0FFF4" w:val="clear"/>
          </w:tcPr>
          <w:p>
            <w:pPr>
              <w:jc w:val="center"/>
            </w:pPr>
            <w:r>
              <w:rPr>
                <w:sz w:val="17"/>
              </w:rPr>
              <w:t>0.0000</w:t>
            </w:r>
          </w:p>
        </w:tc>
      </w:tr>
      <w:tr>
        <w:tc>
          <w:tcPr>
            <w:tcW w:type="dxa" w:w="1881"/>
            <w:shd w:fill="D1FAE5" w:val="clear"/>
          </w:tcPr>
          <w:p>
            <w:pPr>
              <w:jc w:val="center"/>
            </w:pPr>
            <w:r>
              <w:rPr>
                <w:sz w:val="17"/>
              </w:rPr>
              <w:t>4.372</w:t>
            </w:r>
          </w:p>
        </w:tc>
        <w:tc>
          <w:tcPr>
            <w:tcW w:type="dxa" w:w="1881"/>
            <w:shd w:fill="D1FAE5" w:val="clear"/>
          </w:tcPr>
          <w:p>
            <w:pPr>
              <w:jc w:val="center"/>
            </w:pPr>
            <w:r>
              <w:rPr>
                <w:sz w:val="17"/>
              </w:rPr>
              <w:t>4.372</w:t>
            </w:r>
          </w:p>
        </w:tc>
        <w:tc>
          <w:tcPr>
            <w:tcW w:type="dxa" w:w="1881"/>
            <w:shd w:fill="D1FAE5" w:val="clear"/>
          </w:tcPr>
          <w:p>
            <w:pPr>
              <w:jc w:val="center"/>
            </w:pPr>
            <w:r>
              <w:rPr>
                <w:sz w:val="17"/>
              </w:rPr>
              <w:t>variables.Benzene.annual_mean</w:t>
            </w:r>
          </w:p>
        </w:tc>
        <w:tc>
          <w:tcPr>
            <w:tcW w:type="dxa" w:w="1881"/>
            <w:shd w:fill="D1FAE5" w:val="clear"/>
          </w:tcPr>
          <w:p>
            <w:pPr>
              <w:jc w:val="center"/>
            </w:pPr>
            <w:r>
              <w:rPr>
                <w:sz w:val="17"/>
              </w:rPr>
              <w:t>4.372</w:t>
            </w:r>
          </w:p>
        </w:tc>
        <w:tc>
          <w:tcPr>
            <w:tcW w:type="dxa" w:w="1881"/>
            <w:shd w:fill="D1FAE5" w:val="clear"/>
          </w:tcPr>
          <w:p>
            <w:pPr>
              <w:jc w:val="center"/>
            </w:pPr>
            <w:r>
              <w:rPr>
                <w:sz w:val="17"/>
              </w:rPr>
              <w:t>0.0000</w:t>
            </w:r>
          </w:p>
        </w:tc>
      </w:tr>
      <w:tr>
        <w:tc>
          <w:tcPr>
            <w:tcW w:type="dxa" w:w="1881"/>
            <w:shd w:fill="F0FFF4" w:val="clear"/>
          </w:tcPr>
          <w:p>
            <w:pPr>
              <w:jc w:val="center"/>
            </w:pPr>
            <w:r>
              <w:rPr>
                <w:sz w:val="17"/>
              </w:rPr>
              <w:t>10.266</w:t>
            </w:r>
          </w:p>
        </w:tc>
        <w:tc>
          <w:tcPr>
            <w:tcW w:type="dxa" w:w="1881"/>
            <w:shd w:fill="F0FFF4" w:val="clear"/>
          </w:tcPr>
          <w:p>
            <w:pPr>
              <w:jc w:val="center"/>
            </w:pPr>
            <w:r>
              <w:rPr>
                <w:sz w:val="17"/>
              </w:rPr>
              <w:t>10.266</w:t>
            </w:r>
          </w:p>
        </w:tc>
        <w:tc>
          <w:tcPr>
            <w:tcW w:type="dxa" w:w="1881"/>
            <w:shd w:fill="F0FFF4" w:val="clear"/>
          </w:tcPr>
          <w:p>
            <w:pPr>
              <w:jc w:val="center"/>
            </w:pPr>
            <w:r>
              <w:rPr>
                <w:sz w:val="17"/>
              </w:rPr>
              <w:t>variables.Benzene.annual_max</w:t>
            </w:r>
          </w:p>
        </w:tc>
        <w:tc>
          <w:tcPr>
            <w:tcW w:type="dxa" w:w="1881"/>
            <w:shd w:fill="F0FFF4" w:val="clear"/>
          </w:tcPr>
          <w:p>
            <w:pPr>
              <w:jc w:val="center"/>
            </w:pPr>
            <w:r>
              <w:rPr>
                <w:sz w:val="17"/>
              </w:rPr>
              <w:t>10.266</w:t>
            </w:r>
          </w:p>
        </w:tc>
        <w:tc>
          <w:tcPr>
            <w:tcW w:type="dxa" w:w="1881"/>
            <w:shd w:fill="F0FFF4" w:val="clear"/>
          </w:tcPr>
          <w:p>
            <w:pPr>
              <w:jc w:val="center"/>
            </w:pPr>
            <w:r>
              <w:rPr>
                <w:sz w:val="17"/>
              </w:rPr>
              <w:t>0.0000</w:t>
            </w:r>
          </w:p>
        </w:tc>
      </w:tr>
      <w:tr>
        <w:tc>
          <w:tcPr>
            <w:tcW w:type="dxa" w:w="1881"/>
            <w:shd w:fill="D1FAE5" w:val="clear"/>
          </w:tcPr>
          <w:p>
            <w:pPr>
              <w:jc w:val="center"/>
            </w:pPr>
            <w:r>
              <w:rPr>
                <w:sz w:val="17"/>
              </w:rPr>
              <w:t>2.708</w:t>
            </w:r>
          </w:p>
        </w:tc>
        <w:tc>
          <w:tcPr>
            <w:tcW w:type="dxa" w:w="1881"/>
            <w:shd w:fill="D1FAE5" w:val="clear"/>
          </w:tcPr>
          <w:p>
            <w:pPr>
              <w:jc w:val="center"/>
            </w:pPr>
            <w:r>
              <w:rPr>
                <w:sz w:val="17"/>
              </w:rPr>
              <w:t>2.708</w:t>
            </w:r>
          </w:p>
        </w:tc>
        <w:tc>
          <w:tcPr>
            <w:tcW w:type="dxa" w:w="1881"/>
            <w:shd w:fill="D1FAE5" w:val="clear"/>
          </w:tcPr>
          <w:p>
            <w:pPr>
              <w:jc w:val="center"/>
            </w:pPr>
            <w:r>
              <w:rPr>
                <w:sz w:val="17"/>
              </w:rPr>
              <w:t>variables.Benzene.annual_min</w:t>
            </w:r>
          </w:p>
        </w:tc>
        <w:tc>
          <w:tcPr>
            <w:tcW w:type="dxa" w:w="1881"/>
            <w:shd w:fill="D1FAE5" w:val="clear"/>
          </w:tcPr>
          <w:p>
            <w:pPr>
              <w:jc w:val="center"/>
            </w:pPr>
            <w:r>
              <w:rPr>
                <w:sz w:val="17"/>
              </w:rPr>
              <w:t>2.708</w:t>
            </w:r>
          </w:p>
        </w:tc>
        <w:tc>
          <w:tcPr>
            <w:tcW w:type="dxa" w:w="1881"/>
            <w:shd w:fill="D1FAE5" w:val="clear"/>
          </w:tcPr>
          <w:p>
            <w:pPr>
              <w:jc w:val="center"/>
            </w:pPr>
            <w:r>
              <w:rPr>
                <w:sz w:val="17"/>
              </w:rPr>
              <w:t>0.0000</w:t>
            </w:r>
          </w:p>
        </w:tc>
      </w:tr>
      <w:tr>
        <w:tc>
          <w:tcPr>
            <w:tcW w:type="dxa" w:w="1881"/>
            <w:shd w:fill="F0FFF4" w:val="clear"/>
          </w:tcPr>
          <w:p>
            <w:pPr>
              <w:jc w:val="center"/>
            </w:pPr>
            <w:r>
              <w:rPr>
                <w:sz w:val="17"/>
              </w:rPr>
              <w:t>366</w:t>
            </w:r>
          </w:p>
        </w:tc>
        <w:tc>
          <w:tcPr>
            <w:tcW w:type="dxa" w:w="1881"/>
            <w:shd w:fill="F0FFF4" w:val="clear"/>
          </w:tcPr>
          <w:p>
            <w:pPr>
              <w:jc w:val="center"/>
            </w:pPr>
            <w:r>
              <w:rPr>
                <w:sz w:val="17"/>
              </w:rPr>
              <w:t>366.0</w:t>
            </w:r>
          </w:p>
        </w:tc>
        <w:tc>
          <w:tcPr>
            <w:tcW w:type="dxa" w:w="1881"/>
            <w:shd w:fill="F0FFF4" w:val="clear"/>
          </w:tcPr>
          <w:p>
            <w:pPr>
              <w:jc w:val="center"/>
            </w:pPr>
            <w:r>
              <w:rPr>
                <w:sz w:val="17"/>
              </w:rPr>
              <w:t>total_days</w:t>
            </w:r>
          </w:p>
        </w:tc>
        <w:tc>
          <w:tcPr>
            <w:tcW w:type="dxa" w:w="1881"/>
            <w:shd w:fill="F0FFF4" w:val="clear"/>
          </w:tcPr>
          <w:p>
            <w:pPr>
              <w:jc w:val="center"/>
            </w:pPr>
            <w:r>
              <w:rPr>
                <w:sz w:val="17"/>
              </w:rPr>
              <w:t>366.0</w:t>
            </w:r>
          </w:p>
        </w:tc>
        <w:tc>
          <w:tcPr>
            <w:tcW w:type="dxa" w:w="1881"/>
            <w:shd w:fill="F0FFF4" w:val="clear"/>
          </w:tcPr>
          <w:p>
            <w:pPr>
              <w:jc w:val="center"/>
            </w:pPr>
            <w:r>
              <w:rPr>
                <w:sz w:val="17"/>
              </w:rPr>
              <w:t>0.0000</w:t>
            </w:r>
          </w:p>
        </w:tc>
      </w:tr>
      <w:tr>
        <w:tc>
          <w:tcPr>
            <w:tcW w:type="dxa" w:w="1881"/>
            <w:shd w:fill="D1FAE5" w:val="clear"/>
          </w:tcPr>
          <w:p>
            <w:pPr>
              <w:jc w:val="center"/>
            </w:pPr>
            <w:r>
              <w:rPr>
                <w:sz w:val="17"/>
              </w:rPr>
              <w:t>100.0</w:t>
            </w:r>
          </w:p>
        </w:tc>
        <w:tc>
          <w:tcPr>
            <w:tcW w:type="dxa" w:w="1881"/>
            <w:shd w:fill="D1FAE5" w:val="clear"/>
          </w:tcPr>
          <w:p>
            <w:pPr>
              <w:jc w:val="center"/>
            </w:pPr>
            <w:r>
              <w:rPr>
                <w:sz w:val="17"/>
              </w:rPr>
              <w:t>100.0</w:t>
            </w:r>
          </w:p>
        </w:tc>
        <w:tc>
          <w:tcPr>
            <w:tcW w:type="dxa" w:w="1881"/>
            <w:shd w:fill="D1FAE5" w:val="clear"/>
          </w:tcPr>
          <w:p>
            <w:pPr>
              <w:jc w:val="center"/>
            </w:pPr>
            <w:r>
              <w:rPr>
                <w:sz w:val="17"/>
              </w:rPr>
              <w:t>variables.Ozone.threshold</w:t>
            </w:r>
          </w:p>
        </w:tc>
        <w:tc>
          <w:tcPr>
            <w:tcW w:type="dxa" w:w="1881"/>
            <w:shd w:fill="D1FAE5" w:val="clear"/>
          </w:tcPr>
          <w:p>
            <w:pPr>
              <w:jc w:val="center"/>
            </w:pPr>
            <w:r>
              <w:rPr>
                <w:sz w:val="17"/>
              </w:rPr>
              <w:t>100.0</w:t>
            </w:r>
          </w:p>
        </w:tc>
        <w:tc>
          <w:tcPr>
            <w:tcW w:type="dxa" w:w="1881"/>
            <w:shd w:fill="D1FAE5" w:val="clear"/>
          </w:tcPr>
          <w:p>
            <w:pPr>
              <w:jc w:val="center"/>
            </w:pPr>
            <w:r>
              <w:rPr>
                <w:sz w:val="17"/>
              </w:rPr>
              <w:t>0.0000</w:t>
            </w:r>
          </w:p>
        </w:tc>
      </w:tr>
      <w:tr>
        <w:tc>
          <w:tcPr>
            <w:tcW w:type="dxa" w:w="1881"/>
            <w:shd w:fill="F0FFF4" w:val="clear"/>
          </w:tcPr>
          <w:p>
            <w:pPr>
              <w:jc w:val="center"/>
            </w:pPr>
            <w:r>
              <w:rPr>
                <w:sz w:val="17"/>
              </w:rPr>
              <w:t>16.995</w:t>
            </w:r>
          </w:p>
        </w:tc>
        <w:tc>
          <w:tcPr>
            <w:tcW w:type="dxa" w:w="1881"/>
            <w:shd w:fill="F0FFF4" w:val="clear"/>
          </w:tcPr>
          <w:p>
            <w:pPr>
              <w:jc w:val="center"/>
            </w:pPr>
            <w:r>
              <w:rPr>
                <w:sz w:val="17"/>
              </w:rPr>
              <w:t>16.995</w:t>
            </w:r>
          </w:p>
        </w:tc>
        <w:tc>
          <w:tcPr>
            <w:tcW w:type="dxa" w:w="1881"/>
            <w:shd w:fill="F0FFF4" w:val="clear"/>
          </w:tcPr>
          <w:p>
            <w:pPr>
              <w:jc w:val="center"/>
            </w:pPr>
            <w:r>
              <w:rPr>
                <w:sz w:val="17"/>
              </w:rPr>
              <w:t>variables.NO2.annual_mean</w:t>
            </w:r>
          </w:p>
        </w:tc>
        <w:tc>
          <w:tcPr>
            <w:tcW w:type="dxa" w:w="1881"/>
            <w:shd w:fill="F0FFF4" w:val="clear"/>
          </w:tcPr>
          <w:p>
            <w:pPr>
              <w:jc w:val="center"/>
            </w:pPr>
            <w:r>
              <w:rPr>
                <w:sz w:val="17"/>
              </w:rPr>
              <w:t>16.995</w:t>
            </w:r>
          </w:p>
        </w:tc>
        <w:tc>
          <w:tcPr>
            <w:tcW w:type="dxa" w:w="1881"/>
            <w:shd w:fill="F0FFF4" w:val="clear"/>
          </w:tcPr>
          <w:p>
            <w:pPr>
              <w:jc w:val="center"/>
            </w:pPr>
            <w:r>
              <w:rPr>
                <w:sz w:val="17"/>
              </w:rPr>
              <w:t>0.0000</w:t>
            </w:r>
          </w:p>
        </w:tc>
      </w:tr>
      <w:tr>
        <w:tc>
          <w:tcPr>
            <w:tcW w:type="dxa" w:w="1881"/>
            <w:shd w:fill="D1FAE5" w:val="clear"/>
          </w:tcPr>
          <w:p>
            <w:pPr>
              <w:jc w:val="center"/>
            </w:pPr>
            <w:r>
              <w:rPr>
                <w:sz w:val="17"/>
              </w:rPr>
              <w:t>32.945</w:t>
            </w:r>
          </w:p>
        </w:tc>
        <w:tc>
          <w:tcPr>
            <w:tcW w:type="dxa" w:w="1881"/>
            <w:shd w:fill="D1FAE5" w:val="clear"/>
          </w:tcPr>
          <w:p>
            <w:pPr>
              <w:jc w:val="center"/>
            </w:pPr>
            <w:r>
              <w:rPr>
                <w:sz w:val="17"/>
              </w:rPr>
              <w:t>32.945</w:t>
            </w:r>
          </w:p>
        </w:tc>
        <w:tc>
          <w:tcPr>
            <w:tcW w:type="dxa" w:w="1881"/>
            <w:shd w:fill="D1FAE5" w:val="clear"/>
          </w:tcPr>
          <w:p>
            <w:pPr>
              <w:jc w:val="center"/>
            </w:pPr>
            <w:r>
              <w:rPr>
                <w:sz w:val="17"/>
              </w:rPr>
              <w:t>variables.NO2.annual_max</w:t>
            </w:r>
          </w:p>
        </w:tc>
        <w:tc>
          <w:tcPr>
            <w:tcW w:type="dxa" w:w="1881"/>
            <w:shd w:fill="D1FAE5" w:val="clear"/>
          </w:tcPr>
          <w:p>
            <w:pPr>
              <w:jc w:val="center"/>
            </w:pPr>
            <w:r>
              <w:rPr>
                <w:sz w:val="17"/>
              </w:rPr>
              <w:t>32.945</w:t>
            </w:r>
          </w:p>
        </w:tc>
        <w:tc>
          <w:tcPr>
            <w:tcW w:type="dxa" w:w="1881"/>
            <w:shd w:fill="D1FAE5" w:val="clear"/>
          </w:tcPr>
          <w:p>
            <w:pPr>
              <w:jc w:val="center"/>
            </w:pPr>
            <w:r>
              <w:rPr>
                <w:sz w:val="17"/>
              </w:rPr>
              <w:t>0.0000</w:t>
            </w:r>
          </w:p>
        </w:tc>
      </w:tr>
      <w:tr>
        <w:tc>
          <w:tcPr>
            <w:tcW w:type="dxa" w:w="1881"/>
            <w:shd w:fill="F0FFF4" w:val="clear"/>
          </w:tcPr>
          <w:p>
            <w:pPr>
              <w:jc w:val="center"/>
            </w:pPr>
            <w:r>
              <w:rPr>
                <w:sz w:val="17"/>
              </w:rPr>
              <w:t>8.957</w:t>
            </w:r>
          </w:p>
        </w:tc>
        <w:tc>
          <w:tcPr>
            <w:tcW w:type="dxa" w:w="1881"/>
            <w:shd w:fill="F0FFF4" w:val="clear"/>
          </w:tcPr>
          <w:p>
            <w:pPr>
              <w:jc w:val="center"/>
            </w:pPr>
            <w:r>
              <w:rPr>
                <w:sz w:val="17"/>
              </w:rPr>
              <w:t>8.957</w:t>
            </w:r>
          </w:p>
        </w:tc>
        <w:tc>
          <w:tcPr>
            <w:tcW w:type="dxa" w:w="1881"/>
            <w:shd w:fill="F0FFF4" w:val="clear"/>
          </w:tcPr>
          <w:p>
            <w:pPr>
              <w:jc w:val="center"/>
            </w:pPr>
            <w:r>
              <w:rPr>
                <w:sz w:val="17"/>
              </w:rPr>
              <w:t>variables.NO2.annual_min</w:t>
            </w:r>
          </w:p>
        </w:tc>
        <w:tc>
          <w:tcPr>
            <w:tcW w:type="dxa" w:w="1881"/>
            <w:shd w:fill="F0FFF4" w:val="clear"/>
          </w:tcPr>
          <w:p>
            <w:pPr>
              <w:jc w:val="center"/>
            </w:pPr>
            <w:r>
              <w:rPr>
                <w:sz w:val="17"/>
              </w:rPr>
              <w:t>8.957</w:t>
            </w:r>
          </w:p>
        </w:tc>
        <w:tc>
          <w:tcPr>
            <w:tcW w:type="dxa" w:w="1881"/>
            <w:shd w:fill="F0FFF4" w:val="clear"/>
          </w:tcPr>
          <w:p>
            <w:pPr>
              <w:jc w:val="center"/>
            </w:pPr>
            <w:r>
              <w:rPr>
                <w:sz w:val="17"/>
              </w:rPr>
              <w:t>0.0000</w:t>
            </w:r>
          </w:p>
        </w:tc>
      </w:tr>
      <w:tr>
        <w:tc>
          <w:tcPr>
            <w:tcW w:type="dxa" w:w="1881"/>
            <w:shd w:fill="D1FAE5" w:val="clear"/>
          </w:tcPr>
          <w:p>
            <w:pPr>
              <w:jc w:val="center"/>
            </w:pPr>
            <w:r>
              <w:rPr>
                <w:sz w:val="17"/>
              </w:rPr>
              <w:t>25</w:t>
            </w:r>
          </w:p>
        </w:tc>
        <w:tc>
          <w:tcPr>
            <w:tcW w:type="dxa" w:w="1881"/>
            <w:shd w:fill="D1FAE5" w:val="clear"/>
          </w:tcPr>
          <w:p>
            <w:pPr>
              <w:jc w:val="center"/>
            </w:pPr>
            <w:r>
              <w:rPr>
                <w:sz w:val="17"/>
              </w:rPr>
              <w:t>25.0</w:t>
            </w:r>
          </w:p>
        </w:tc>
        <w:tc>
          <w:tcPr>
            <w:tcW w:type="dxa" w:w="1881"/>
            <w:shd w:fill="D1FAE5" w:val="clear"/>
          </w:tcPr>
          <w:p>
            <w:pPr>
              <w:jc w:val="center"/>
            </w:pPr>
            <w:r>
              <w:rPr>
                <w:sz w:val="17"/>
              </w:rPr>
              <w:t>variables.NO2.threshold</w:t>
            </w:r>
          </w:p>
        </w:tc>
        <w:tc>
          <w:tcPr>
            <w:tcW w:type="dxa" w:w="1881"/>
            <w:shd w:fill="D1FAE5" w:val="clear"/>
          </w:tcPr>
          <w:p>
            <w:pPr>
              <w:jc w:val="center"/>
            </w:pPr>
            <w:r>
              <w:rPr>
                <w:sz w:val="17"/>
              </w:rPr>
              <w:t>25.0</w:t>
            </w:r>
          </w:p>
        </w:tc>
        <w:tc>
          <w:tcPr>
            <w:tcW w:type="dxa" w:w="1881"/>
            <w:shd w:fill="D1FAE5" w:val="clear"/>
          </w:tcPr>
          <w:p>
            <w:pPr>
              <w:jc w:val="center"/>
            </w:pPr>
            <w:r>
              <w:rPr>
                <w:sz w:val="17"/>
              </w:rPr>
              <w:t>0.0000</w:t>
            </w:r>
          </w:p>
        </w:tc>
      </w:tr>
      <w:tr>
        <w:tc>
          <w:tcPr>
            <w:tcW w:type="dxa" w:w="1881"/>
            <w:shd w:fill="F0FFF4" w:val="clear"/>
          </w:tcPr>
          <w:p>
            <w:pPr>
              <w:jc w:val="center"/>
            </w:pPr>
            <w:r>
              <w:rPr>
                <w:sz w:val="17"/>
              </w:rPr>
              <w:t>6.83</w:t>
            </w:r>
          </w:p>
        </w:tc>
        <w:tc>
          <w:tcPr>
            <w:tcW w:type="dxa" w:w="1881"/>
            <w:shd w:fill="F0FFF4" w:val="clear"/>
          </w:tcPr>
          <w:p>
            <w:pPr>
              <w:jc w:val="center"/>
            </w:pPr>
            <w:r>
              <w:rPr>
                <w:sz w:val="17"/>
              </w:rPr>
              <w:t>6.83</w:t>
            </w:r>
          </w:p>
        </w:tc>
        <w:tc>
          <w:tcPr>
            <w:tcW w:type="dxa" w:w="1881"/>
            <w:shd w:fill="F0FFF4" w:val="clear"/>
          </w:tcPr>
          <w:p>
            <w:pPr>
              <w:jc w:val="center"/>
            </w:pPr>
            <w:r>
              <w:rPr>
                <w:sz w:val="17"/>
              </w:rPr>
              <w:t>variables.NO2.exceed_pct</w:t>
            </w:r>
          </w:p>
        </w:tc>
        <w:tc>
          <w:tcPr>
            <w:tcW w:type="dxa" w:w="1881"/>
            <w:shd w:fill="F0FFF4" w:val="clear"/>
          </w:tcPr>
          <w:p>
            <w:pPr>
              <w:jc w:val="center"/>
            </w:pPr>
            <w:r>
              <w:rPr>
                <w:sz w:val="17"/>
              </w:rPr>
              <w:t>6.83</w:t>
            </w:r>
          </w:p>
        </w:tc>
        <w:tc>
          <w:tcPr>
            <w:tcW w:type="dxa" w:w="1881"/>
            <w:shd w:fill="F0FFF4" w:val="clear"/>
          </w:tcPr>
          <w:p>
            <w:pPr>
              <w:jc w:val="center"/>
            </w:pPr>
            <w:r>
              <w:rPr>
                <w:sz w:val="17"/>
              </w:rPr>
              <w:t>0.0000</w:t>
            </w:r>
          </w:p>
        </w:tc>
      </w:tr>
      <w:tr>
        <w:tc>
          <w:tcPr>
            <w:tcW w:type="dxa" w:w="1881"/>
            <w:shd w:fill="D1FAE5" w:val="clear"/>
          </w:tcPr>
          <w:p>
            <w:pPr>
              <w:jc w:val="center"/>
            </w:pPr>
            <w:r>
              <w:rPr>
                <w:sz w:val="17"/>
              </w:rPr>
              <w:t>31.597</w:t>
            </w:r>
          </w:p>
        </w:tc>
        <w:tc>
          <w:tcPr>
            <w:tcW w:type="dxa" w:w="1881"/>
            <w:shd w:fill="D1FAE5" w:val="clear"/>
          </w:tcPr>
          <w:p>
            <w:pPr>
              <w:jc w:val="center"/>
            </w:pPr>
            <w:r>
              <w:rPr>
                <w:sz w:val="17"/>
              </w:rPr>
              <w:t>31.597</w:t>
            </w:r>
          </w:p>
        </w:tc>
        <w:tc>
          <w:tcPr>
            <w:tcW w:type="dxa" w:w="1881"/>
            <w:shd w:fill="D1FAE5" w:val="clear"/>
          </w:tcPr>
          <w:p>
            <w:pPr>
              <w:jc w:val="center"/>
            </w:pPr>
            <w:r>
              <w:rPr>
                <w:sz w:val="17"/>
              </w:rPr>
              <w:t>variables.NOx.annual_mean</w:t>
            </w:r>
          </w:p>
        </w:tc>
        <w:tc>
          <w:tcPr>
            <w:tcW w:type="dxa" w:w="1881"/>
            <w:shd w:fill="D1FAE5" w:val="clear"/>
          </w:tcPr>
          <w:p>
            <w:pPr>
              <w:jc w:val="center"/>
            </w:pPr>
            <w:r>
              <w:rPr>
                <w:sz w:val="17"/>
              </w:rPr>
              <w:t>31.597</w:t>
            </w:r>
          </w:p>
        </w:tc>
        <w:tc>
          <w:tcPr>
            <w:tcW w:type="dxa" w:w="1881"/>
            <w:shd w:fill="D1FAE5" w:val="clear"/>
          </w:tcPr>
          <w:p>
            <w:pPr>
              <w:jc w:val="center"/>
            </w:pPr>
            <w:r>
              <w:rPr>
                <w:sz w:val="17"/>
              </w:rPr>
              <w:t>0.0000</w:t>
            </w:r>
          </w:p>
        </w:tc>
      </w:tr>
      <w:tr>
        <w:tc>
          <w:tcPr>
            <w:tcW w:type="dxa" w:w="1881"/>
            <w:shd w:fill="F0FFF4" w:val="clear"/>
          </w:tcPr>
          <w:p>
            <w:pPr>
              <w:jc w:val="center"/>
            </w:pPr>
            <w:r>
              <w:rPr>
                <w:sz w:val="17"/>
              </w:rPr>
              <w:t>67.67</w:t>
            </w:r>
          </w:p>
        </w:tc>
        <w:tc>
          <w:tcPr>
            <w:tcW w:type="dxa" w:w="1881"/>
            <w:shd w:fill="F0FFF4" w:val="clear"/>
          </w:tcPr>
          <w:p>
            <w:pPr>
              <w:jc w:val="center"/>
            </w:pPr>
            <w:r>
              <w:rPr>
                <w:sz w:val="17"/>
              </w:rPr>
              <w:t>67.67</w:t>
            </w:r>
          </w:p>
        </w:tc>
        <w:tc>
          <w:tcPr>
            <w:tcW w:type="dxa" w:w="1881"/>
            <w:shd w:fill="F0FFF4" w:val="clear"/>
          </w:tcPr>
          <w:p>
            <w:pPr>
              <w:jc w:val="center"/>
            </w:pPr>
            <w:r>
              <w:rPr>
                <w:sz w:val="17"/>
              </w:rPr>
              <w:t>variables.NOx.annual_max</w:t>
            </w:r>
          </w:p>
        </w:tc>
        <w:tc>
          <w:tcPr>
            <w:tcW w:type="dxa" w:w="1881"/>
            <w:shd w:fill="F0FFF4" w:val="clear"/>
          </w:tcPr>
          <w:p>
            <w:pPr>
              <w:jc w:val="center"/>
            </w:pPr>
            <w:r>
              <w:rPr>
                <w:sz w:val="17"/>
              </w:rPr>
              <w:t>67.67</w:t>
            </w:r>
          </w:p>
        </w:tc>
        <w:tc>
          <w:tcPr>
            <w:tcW w:type="dxa" w:w="1881"/>
            <w:shd w:fill="F0FFF4" w:val="clear"/>
          </w:tcPr>
          <w:p>
            <w:pPr>
              <w:jc w:val="center"/>
            </w:pPr>
            <w:r>
              <w:rPr>
                <w:sz w:val="17"/>
              </w:rPr>
              <w:t>0.0000</w:t>
            </w:r>
          </w:p>
        </w:tc>
      </w:tr>
      <w:tr>
        <w:tc>
          <w:tcPr>
            <w:tcW w:type="dxa" w:w="1881"/>
            <w:shd w:fill="D1FAE5" w:val="clear"/>
          </w:tcPr>
          <w:p>
            <w:pPr>
              <w:jc w:val="center"/>
            </w:pPr>
            <w:r>
              <w:rPr>
                <w:sz w:val="17"/>
              </w:rPr>
              <w:t>14.705</w:t>
            </w:r>
          </w:p>
        </w:tc>
        <w:tc>
          <w:tcPr>
            <w:tcW w:type="dxa" w:w="1881"/>
            <w:shd w:fill="D1FAE5" w:val="clear"/>
          </w:tcPr>
          <w:p>
            <w:pPr>
              <w:jc w:val="center"/>
            </w:pPr>
            <w:r>
              <w:rPr>
                <w:sz w:val="17"/>
              </w:rPr>
              <w:t>14.705</w:t>
            </w:r>
          </w:p>
        </w:tc>
        <w:tc>
          <w:tcPr>
            <w:tcW w:type="dxa" w:w="1881"/>
            <w:shd w:fill="D1FAE5" w:val="clear"/>
          </w:tcPr>
          <w:p>
            <w:pPr>
              <w:jc w:val="center"/>
            </w:pPr>
            <w:r>
              <w:rPr>
                <w:sz w:val="17"/>
              </w:rPr>
              <w:t>variables.NOx.annual_min</w:t>
            </w:r>
          </w:p>
        </w:tc>
        <w:tc>
          <w:tcPr>
            <w:tcW w:type="dxa" w:w="1881"/>
            <w:shd w:fill="D1FAE5" w:val="clear"/>
          </w:tcPr>
          <w:p>
            <w:pPr>
              <w:jc w:val="center"/>
            </w:pPr>
            <w:r>
              <w:rPr>
                <w:sz w:val="17"/>
              </w:rPr>
              <w:t>14.705</w:t>
            </w:r>
          </w:p>
        </w:tc>
        <w:tc>
          <w:tcPr>
            <w:tcW w:type="dxa" w:w="1881"/>
            <w:shd w:fill="D1FAE5" w:val="clear"/>
          </w:tcPr>
          <w:p>
            <w:pPr>
              <w:jc w:val="center"/>
            </w:pPr>
            <w:r>
              <w:rPr>
                <w:sz w:val="17"/>
              </w:rPr>
              <w:t>0.0000</w:t>
            </w:r>
          </w:p>
        </w:tc>
      </w:tr>
    </w:tbl>
    <w:p/>
    <w:p>
      <w:pPr>
        <w:pStyle w:val="Heading2"/>
        <w:spacing w:before="240" w:after="120"/>
      </w:pPr>
      <w:r>
        <w:rPr>
          <w:color w:val="2557A7"/>
          <w:sz w:val="28"/>
        </w:rPr>
        <w:t>Ungrounded Sentences (1)</w:t>
      </w:r>
    </w:p>
    <w:p>
      <w:pPr>
        <w:spacing w:before="60" w:after="120"/>
      </w:pPr>
      <w:r>
        <w:rPr>
          <w:i/>
          <w:color w:val="92400E"/>
          <w:sz w:val="22"/>
        </w:rPr>
        <w:t>The following sentences contain numerical claims that could not be matched to any entry in the JSON contract J within the configured tolerance. This does not necessarily indicate hallucination — it may also mean the value was computed from J (e.g. a percentage derived from two J values) rather than stored directly in J. Expert review is recommended for each.</w:t>
      </w:r>
    </w:p>
    <w:p>
      <w:pPr>
        <w:spacing w:before="120" w:after="20"/>
        <w:ind w:left="288"/>
      </w:pPr>
      <w:r>
        <w:rPr>
          <w:b/>
          <w:color w:val="92400E"/>
          <w:sz w:val="18"/>
        </w:rPr>
        <w:t>Section [F_limitations]  —  6 unmatched numerical claim(s)</w:t>
      </w:r>
    </w:p>
    <w:p>
      <w:pPr>
        <w:spacing w:before="20" w:after="160"/>
        <w:ind w:left="576"/>
      </w:pPr>
      <w:r>
        <w:rPr>
          <w:i/>
          <w:color w:val="8B1C2A"/>
          <w:sz w:val="18"/>
        </w:rPr>
        <w:t>Results are specific to the configured station ("Complete Gurugram") and date range ("2024-01-01 to 2024-12-31"), limiting their generalizability.</w:t>
      </w:r>
    </w:p>
    <w:p/>
    <w:p>
      <w:r>
        <w:rPr>
          <w:i/>
          <w:color w:val="4C1D95"/>
          <w:sz w:val="19"/>
        </w:rPr>
        <w:t>Formal Definition: G_rate = |{s ∈ N_num : G(s) ⊆ J}| / |N_num|  where N_num = {s ∈ N : C(s) ≠ ∅} (sentences with numerical claims). G(s) ⊆ J holds when every numerical value in s matches a corresponding entry in J within type-adaptive tolerance ε (±5% relative for concentrations; ±2 absolute for integer day counts; ±0.1 absolute for quality scores). Prior systems enforced this property only via prompt instruction; RGV enforces it algorithmically and produces a computable, auditable metric. [ATARS Eq. 19]</w:t>
      </w:r>
    </w:p>
    <w:p>
      <w:r>
        <w:br w:type="page"/>
      </w:r>
    </w:p>
    <w:p>
      <w:pPr>
        <w:pStyle w:val="Heading1"/>
        <w:spacing w:before="360" w:after="160"/>
      </w:pPr>
      <w:r>
        <w:rPr>
          <w:color w:val="1A2C4E"/>
          <w:sz w:val="36"/>
        </w:rPr>
        <w:t>Section 14 — ML Analysis: Isolation Forest Multivariate Anomaly Detection</w:t>
      </w:r>
    </w:p>
    <w:p>
      <w:pPr>
        <w:spacing w:before="80"/>
      </w:pPr>
      <w:r>
        <w:rPr>
          <w:i/>
          <w:color w:val="1A6B72"/>
          <w:sz w:val="20"/>
        </w:rPr>
        <w:t>This analysis is additive and does not replace the formal z-score operator ζ_d (Eq. 9). Isolation Forest detects days where the combination of multiple pollutants is anomalous — a pattern that univariate z-score analysis cannot identify. All computation is performed locally on the aggregated daily dataset; no raw data is transmitted externally. The fixed random seed (random_state = 42) ensures this result is fully reproducible.</w:t>
      </w:r>
    </w:p>
    <w:tbl>
      <w:tblPr>
        <w:tblStyle w:val="TableGrid"/>
        <w:tblW w:type="auto" w:w="0"/>
        <w:tblLook w:firstColumn="1" w:firstRow="1" w:lastColumn="0" w:lastRow="0" w:noHBand="0" w:noVBand="1" w:val="04A0"/>
      </w:tblPr>
      <w:tblGrid>
        <w:gridCol w:w="4703"/>
        <w:gridCol w:w="4703"/>
      </w:tblGrid>
      <w:tr>
        <w:tc>
          <w:tcPr>
            <w:tcW w:type="dxa" w:w="4703"/>
            <w:shd w:fill="003366" w:val="clear"/>
          </w:tcPr>
          <w:p>
            <w:r>
              <w:rPr>
                <w:b/>
                <w:color w:val="FFFFFF"/>
              </w:rPr>
              <w:t>Isolation Forest Parameter</w:t>
            </w:r>
          </w:p>
        </w:tc>
        <w:tc>
          <w:tcPr>
            <w:tcW w:type="dxa" w:w="4703"/>
            <w:shd w:fill="003366" w:val="clear"/>
          </w:tcPr>
          <w:p>
            <w:r>
              <w:rPr>
                <w:b/>
                <w:color w:val="FFFFFF"/>
              </w:rPr>
              <w:t>Value</w:t>
            </w:r>
          </w:p>
        </w:tc>
      </w:tr>
      <w:tr>
        <w:tc>
          <w:tcPr>
            <w:tcW w:type="dxa" w:w="4703"/>
          </w:tcPr>
          <w:p>
            <w:r>
              <w:t>Features used</w:t>
            </w:r>
          </w:p>
        </w:tc>
        <w:tc>
          <w:tcPr>
            <w:tcW w:type="dxa" w:w="4703"/>
          </w:tcPr>
          <w:p>
            <w:r>
              <w:t>PM10, NO2, SO2, Ozone</w:t>
            </w:r>
          </w:p>
        </w:tc>
      </w:tr>
      <w:tr>
        <w:tc>
          <w:tcPr>
            <w:tcW w:type="dxa" w:w="4703"/>
          </w:tcPr>
          <w:p>
            <w:r>
              <w:t>n_estimators</w:t>
            </w:r>
          </w:p>
        </w:tc>
        <w:tc>
          <w:tcPr>
            <w:tcW w:type="dxa" w:w="4703"/>
          </w:tcPr>
          <w:p>
            <w:r>
              <w:t>150</w:t>
            </w:r>
          </w:p>
        </w:tc>
      </w:tr>
      <w:tr>
        <w:tc>
          <w:tcPr>
            <w:tcW w:type="dxa" w:w="4703"/>
          </w:tcPr>
          <w:p>
            <w:r>
              <w:t>contamination</w:t>
            </w:r>
          </w:p>
        </w:tc>
        <w:tc>
          <w:tcPr>
            <w:tcW w:type="dxa" w:w="4703"/>
          </w:tcPr>
          <w:p>
            <w:r>
              <w:t>5% (expected anomaly fraction)</w:t>
            </w:r>
          </w:p>
        </w:tc>
      </w:tr>
      <w:tr>
        <w:tc>
          <w:tcPr>
            <w:tcW w:type="dxa" w:w="4703"/>
          </w:tcPr>
          <w:p>
            <w:r>
              <w:t>random_state</w:t>
            </w:r>
          </w:p>
        </w:tc>
        <w:tc>
          <w:tcPr>
            <w:tcW w:type="dxa" w:w="4703"/>
          </w:tcPr>
          <w:p>
            <w:r>
              <w:t>42 (fixed for reproducibility)</w:t>
            </w:r>
          </w:p>
        </w:tc>
      </w:tr>
      <w:tr>
        <w:tc>
          <w:tcPr>
            <w:tcW w:type="dxa" w:w="4703"/>
          </w:tcPr>
          <w:p>
            <w:r>
              <w:t>Total days analysed</w:t>
            </w:r>
          </w:p>
        </w:tc>
        <w:tc>
          <w:tcPr>
            <w:tcW w:type="dxa" w:w="4703"/>
          </w:tcPr>
          <w:p>
            <w:r>
              <w:t>366</w:t>
            </w:r>
          </w:p>
        </w:tc>
      </w:tr>
      <w:tr>
        <w:tc>
          <w:tcPr>
            <w:tcW w:type="dxa" w:w="4703"/>
          </w:tcPr>
          <w:p>
            <w:r>
              <w:t>Anomaly days (IF)</w:t>
            </w:r>
          </w:p>
        </w:tc>
        <w:tc>
          <w:tcPr>
            <w:tcW w:type="dxa" w:w="4703"/>
          </w:tcPr>
          <w:p>
            <w:r>
              <w:t>19 (5.2%)</w:t>
            </w:r>
          </w:p>
        </w:tc>
      </w:tr>
      <w:tr>
        <w:tc>
          <w:tcPr>
            <w:tcW w:type="dxa" w:w="4703"/>
          </w:tcPr>
          <w:p>
            <w:r>
              <w:t>Flagged by BOTH methods</w:t>
            </w:r>
          </w:p>
        </w:tc>
        <w:tc>
          <w:tcPr>
            <w:tcW w:type="dxa" w:w="4703"/>
          </w:tcPr>
          <w:p>
            <w:r>
              <w:t>3</w:t>
            </w:r>
          </w:p>
        </w:tc>
      </w:tr>
      <w:tr>
        <w:tc>
          <w:tcPr>
            <w:tcW w:type="dxa" w:w="4703"/>
          </w:tcPr>
          <w:p>
            <w:r>
              <w:t>IF-only (multivariate — missed by z-score)</w:t>
            </w:r>
          </w:p>
        </w:tc>
        <w:tc>
          <w:tcPr>
            <w:tcW w:type="dxa" w:w="4703"/>
          </w:tcPr>
          <w:p>
            <w:r>
              <w:t>16</w:t>
            </w:r>
          </w:p>
        </w:tc>
      </w:tr>
      <w:tr>
        <w:tc>
          <w:tcPr>
            <w:tcW w:type="dxa" w:w="4703"/>
          </w:tcPr>
          <w:p>
            <w:r>
              <w:t>Z-score only (univariate spike, within multivariate norm)</w:t>
            </w:r>
          </w:p>
        </w:tc>
        <w:tc>
          <w:tcPr>
            <w:tcW w:type="dxa" w:w="4703"/>
          </w:tcPr>
          <w:p>
            <w:r>
              <w:t>5</w:t>
            </w:r>
          </w:p>
        </w:tc>
      </w:tr>
    </w:tbl>
    <w:p/>
    <w:p>
      <w:pPr>
        <w:jc w:val="center"/>
      </w:pPr>
      <w:r>
        <w:drawing>
          <wp:inline xmlns:a="http://schemas.openxmlformats.org/drawingml/2006/main" xmlns:pic="http://schemas.openxmlformats.org/drawingml/2006/picture">
            <wp:extent cx="5669280" cy="5756778"/>
            <wp:docPr id="14" name="Picture 14"/>
            <wp:cNvGraphicFramePr>
              <a:graphicFrameLocks noChangeAspect="1"/>
            </wp:cNvGraphicFramePr>
            <a:graphic>
              <a:graphicData uri="http://schemas.openxmlformats.org/drawingml/2006/picture">
                <pic:pic>
                  <pic:nvPicPr>
                    <pic:cNvPr id="0" name="chart14_ml_anomaly.png"/>
                    <pic:cNvPicPr/>
                  </pic:nvPicPr>
                  <pic:blipFill>
                    <a:blip r:embed="rId22"/>
                    <a:stretch>
                      <a:fillRect/>
                    </a:stretch>
                  </pic:blipFill>
                  <pic:spPr>
                    <a:xfrm>
                      <a:off x="0" y="0"/>
                      <a:ext cx="5669280" cy="5756778"/>
                    </a:xfrm>
                    <a:prstGeom prst="rect"/>
                  </pic:spPr>
                </pic:pic>
              </a:graphicData>
            </a:graphic>
          </wp:inline>
        </w:drawing>
      </w:r>
    </w:p>
    <w:p>
      <w:pPr>
        <w:spacing w:before="40" w:after="200"/>
        <w:jc w:val="center"/>
      </w:pPr>
      <w:r>
        <w:rPr>
          <w:i/>
          <w:color w:val="6B7280"/>
          <w:sz w:val="18"/>
        </w:rPr>
        <w:t>Figure — Isolation Forest vs Z-Score Anomaly Comparison. (a) IF decision score — lower = more anomalous. (b) Z-score ζ_d with ±3σ threshold. (c) Agreement map — Red=both, Purple=IF-only, Amber=z-score-only.</w:t>
      </w:r>
    </w:p>
    <w:p>
      <w:pPr>
        <w:spacing w:before="80" w:after="160"/>
        <w:ind w:left="280"/>
      </w:pPr>
      <w:r>
        <w:rPr>
          <w:b/>
          <w:color w:val="1A6B72"/>
          <w:sz w:val="19"/>
        </w:rPr>
        <w:t xml:space="preserve">► Chart Insight:  </w:t>
      </w:r>
      <w:r>
        <w:rPr>
          <w:i/>
          <w:color w:val="1F2937"/>
          <w:sz w:val="19"/>
        </w:rPr>
        <w:t>Isolation Forest (150 trees, contamination=5%) on 4 variables (PM10, NO2, SO2, Ozone): 19 anomaly days (5.2%). Agreement with z-score: 3 days flagged by both methods. 16 days flagged by IF only (multivariate pattern — z-score missed). 5 days flagged by z-score only (univariate spike, within multivariate norm). IF-only days represent genuine added value of multivariate detection. NOTE: Isolation Forest does NOT replace formal ζ_d — both methods are reported. random_state=42 ensures this result is reproducible.</w:t>
      </w:r>
    </w:p>
    <w:p>
      <w:r>
        <w:rPr>
          <w:color w:val="1F2937"/>
          <w:sz w:val="19"/>
        </w:rPr>
        <w:t>Interpretation of IF-only days: These are dates where no single pollutant crossed the 3σ z-score threshold, but the joint distribution of PM10, NO2, SO2, Ozone was statistically unusual compared to the training distribution. These warrant manual investigation as potential multi-source pollution episodes. IF-only days represent the added analytical value of multivariate over univariate anomaly detection.</w:t>
      </w:r>
    </w:p>
    <w:p>
      <w:r>
        <w:br w:type="page"/>
      </w:r>
    </w:p>
    <w:p>
      <w:pPr>
        <w:pStyle w:val="Heading1"/>
        <w:spacing w:before="360" w:after="160"/>
      </w:pPr>
      <w:r>
        <w:rPr>
          <w:color w:val="1A2C4E"/>
          <w:sz w:val="36"/>
        </w:rPr>
        <w:t>Section 15 — ML Analysis: Holt-Winters PM10 Forecast</w:t>
      </w:r>
    </w:p>
    <w:p>
      <w:pPr>
        <w:spacing w:before="80"/>
      </w:pPr>
      <w:r>
        <w:rPr>
          <w:i/>
          <w:color w:val="1A6B72"/>
          <w:sz w:val="20"/>
        </w:rPr>
        <w:t>This section presents supplementary PM10 forecasting using Triple Exponential Smoothing (Holt-Winters additive seasonal model), which captures level, trend, and weekly seasonal components simultaneously. Forecast values are deliberately excluded from the JSON contract J so that the language model cannot present statistical extrapolations as established facts. All forecast content appears in this section and Chart 15 only.</w:t>
      </w:r>
    </w:p>
    <w:tbl>
      <w:tblPr>
        <w:tblStyle w:val="TableGrid"/>
        <w:tblW w:type="auto" w:w="0"/>
        <w:tblLook w:firstColumn="1" w:firstRow="1" w:lastColumn="0" w:lastRow="0" w:noHBand="0" w:noVBand="1" w:val="04A0"/>
      </w:tblPr>
      <w:tblGrid>
        <w:gridCol w:w="4703"/>
        <w:gridCol w:w="4703"/>
      </w:tblGrid>
      <w:tr>
        <w:tc>
          <w:tcPr>
            <w:tcW w:type="dxa" w:w="4703"/>
            <w:shd w:fill="003366" w:val="clear"/>
          </w:tcPr>
          <w:p>
            <w:r>
              <w:rPr>
                <w:b/>
                <w:color w:val="FFFFFF"/>
              </w:rPr>
              <w:t>Holt-Winters Parameter</w:t>
            </w:r>
          </w:p>
        </w:tc>
        <w:tc>
          <w:tcPr>
            <w:tcW w:type="dxa" w:w="4703"/>
            <w:shd w:fill="003366" w:val="clear"/>
          </w:tcPr>
          <w:p>
            <w:r>
              <w:rPr>
                <w:b/>
                <w:color w:val="FFFFFF"/>
              </w:rPr>
              <w:t>Value</w:t>
            </w:r>
          </w:p>
        </w:tc>
      </w:tr>
      <w:tr>
        <w:tc>
          <w:tcPr>
            <w:tcW w:type="dxa" w:w="4703"/>
          </w:tcPr>
          <w:p>
            <w:r>
              <w:t>α (level smoothing)</w:t>
            </w:r>
          </w:p>
        </w:tc>
        <w:tc>
          <w:tcPr>
            <w:tcW w:type="dxa" w:w="4703"/>
          </w:tcPr>
          <w:p>
            <w:r>
              <w:t>0.3</w:t>
            </w:r>
          </w:p>
        </w:tc>
      </w:tr>
      <w:tr>
        <w:tc>
          <w:tcPr>
            <w:tcW w:type="dxa" w:w="4703"/>
          </w:tcPr>
          <w:p>
            <w:r>
              <w:t>β (trend smoothing)</w:t>
            </w:r>
          </w:p>
        </w:tc>
        <w:tc>
          <w:tcPr>
            <w:tcW w:type="dxa" w:w="4703"/>
          </w:tcPr>
          <w:p>
            <w:r>
              <w:t>0.1</w:t>
            </w:r>
          </w:p>
        </w:tc>
      </w:tr>
      <w:tr>
        <w:tc>
          <w:tcPr>
            <w:tcW w:type="dxa" w:w="4703"/>
          </w:tcPr>
          <w:p>
            <w:r>
              <w:t>γ (seasonal smoothing)</w:t>
            </w:r>
          </w:p>
        </w:tc>
        <w:tc>
          <w:tcPr>
            <w:tcW w:type="dxa" w:w="4703"/>
          </w:tcPr>
          <w:p>
            <w:r>
              <w:t>0.2</w:t>
            </w:r>
          </w:p>
        </w:tc>
      </w:tr>
      <w:tr>
        <w:tc>
          <w:tcPr>
            <w:tcW w:type="dxa" w:w="4703"/>
          </w:tcPr>
          <w:p>
            <w:r>
              <w:t>Seasonal period</w:t>
            </w:r>
          </w:p>
        </w:tc>
        <w:tc>
          <w:tcPr>
            <w:tcW w:type="dxa" w:w="4703"/>
          </w:tcPr>
          <w:p>
            <w:r>
              <w:t>7 days (weekly)</w:t>
            </w:r>
          </w:p>
        </w:tc>
      </w:tr>
      <w:tr>
        <w:tc>
          <w:tcPr>
            <w:tcW w:type="dxa" w:w="4703"/>
          </w:tcPr>
          <w:p>
            <w:r>
              <w:t>Forecast horizon</w:t>
            </w:r>
          </w:p>
        </w:tc>
        <w:tc>
          <w:tcPr>
            <w:tcW w:type="dxa" w:w="4703"/>
          </w:tcPr>
          <w:p>
            <w:r>
              <w:t>14 days</w:t>
            </w:r>
          </w:p>
        </w:tc>
      </w:tr>
      <w:tr>
        <w:tc>
          <w:tcPr>
            <w:tcW w:type="dxa" w:w="4703"/>
          </w:tcPr>
          <w:p>
            <w:r>
              <w:t>History used</w:t>
            </w:r>
          </w:p>
        </w:tc>
        <w:tc>
          <w:tcPr>
            <w:tcW w:type="dxa" w:w="4703"/>
          </w:tcPr>
          <w:p>
            <w:r>
              <w:t>366 days</w:t>
            </w:r>
          </w:p>
        </w:tc>
      </w:tr>
      <w:tr>
        <w:tc>
          <w:tcPr>
            <w:tcW w:type="dxa" w:w="4703"/>
          </w:tcPr>
          <w:p>
            <w:r>
              <w:t>In-sample RMSE</w:t>
            </w:r>
          </w:p>
        </w:tc>
        <w:tc>
          <w:tcPr>
            <w:tcW w:type="dxa" w:w="4703"/>
          </w:tcPr>
          <w:p>
            <w:r>
              <w:t>77.89 µg/m³</w:t>
            </w:r>
          </w:p>
        </w:tc>
      </w:tr>
      <w:tr>
        <w:tc>
          <w:tcPr>
            <w:tcW w:type="dxa" w:w="4703"/>
          </w:tcPr>
          <w:p>
            <w:r>
              <w:t>In-sample MAE</w:t>
            </w:r>
          </w:p>
        </w:tc>
        <w:tc>
          <w:tcPr>
            <w:tcW w:type="dxa" w:w="4703"/>
          </w:tcPr>
          <w:p>
            <w:r>
              <w:t>62.82 µg/m³</w:t>
            </w:r>
          </w:p>
        </w:tc>
      </w:tr>
      <w:tr>
        <w:tc>
          <w:tcPr>
            <w:tcW w:type="dxa" w:w="4703"/>
          </w:tcPr>
          <w:p>
            <w:r>
              <w:t>Residual std (σ)</w:t>
            </w:r>
          </w:p>
        </w:tc>
        <w:tc>
          <w:tcPr>
            <w:tcW w:type="dxa" w:w="4703"/>
          </w:tcPr>
          <w:p>
            <w:r>
              <w:t>77.99 µg/m³</w:t>
            </w:r>
          </w:p>
        </w:tc>
      </w:tr>
      <w:tr>
        <w:tc>
          <w:tcPr>
            <w:tcW w:type="dxa" w:w="4703"/>
          </w:tcPr>
          <w:p>
            <w:r>
              <w:t>14-day forecast mean</w:t>
            </w:r>
          </w:p>
        </w:tc>
        <w:tc>
          <w:tcPr>
            <w:tcW w:type="dxa" w:w="4703"/>
          </w:tcPr>
          <w:p>
            <w:r>
              <w:t>64.5 µg/m³</w:t>
            </w:r>
          </w:p>
        </w:tc>
      </w:tr>
      <w:tr>
        <w:tc>
          <w:tcPr>
            <w:tcW w:type="dxa" w:w="4703"/>
          </w:tcPr>
          <w:p>
            <w:r>
              <w:t>14-day forecast peak</w:t>
            </w:r>
          </w:p>
        </w:tc>
        <w:tc>
          <w:tcPr>
            <w:tcW w:type="dxa" w:w="4703"/>
          </w:tcPr>
          <w:p>
            <w:r>
              <w:t>162.5 µg/m³</w:t>
            </w:r>
          </w:p>
        </w:tc>
      </w:tr>
      <w:tr>
        <w:tc>
          <w:tcPr>
            <w:tcW w:type="dxa" w:w="4703"/>
          </w:tcPr>
          <w:p>
            <w:r>
              <w:t>Prediction interval</w:t>
            </w:r>
          </w:p>
        </w:tc>
        <w:tc>
          <w:tcPr>
            <w:tcW w:type="dxa" w:w="4703"/>
          </w:tcPr>
          <w:p>
            <w:r>
              <w:t>80% (±1.28σ√h — widens with horizon)</w:t>
            </w:r>
          </w:p>
        </w:tc>
      </w:tr>
    </w:tbl>
    <w:p/>
    <w:p>
      <w:pPr>
        <w:jc w:val="center"/>
      </w:pPr>
      <w:r>
        <w:drawing>
          <wp:inline xmlns:a="http://schemas.openxmlformats.org/drawingml/2006/main" xmlns:pic="http://schemas.openxmlformats.org/drawingml/2006/picture">
            <wp:extent cx="5669280" cy="4833425"/>
            <wp:docPr id="15" name="Picture 15"/>
            <wp:cNvGraphicFramePr>
              <a:graphicFrameLocks noChangeAspect="1"/>
            </wp:cNvGraphicFramePr>
            <a:graphic>
              <a:graphicData uri="http://schemas.openxmlformats.org/drawingml/2006/picture">
                <pic:pic>
                  <pic:nvPicPr>
                    <pic:cNvPr id="0" name="chart15_forecast.png"/>
                    <pic:cNvPicPr/>
                  </pic:nvPicPr>
                  <pic:blipFill>
                    <a:blip r:embed="rId23"/>
                    <a:stretch>
                      <a:fillRect/>
                    </a:stretch>
                  </pic:blipFill>
                  <pic:spPr>
                    <a:xfrm>
                      <a:off x="0" y="0"/>
                      <a:ext cx="5669280" cy="4833425"/>
                    </a:xfrm>
                    <a:prstGeom prst="rect"/>
                  </pic:spPr>
                </pic:pic>
              </a:graphicData>
            </a:graphic>
          </wp:inline>
        </w:drawing>
      </w:r>
    </w:p>
    <w:p>
      <w:pPr>
        <w:spacing w:before="40" w:after="200"/>
        <w:jc w:val="center"/>
      </w:pPr>
      <w:r>
        <w:rPr>
          <w:i/>
          <w:color w:val="6B7280"/>
          <w:sz w:val="18"/>
        </w:rPr>
        <w:t>Figure — Holt-Winters PM10 Forecast. (a) Historical PM10 + fitted values + 14-day forecast with 80% prediction interval. (b) Model residuals with ±1σ bands.</w:t>
      </w:r>
    </w:p>
    <w:p>
      <w:pPr>
        <w:spacing w:before="80" w:after="160"/>
        <w:ind w:left="280"/>
      </w:pPr>
      <w:r>
        <w:rPr>
          <w:b/>
          <w:color w:val="1A6B72"/>
          <w:sz w:val="19"/>
        </w:rPr>
        <w:t xml:space="preserve">► Chart Insight:  </w:t>
      </w:r>
      <w:r>
        <w:rPr>
          <w:i/>
          <w:color w:val="1F2937"/>
          <w:sz w:val="19"/>
        </w:rPr>
        <w:t>Holt-Winters triple exponential smoothing (α=0.3, β=0.1, γ=0.2, seasonal period=7 days). In-sample RMSE=77.89 µg/m³ | MAE=62.82 µg/m³. 14-day PM10 forecast: mean=64.5 µg/m³, peak=162.5 µg/m³. Shaded band = 80% prediction interval (widens with forecast horizon). IMPORTANT: This is a statistical extrapolation, not a physical model. Forecast values are NOT in the JSON contract J — they were not used by the LLM. Uncertainty grows significantly beyond 7 days.</w:t>
      </w:r>
    </w:p>
    <w:p>
      <w:r>
        <w:rPr>
          <w:color w:val="92400E"/>
          <w:sz w:val="19"/>
        </w:rPr>
        <w:t>Limitations of this forecast: (1) Holt-Winters is a statistical extrapolation, not a physical atmospheric model — it does not account for meteorological events, policy interventions, or emission changes. (2) Uncertainty grows significantly beyond 7 days — the 80% PI widens with √h. (3) The model was trained on this dataset only — transferability to other stations or time periods is not validated here. (4) For public health decisions, use this forecast as an indicative signal only — not as a definitive prediction.</w:t>
      </w:r>
    </w:p>
    <w:p>
      <w:r>
        <w:br w:type="page"/>
      </w:r>
    </w:p>
    <w:p>
      <w:pPr>
        <w:pStyle w:val="Heading1"/>
        <w:spacing w:before="360" w:after="160"/>
      </w:pPr>
      <w:r>
        <w:rPr>
          <w:color w:val="1A2C4E"/>
          <w:sz w:val="36"/>
        </w:rPr>
        <w:t>Section 16 — AI-Assisted Commentary and Limitations</w:t>
      </w:r>
    </w:p>
    <w:p>
      <w:pPr>
        <w:spacing w:before="120" w:after="240"/>
      </w:pPr>
      <w:r>
        <w:rPr>
          <w:i/>
          <w:color w:val="2557A7"/>
          <w:sz w:val="20"/>
        </w:rPr>
        <w:t>Sections 01 through 12 of this report contain AI-assisted narrative text generated by a Large Language Model operating under formal grounding constraints G(s) ⊆ J (ATARS Eq. 19). Model used: llama3.2. Temperature τ = 0 (deterministic output). All numerical claims in AI-generated text reference the JSON contract J exclusively. AI narrative generation was active during this run.</w:t>
      </w:r>
    </w:p>
    <w:p>
      <w:pPr>
        <w:spacing w:before="60" w:after="120"/>
      </w:pPr>
      <w:r>
        <w:rPr>
          <w:i w:val="0"/>
          <w:sz w:val="22"/>
        </w:rPr>
        <w:t>The overall quality of records (Q(D)) measures completeness rather than sensor calibration accuracy. Results are specific to the configured station ("Complete Gurugram") and date range ("2024-01-01 to 2024-12-31"), limiting their generalizability. Expert domain review is recommended before using these results in decision-making processes due to potential limitations and uncertainties inherent in the analysis.</w:t>
      </w:r>
    </w:p>
    <w:p>
      <w:pPr>
        <w:pStyle w:val="Heading1"/>
        <w:spacing w:before="360" w:after="160"/>
      </w:pPr>
      <w:r>
        <w:rPr>
          <w:color w:val="1A2C4E"/>
          <w:sz w:val="36"/>
        </w:rPr>
        <w:t>Section 17 — Windows Task Scheduler: Automated Daily Execution</w:t>
      </w:r>
    </w:p>
    <w:p>
      <w:pPr>
        <w:spacing w:before="60" w:after="120"/>
      </w:pPr>
      <w:r>
        <w:rPr>
          <w:i w:val="0"/>
          <w:sz w:val="22"/>
        </w:rPr>
        <w:t>ATARS is designed for fully automated daily operation using Windows Task Scheduler, a built-in Windows feature that executes programs at a fixed time without manual intervention. Once configured, ATARS runs every morning automatically and places a completed report in the output folder — provided the updated data file has been deposited before the scheduled run time.</w:t>
      </w:r>
    </w:p>
    <w:p>
      <w:pPr>
        <w:pStyle w:val="Heading2"/>
        <w:spacing w:before="240" w:after="120"/>
      </w:pPr>
      <w:r>
        <w:rPr>
          <w:color w:val="2557A7"/>
          <w:sz w:val="28"/>
        </w:rPr>
        <w:t>How Task Scheduler Works with ATARS</w:t>
      </w:r>
    </w:p>
    <w:tbl>
      <w:tblPr>
        <w:tblStyle w:val="TableGrid"/>
        <w:tblW w:type="auto" w:w="0"/>
        <w:tblLook w:firstColumn="1" w:firstRow="1" w:lastColumn="0" w:lastRow="0" w:noHBand="0" w:noVBand="1" w:val="04A0"/>
      </w:tblPr>
      <w:tblGrid>
        <w:gridCol w:w="3135"/>
        <w:gridCol w:w="3135"/>
        <w:gridCol w:w="3135"/>
      </w:tblGrid>
      <w:tr>
        <w:tc>
          <w:tcPr>
            <w:tcW w:type="dxa" w:w="3135"/>
            <w:shd w:fill="1A2C4E" w:val="clear"/>
          </w:tcPr>
          <w:p>
            <w:r>
              <w:rPr>
                <w:b/>
                <w:color w:val="FFFFFF"/>
                <w:sz w:val="20"/>
              </w:rPr>
              <w:t>Step</w:t>
            </w:r>
          </w:p>
        </w:tc>
        <w:tc>
          <w:tcPr>
            <w:tcW w:type="dxa" w:w="3135"/>
            <w:shd w:fill="1A2C4E" w:val="clear"/>
          </w:tcPr>
          <w:p>
            <w:r>
              <w:rPr>
                <w:b/>
                <w:color w:val="FFFFFF"/>
                <w:sz w:val="20"/>
              </w:rPr>
              <w:t>Event</w:t>
            </w:r>
          </w:p>
        </w:tc>
        <w:tc>
          <w:tcPr>
            <w:tcW w:type="dxa" w:w="3135"/>
            <w:shd w:fill="1A2C4E" w:val="clear"/>
          </w:tcPr>
          <w:p>
            <w:r>
              <w:rPr>
                <w:b/>
                <w:color w:val="FFFFFF"/>
                <w:sz w:val="20"/>
              </w:rPr>
              <w:t>What Happens</w:t>
            </w:r>
          </w:p>
        </w:tc>
      </w:tr>
      <w:tr>
        <w:tc>
          <w:tcPr>
            <w:tcW w:type="dxa" w:w="3135"/>
            <w:shd w:fill="DCE8F5" w:val="clear"/>
          </w:tcPr>
          <w:p>
            <w:r>
              <w:rPr>
                <w:sz w:val="20"/>
              </w:rPr>
              <w:t>Step 1</w:t>
            </w:r>
          </w:p>
        </w:tc>
        <w:tc>
          <w:tcPr>
            <w:tcW w:type="dxa" w:w="3135"/>
            <w:shd w:fill="DCE8F5" w:val="clear"/>
          </w:tcPr>
          <w:p>
            <w:r>
              <w:rPr>
                <w:sz w:val="20"/>
              </w:rPr>
              <w:t>Data arrives</w:t>
            </w:r>
          </w:p>
        </w:tc>
        <w:tc>
          <w:tcPr>
            <w:tcW w:type="dxa" w:w="3135"/>
            <w:shd w:fill="DCE8F5" w:val="clear"/>
          </w:tcPr>
          <w:p>
            <w:r>
              <w:rPr>
                <w:sz w:val="20"/>
              </w:rPr>
              <w:t>Your sensor system, laboratory, or field team deposits the updated data CSV into the configured folder before the scheduled time (e.g., 06:00 AM).</w:t>
            </w:r>
          </w:p>
        </w:tc>
      </w:tr>
      <w:tr>
        <w:tc>
          <w:tcPr>
            <w:tcW w:type="dxa" w:w="3135"/>
            <w:shd w:fill="DCE8F5" w:val="clear"/>
          </w:tcPr>
          <w:p>
            <w:r>
              <w:rPr>
                <w:sz w:val="20"/>
              </w:rPr>
              <w:t>Step 2</w:t>
            </w:r>
          </w:p>
        </w:tc>
        <w:tc>
          <w:tcPr>
            <w:tcW w:type="dxa" w:w="3135"/>
            <w:shd w:fill="DCE8F5" w:val="clear"/>
          </w:tcPr>
          <w:p>
            <w:r>
              <w:rPr>
                <w:sz w:val="20"/>
              </w:rPr>
              <w:t>Task Scheduler triggers</w:t>
            </w:r>
          </w:p>
        </w:tc>
        <w:tc>
          <w:tcPr>
            <w:tcW w:type="dxa" w:w="3135"/>
            <w:shd w:fill="DCE8F5" w:val="clear"/>
          </w:tcPr>
          <w:p>
            <w:r>
              <w:rPr>
                <w:sz w:val="20"/>
              </w:rPr>
              <w:t>Windows Task Scheduler runs atars.py at the exact configured time (e.g., 07:00 AM) — no human action required.</w:t>
            </w:r>
          </w:p>
        </w:tc>
      </w:tr>
      <w:tr>
        <w:tc>
          <w:tcPr>
            <w:tcW w:type="dxa" w:w="3135"/>
            <w:shd w:fill="DCE8F5" w:val="clear"/>
          </w:tcPr>
          <w:p>
            <w:r>
              <w:rPr>
                <w:sz w:val="20"/>
              </w:rPr>
              <w:t>Step 3</w:t>
            </w:r>
          </w:p>
        </w:tc>
        <w:tc>
          <w:tcPr>
            <w:tcW w:type="dxa" w:w="3135"/>
            <w:shd w:fill="DCE8F5" w:val="clear"/>
          </w:tcPr>
          <w:p>
            <w:r>
              <w:rPr>
                <w:sz w:val="20"/>
              </w:rPr>
              <w:t>Pipeline executes</w:t>
            </w:r>
          </w:p>
        </w:tc>
        <w:tc>
          <w:tcPr>
            <w:tcW w:type="dxa" w:w="3135"/>
            <w:shd w:fill="DCE8F5" w:val="clear"/>
          </w:tcPr>
          <w:p>
            <w:r>
              <w:rPr>
                <w:sz w:val="20"/>
              </w:rPr>
              <w:t>ATARS loads the latest data, runs all 9 pipeline steps (Steps 1–9), generates up to 15 charts, and compiles the full Word document report.</w:t>
            </w:r>
          </w:p>
        </w:tc>
      </w:tr>
      <w:tr>
        <w:tc>
          <w:tcPr>
            <w:tcW w:type="dxa" w:w="3135"/>
            <w:shd w:fill="DCE8F5" w:val="clear"/>
          </w:tcPr>
          <w:p>
            <w:r>
              <w:rPr>
                <w:sz w:val="20"/>
              </w:rPr>
              <w:t>Step 4</w:t>
            </w:r>
          </w:p>
        </w:tc>
        <w:tc>
          <w:tcPr>
            <w:tcW w:type="dxa" w:w="3135"/>
            <w:shd w:fill="DCE8F5" w:val="clear"/>
          </w:tcPr>
          <w:p>
            <w:r>
              <w:rPr>
                <w:sz w:val="20"/>
              </w:rPr>
              <w:t>Report delivered</w:t>
            </w:r>
          </w:p>
        </w:tc>
        <w:tc>
          <w:tcPr>
            <w:tcW w:type="dxa" w:w="3135"/>
            <w:shd w:fill="DCE8F5" w:val="clear"/>
          </w:tcPr>
          <w:p>
            <w:r>
              <w:rPr>
                <w:sz w:val="20"/>
              </w:rPr>
              <w:t>The completed .docx report appears in the output folder and/or is emailed to configured recipients.</w:t>
            </w:r>
          </w:p>
        </w:tc>
      </w:tr>
      <w:tr>
        <w:tc>
          <w:tcPr>
            <w:tcW w:type="dxa" w:w="3135"/>
            <w:shd w:fill="DCE8F5" w:val="clear"/>
          </w:tcPr>
          <w:p>
            <w:r>
              <w:rPr>
                <w:sz w:val="20"/>
              </w:rPr>
              <w:t>Step 5</w:t>
            </w:r>
          </w:p>
        </w:tc>
        <w:tc>
          <w:tcPr>
            <w:tcW w:type="dxa" w:w="3135"/>
            <w:shd w:fill="DCE8F5" w:val="clear"/>
          </w:tcPr>
          <w:p>
            <w:r>
              <w:rPr>
                <w:sz w:val="20"/>
              </w:rPr>
              <w:t>Audit logged</w:t>
            </w:r>
          </w:p>
        </w:tc>
        <w:tc>
          <w:tcPr>
            <w:tcW w:type="dxa" w:w="3135"/>
            <w:shd w:fill="DCE8F5" w:val="clear"/>
          </w:tcPr>
          <w:p>
            <w:r>
              <w:rPr>
                <w:sz w:val="20"/>
              </w:rPr>
              <w:t>SHA-256 hash of the run is recorded in the audit log for reproducibility verification.</w:t>
            </w:r>
          </w:p>
        </w:tc>
      </w:tr>
    </w:tbl>
    <w:p>
      <w:pPr>
        <w:pStyle w:val="Heading2"/>
        <w:spacing w:before="240" w:after="120"/>
      </w:pPr>
      <w:r>
        <w:rPr>
          <w:color w:val="2557A7"/>
          <w:sz w:val="28"/>
        </w:rPr>
        <w:t>Setup Instructions (One-Time, ~5 minutes)</w:t>
      </w:r>
    </w:p>
    <w:p>
      <w:pPr>
        <w:spacing w:before="60" w:after="120"/>
      </w:pPr>
      <w:r>
        <w:rPr>
          <w:i w:val="0"/>
          <w:sz w:val="22"/>
        </w:rPr>
        <w:t>1. Open Windows search → type "Task Scheduler" → Open it.</w:t>
      </w:r>
    </w:p>
    <w:p>
      <w:pPr>
        <w:spacing w:before="60" w:after="120"/>
      </w:pPr>
      <w:r>
        <w:rPr>
          <w:i w:val="0"/>
          <w:sz w:val="22"/>
        </w:rPr>
        <w:t>2. Click "Create Basic Task" in the right panel.</w:t>
      </w:r>
    </w:p>
    <w:p>
      <w:pPr>
        <w:spacing w:before="60" w:after="120"/>
      </w:pPr>
      <w:r>
        <w:rPr>
          <w:i w:val="0"/>
          <w:sz w:val="22"/>
        </w:rPr>
        <w:t>3. Name it: ATARS Daily Report — click Next.</w:t>
      </w:r>
    </w:p>
    <w:p>
      <w:pPr>
        <w:spacing w:before="60" w:after="120"/>
      </w:pPr>
      <w:r>
        <w:rPr>
          <w:i w:val="0"/>
          <w:sz w:val="22"/>
        </w:rPr>
        <w:t>4. Trigger: select "Daily" → set your time (e.g., 07:00 AM) → Next.</w:t>
      </w:r>
    </w:p>
    <w:p>
      <w:pPr>
        <w:spacing w:before="60" w:after="120"/>
      </w:pPr>
      <w:r>
        <w:rPr>
          <w:i w:val="0"/>
          <w:sz w:val="22"/>
        </w:rPr>
        <w:t>5. Action: "Start a program" → Next.</w:t>
      </w:r>
    </w:p>
    <w:p>
      <w:pPr>
        <w:spacing w:before="60" w:after="120"/>
      </w:pPr>
      <w:r>
        <w:rPr>
          <w:i w:val="0"/>
          <w:sz w:val="22"/>
        </w:rPr>
        <w:t>6. Program/script field: type the full path to python.exe</w:t>
      </w:r>
    </w:p>
    <w:p>
      <w:pPr>
        <w:spacing w:before="60" w:after="120"/>
      </w:pPr>
      <w:r>
        <w:rPr>
          <w:i w:val="0"/>
          <w:sz w:val="22"/>
        </w:rPr>
        <w:t xml:space="preserve">   Example: C:\Python311\python.exe</w:t>
      </w:r>
    </w:p>
    <w:p>
      <w:pPr>
        <w:spacing w:before="60" w:after="120"/>
      </w:pPr>
      <w:r>
        <w:rPr>
          <w:i w:val="0"/>
          <w:sz w:val="22"/>
        </w:rPr>
        <w:t>7. Add arguments field: type the full path to atars.py and arguments</w:t>
      </w:r>
    </w:p>
    <w:p>
      <w:pPr>
        <w:spacing w:before="60" w:after="120"/>
      </w:pPr>
      <w:r>
        <w:rPr>
          <w:i w:val="0"/>
          <w:sz w:val="22"/>
        </w:rPr>
        <w:t xml:space="preserve">   Example: "C:\ATARS\atars.py" --data "C:\ATARS\data.csv" --city "Delhi" --no-llm</w:t>
      </w:r>
    </w:p>
    <w:p>
      <w:pPr>
        <w:spacing w:before="60" w:after="120"/>
      </w:pPr>
      <w:r>
        <w:rPr>
          <w:i w:val="0"/>
          <w:sz w:val="22"/>
        </w:rPr>
        <w:t>8. Start in field: type the folder containing atars.py</w:t>
      </w:r>
    </w:p>
    <w:p>
      <w:pPr>
        <w:spacing w:before="60" w:after="120"/>
      </w:pPr>
      <w:r>
        <w:rPr>
          <w:i w:val="0"/>
          <w:sz w:val="22"/>
        </w:rPr>
        <w:t xml:space="preserve">   Example: C:\ATARS\</w:t>
      </w:r>
    </w:p>
    <w:p>
      <w:pPr>
        <w:spacing w:before="60" w:after="120"/>
      </w:pPr>
      <w:r>
        <w:rPr>
          <w:i w:val="0"/>
          <w:sz w:val="22"/>
        </w:rPr>
        <w:t>9. Click Finish. ATARS will now run automatically every day at your chosen time.</w:t>
      </w:r>
    </w:p>
    <w:p>
      <w:pPr>
        <w:pStyle w:val="Heading2"/>
        <w:spacing w:before="240" w:after="120"/>
      </w:pPr>
      <w:r>
        <w:rPr>
          <w:color w:val="2557A7"/>
          <w:sz w:val="28"/>
        </w:rPr>
        <w:t>The run_atars.bat Batch File (Easier Method)</w:t>
      </w:r>
    </w:p>
    <w:p>
      <w:pPr>
        <w:spacing w:before="60" w:after="120"/>
      </w:pPr>
      <w:r>
        <w:rPr>
          <w:i w:val="0"/>
          <w:sz w:val="22"/>
        </w:rPr>
        <w:t>ATARS automatically creates a run_atars.bat file in your output folder. Point Task Scheduler at this .bat file instead of typing all arguments manually. The batch file contains the exact command with all your configured settings.</w:t>
      </w:r>
    </w:p>
    <w:p>
      <w:pPr>
        <w:spacing w:before="0" w:after="0"/>
        <w:ind w:left="480"/>
      </w:pPr>
      <w:r>
        <w:rPr>
          <w:rFonts w:ascii="Courier New" w:hAnsi="Courier New"/>
          <w:color w:val="1A2C4E"/>
          <w:sz w:val="18"/>
        </w:rPr>
        <w:t>@echo off</w:t>
      </w:r>
    </w:p>
    <w:p>
      <w:pPr>
        <w:spacing w:before="0" w:after="0"/>
        <w:ind w:left="480"/>
      </w:pPr>
      <w:r>
        <w:rPr>
          <w:rFonts w:ascii="Courier New" w:hAnsi="Courier New"/>
          <w:color w:val="065F46"/>
          <w:sz w:val="18"/>
        </w:rPr>
        <w:t>REM ATARS — Automated Daily Run Script</w:t>
      </w:r>
    </w:p>
    <w:p>
      <w:pPr>
        <w:spacing w:before="0" w:after="0"/>
        <w:ind w:left="480"/>
      </w:pPr>
      <w:r>
        <w:rPr>
          <w:rFonts w:ascii="Courier New" w:hAnsi="Courier New"/>
          <w:color w:val="065F46"/>
          <w:sz w:val="18"/>
        </w:rPr>
        <w:t>REM Generated by ATARS. Point Windows Task Scheduler at this file.</w:t>
      </w:r>
    </w:p>
    <w:p>
      <w:pPr>
        <w:spacing w:before="0" w:after="0"/>
        <w:ind w:left="480"/>
      </w:pPr>
      <w:r>
        <w:rPr>
          <w:rFonts w:ascii="Courier New" w:hAnsi="Courier New"/>
          <w:color w:val="000000"/>
          <w:sz w:val="18"/>
        </w:rPr>
        <w:t xml:space="preserve"> </w:t>
      </w:r>
    </w:p>
    <w:p>
      <w:pPr>
        <w:spacing w:before="0" w:after="0"/>
        <w:ind w:left="480"/>
      </w:pPr>
      <w:r>
        <w:rPr>
          <w:rFonts w:ascii="Courier New" w:hAnsi="Courier New"/>
          <w:color w:val="000000"/>
          <w:sz w:val="18"/>
        </w:rPr>
        <w:t>cd /d "C:\ATARS"</w:t>
      </w:r>
    </w:p>
    <w:p>
      <w:pPr>
        <w:spacing w:before="0" w:after="0"/>
        <w:ind w:left="480"/>
      </w:pPr>
      <w:r>
        <w:rPr>
          <w:rFonts w:ascii="Courier New" w:hAnsi="Courier New"/>
          <w:color w:val="000000"/>
          <w:sz w:val="18"/>
        </w:rPr>
        <w:t>python atars.py --data "data.csv" --city "Delhi" --station "CPCB-001" --no-llm</w:t>
      </w:r>
    </w:p>
    <w:p>
      <w:pPr>
        <w:spacing w:before="0" w:after="0"/>
        <w:ind w:left="480"/>
      </w:pPr>
      <w:r>
        <w:rPr>
          <w:rFonts w:ascii="Courier New" w:hAnsi="Courier New"/>
          <w:color w:val="000000"/>
          <w:sz w:val="18"/>
        </w:rPr>
        <w:t xml:space="preserve"> </w:t>
      </w:r>
    </w:p>
    <w:p>
      <w:pPr>
        <w:spacing w:before="0" w:after="0"/>
        <w:ind w:left="480"/>
      </w:pPr>
      <w:r>
        <w:rPr>
          <w:rFonts w:ascii="Courier New" w:hAnsi="Courier New"/>
          <w:color w:val="065F46"/>
          <w:sz w:val="18"/>
        </w:rPr>
        <w:t>REM Check exit code</w:t>
      </w:r>
    </w:p>
    <w:p>
      <w:pPr>
        <w:spacing w:before="0" w:after="0"/>
        <w:ind w:left="480"/>
      </w:pPr>
      <w:r>
        <w:rPr>
          <w:rFonts w:ascii="Courier New" w:hAnsi="Courier New"/>
          <w:color w:val="000000"/>
          <w:sz w:val="18"/>
        </w:rPr>
        <w:t>if %ERRORLEVEL% EQU 0 (</w:t>
      </w:r>
    </w:p>
    <w:p>
      <w:pPr>
        <w:spacing w:before="0" w:after="0"/>
        <w:ind w:left="480"/>
      </w:pPr>
      <w:r>
        <w:rPr>
          <w:rFonts w:ascii="Courier New" w:hAnsi="Courier New"/>
          <w:color w:val="000000"/>
          <w:sz w:val="18"/>
        </w:rPr>
        <w:t xml:space="preserve">    echo ATARS run completed successfully &gt;&gt; atars_output\run_log.txt</w:t>
      </w:r>
    </w:p>
    <w:p>
      <w:pPr>
        <w:spacing w:before="0" w:after="0"/>
        <w:ind w:left="480"/>
      </w:pPr>
      <w:r>
        <w:rPr>
          <w:rFonts w:ascii="Courier New" w:hAnsi="Courier New"/>
          <w:color w:val="000000"/>
          <w:sz w:val="18"/>
        </w:rPr>
        <w:t>) else (</w:t>
      </w:r>
    </w:p>
    <w:p>
      <w:pPr>
        <w:spacing w:before="0" w:after="0"/>
        <w:ind w:left="480"/>
      </w:pPr>
      <w:r>
        <w:rPr>
          <w:rFonts w:ascii="Courier New" w:hAnsi="Courier New"/>
          <w:color w:val="000000"/>
          <w:sz w:val="18"/>
        </w:rPr>
        <w:t xml:space="preserve">    echo ATARS run FAILED — check pipeline &gt;&gt; atars_output\run_log.txt</w:t>
      </w:r>
    </w:p>
    <w:p>
      <w:pPr>
        <w:spacing w:before="0" w:after="0"/>
        <w:ind w:left="480"/>
      </w:pPr>
      <w:r>
        <w:rPr>
          <w:rFonts w:ascii="Courier New" w:hAnsi="Courier New"/>
          <w:color w:val="000000"/>
          <w:sz w:val="18"/>
        </w:rPr>
        <w:t>)</w:t>
      </w:r>
    </w:p>
    <w:p>
      <w:pPr>
        <w:spacing w:before="60" w:after="120"/>
      </w:pPr>
      <w:r>
        <w:rPr>
          <w:i/>
          <w:color w:val="92400E"/>
          <w:sz w:val="22"/>
        </w:rPr>
        <w:t>IMPORTANT: The data file must arrive in the folder BEFORE Task Scheduler runs. Configure your data delivery (sensor upload, FTP, email attachment) to complete at least 30 minutes before the scheduled ATARS run time.</w:t>
      </w:r>
    </w:p>
    <w:p>
      <w:r>
        <w:br w:type="page"/>
      </w:r>
    </w:p>
    <w:p>
      <w:pPr>
        <w:pStyle w:val="Heading1"/>
        <w:spacing w:before="360" w:after="160"/>
      </w:pPr>
      <w:r>
        <w:rPr>
          <w:color w:val="1A2C4E"/>
          <w:sz w:val="36"/>
        </w:rPr>
        <w:t>Section 18 — Reproducibility and Audit Record</w:t>
      </w:r>
    </w:p>
    <w:p>
      <w:pPr>
        <w:spacing w:before="60" w:after="120"/>
      </w:pPr>
      <w:r>
        <w:rPr>
          <w:i w:val="0"/>
          <w:sz w:val="22"/>
        </w:rPr>
        <w:t>The metadata table below provides a complete record of this pipeline run, enabling independent verification and exact re-execution. Hash(O) = SHA-256(canonical_JSON(J)) — the output is guaranteed to be identical if the same data file and configuration are used with the same ATARS version (ATARS Reproducibility Theorem, Eq. 20).</w:t>
      </w:r>
    </w:p>
    <w:tbl>
      <w:tblPr>
        <w:tblStyle w:val="TableGrid"/>
        <w:tblW w:type="auto" w:w="0"/>
        <w:tblLook w:firstColumn="1" w:firstRow="1" w:lastColumn="0" w:lastRow="0" w:noHBand="0" w:noVBand="1" w:val="04A0"/>
      </w:tblPr>
      <w:tblGrid>
        <w:gridCol w:w="4703"/>
        <w:gridCol w:w="4703"/>
      </w:tblGrid>
      <w:tr>
        <w:tc>
          <w:tcPr>
            <w:tcW w:type="dxa" w:w="4703"/>
            <w:shd w:fill="1A3A5C" w:val="clear"/>
          </w:tcPr>
          <w:p>
            <w:r>
              <w:rPr>
                <w:b/>
                <w:color w:val="FFFFFF"/>
                <w:sz w:val="20"/>
              </w:rPr>
              <w:t>Report ID</w:t>
            </w:r>
          </w:p>
        </w:tc>
        <w:tc>
          <w:tcPr>
            <w:tcW w:type="dxa" w:w="4703"/>
            <w:shd w:fill="DCE8F5" w:val="clear"/>
          </w:tcPr>
          <w:p>
            <w:r>
              <w:rPr>
                <w:b w:val="0"/>
                <w:sz w:val="20"/>
              </w:rPr>
              <w:t>ATARS-20260228-F2C572EC</w:t>
            </w:r>
          </w:p>
        </w:tc>
      </w:tr>
      <w:tr>
        <w:tc>
          <w:tcPr>
            <w:tcW w:type="dxa" w:w="4703"/>
            <w:shd w:fill="1A3A5C" w:val="clear"/>
          </w:tcPr>
          <w:p>
            <w:r>
              <w:rPr>
                <w:b/>
                <w:color w:val="FFFFFF"/>
                <w:sz w:val="20"/>
              </w:rPr>
              <w:t>Generated</w:t>
            </w:r>
          </w:p>
        </w:tc>
        <w:tc>
          <w:tcPr>
            <w:tcW w:type="dxa" w:w="4703"/>
            <w:shd w:fill="FFFFFF" w:val="clear"/>
          </w:tcPr>
          <w:p>
            <w:r>
              <w:rPr>
                <w:b w:val="0"/>
                <w:sz w:val="20"/>
              </w:rPr>
              <w:t>2026-02-28 13:10:44</w:t>
            </w:r>
          </w:p>
        </w:tc>
      </w:tr>
      <w:tr>
        <w:tc>
          <w:tcPr>
            <w:tcW w:type="dxa" w:w="4703"/>
            <w:shd w:fill="1A3A5C" w:val="clear"/>
          </w:tcPr>
          <w:p>
            <w:r>
              <w:rPr>
                <w:b/>
                <w:color w:val="FFFFFF"/>
                <w:sz w:val="20"/>
              </w:rPr>
              <w:t>City / Station</w:t>
            </w:r>
          </w:p>
        </w:tc>
        <w:tc>
          <w:tcPr>
            <w:tcW w:type="dxa" w:w="4703"/>
            <w:shd w:fill="DCE8F5" w:val="clear"/>
          </w:tcPr>
          <w:p>
            <w:r>
              <w:rPr>
                <w:b w:val="0"/>
                <w:sz w:val="20"/>
              </w:rPr>
              <w:t>Gurugram / Complete Gurugram</w:t>
            </w:r>
          </w:p>
        </w:tc>
      </w:tr>
      <w:tr>
        <w:tc>
          <w:tcPr>
            <w:tcW w:type="dxa" w:w="4703"/>
            <w:shd w:fill="1A3A5C" w:val="clear"/>
          </w:tcPr>
          <w:p>
            <w:r>
              <w:rPr>
                <w:b/>
                <w:color w:val="FFFFFF"/>
                <w:sz w:val="20"/>
              </w:rPr>
              <w:t>Date Range</w:t>
            </w:r>
          </w:p>
        </w:tc>
        <w:tc>
          <w:tcPr>
            <w:tcW w:type="dxa" w:w="4703"/>
            <w:shd w:fill="FFFFFF" w:val="clear"/>
          </w:tcPr>
          <w:p>
            <w:r>
              <w:rPr>
                <w:b w:val="0"/>
                <w:sz w:val="20"/>
              </w:rPr>
              <w:t>2024-01-01 to 2024-12-31</w:t>
            </w:r>
          </w:p>
        </w:tc>
      </w:tr>
      <w:tr>
        <w:tc>
          <w:tcPr>
            <w:tcW w:type="dxa" w:w="4703"/>
            <w:shd w:fill="1A3A5C" w:val="clear"/>
          </w:tcPr>
          <w:p>
            <w:r>
              <w:rPr>
                <w:b/>
                <w:color w:val="FFFFFF"/>
                <w:sz w:val="20"/>
              </w:rPr>
              <w:t>Total Records</w:t>
            </w:r>
          </w:p>
        </w:tc>
        <w:tc>
          <w:tcPr>
            <w:tcW w:type="dxa" w:w="4703"/>
            <w:shd w:fill="DCE8F5" w:val="clear"/>
          </w:tcPr>
          <w:p>
            <w:r>
              <w:rPr>
                <w:b w:val="0"/>
                <w:sz w:val="20"/>
              </w:rPr>
              <w:t>8,784</w:t>
            </w:r>
          </w:p>
        </w:tc>
      </w:tr>
      <w:tr>
        <w:tc>
          <w:tcPr>
            <w:tcW w:type="dxa" w:w="4703"/>
            <w:shd w:fill="1A3A5C" w:val="clear"/>
          </w:tcPr>
          <w:p>
            <w:r>
              <w:rPr>
                <w:b/>
                <w:color w:val="FFFFFF"/>
                <w:sz w:val="20"/>
              </w:rPr>
              <w:t>Overall Q(D)</w:t>
            </w:r>
          </w:p>
        </w:tc>
        <w:tc>
          <w:tcPr>
            <w:tcW w:type="dxa" w:w="4703"/>
            <w:shd w:fill="FFFFFF" w:val="clear"/>
          </w:tcPr>
          <w:p>
            <w:r>
              <w:rPr>
                <w:b w:val="0"/>
                <w:sz w:val="20"/>
              </w:rPr>
              <w:t>0.7442</w:t>
            </w:r>
          </w:p>
        </w:tc>
      </w:tr>
      <w:tr>
        <w:tc>
          <w:tcPr>
            <w:tcW w:type="dxa" w:w="4703"/>
            <w:shd w:fill="1A3A5C" w:val="clear"/>
          </w:tcPr>
          <w:p>
            <w:r>
              <w:rPr>
                <w:b/>
                <w:color w:val="FFFFFF"/>
                <w:sz w:val="20"/>
              </w:rPr>
              <w:t>Confidence Flag</w:t>
            </w:r>
          </w:p>
        </w:tc>
        <w:tc>
          <w:tcPr>
            <w:tcW w:type="dxa" w:w="4703"/>
            <w:shd w:fill="DCE8F5" w:val="clear"/>
          </w:tcPr>
          <w:p>
            <w:r>
              <w:rPr>
                <w:b w:val="0"/>
                <w:sz w:val="20"/>
              </w:rPr>
              <w:t>MODERATE</w:t>
            </w:r>
          </w:p>
        </w:tc>
      </w:tr>
      <w:tr>
        <w:tc>
          <w:tcPr>
            <w:tcW w:type="dxa" w:w="4703"/>
            <w:shd w:fill="1A3A5C" w:val="clear"/>
          </w:tcPr>
          <w:p>
            <w:r>
              <w:rPr>
                <w:b/>
                <w:color w:val="FFFFFF"/>
                <w:sz w:val="20"/>
              </w:rPr>
              <w:t>Baseline Window W</w:t>
            </w:r>
          </w:p>
        </w:tc>
        <w:tc>
          <w:tcPr>
            <w:tcW w:type="dxa" w:w="4703"/>
            <w:shd w:fill="FFFFFF" w:val="clear"/>
          </w:tcPr>
          <w:p>
            <w:r>
              <w:rPr>
                <w:b w:val="0"/>
                <w:sz w:val="20"/>
              </w:rPr>
              <w:t>30 days</w:t>
            </w:r>
          </w:p>
        </w:tc>
      </w:tr>
      <w:tr>
        <w:tc>
          <w:tcPr>
            <w:tcW w:type="dxa" w:w="4703"/>
            <w:shd w:fill="1A3A5C" w:val="clear"/>
          </w:tcPr>
          <w:p>
            <w:r>
              <w:rPr>
                <w:b/>
                <w:color w:val="FFFFFF"/>
                <w:sz w:val="20"/>
              </w:rPr>
              <w:t>Z-Threshold ζ</w:t>
            </w:r>
          </w:p>
        </w:tc>
        <w:tc>
          <w:tcPr>
            <w:tcW w:type="dxa" w:w="4703"/>
            <w:shd w:fill="DCE8F5" w:val="clear"/>
          </w:tcPr>
          <w:p>
            <w:r>
              <w:rPr>
                <w:b w:val="0"/>
                <w:sz w:val="20"/>
              </w:rPr>
              <w:t>3.0</w:t>
            </w:r>
          </w:p>
        </w:tc>
      </w:tr>
      <w:tr>
        <w:tc>
          <w:tcPr>
            <w:tcW w:type="dxa" w:w="4703"/>
            <w:shd w:fill="1A3A5C" w:val="clear"/>
          </w:tcPr>
          <w:p>
            <w:r>
              <w:rPr>
                <w:b/>
                <w:color w:val="FFFFFF"/>
                <w:sz w:val="20"/>
              </w:rPr>
              <w:t>Run Hash (J)</w:t>
            </w:r>
          </w:p>
        </w:tc>
        <w:tc>
          <w:tcPr>
            <w:tcW w:type="dxa" w:w="4703"/>
            <w:shd w:fill="FFFFFF" w:val="clear"/>
          </w:tcPr>
          <w:p>
            <w:r>
              <w:rPr>
                <w:b w:val="0"/>
                <w:sz w:val="20"/>
              </w:rPr>
              <w:t>2cbe1b24cef4ff5bf16c1370941a393d...</w:t>
            </w:r>
          </w:p>
        </w:tc>
      </w:tr>
      <w:tr>
        <w:tc>
          <w:tcPr>
            <w:tcW w:type="dxa" w:w="4703"/>
            <w:shd w:fill="1A3A5C" w:val="clear"/>
          </w:tcPr>
          <w:p>
            <w:r>
              <w:rPr>
                <w:b/>
                <w:color w:val="FFFFFF"/>
                <w:sz w:val="20"/>
              </w:rPr>
              <w:t>Framework Version</w:t>
            </w:r>
          </w:p>
        </w:tc>
        <w:tc>
          <w:tcPr>
            <w:tcW w:type="dxa" w:w="4703"/>
            <w:shd w:fill="DCE8F5" w:val="clear"/>
          </w:tcPr>
          <w:p>
            <w:r>
              <w:rPr>
                <w:b w:val="0"/>
                <w:sz w:val="20"/>
              </w:rPr>
              <w:t>ATARS v2.0.0 — Priyanshu (2026)</w:t>
            </w:r>
          </w:p>
        </w:tc>
      </w:tr>
      <w:tr>
        <w:tc>
          <w:tcPr>
            <w:tcW w:type="dxa" w:w="4703"/>
            <w:shd w:fill="1A3A5C" w:val="clear"/>
          </w:tcPr>
          <w:p>
            <w:r>
              <w:rPr>
                <w:b/>
                <w:color w:val="FFFFFF"/>
                <w:sz w:val="20"/>
              </w:rPr>
              <w:t>Author</w:t>
            </w:r>
          </w:p>
        </w:tc>
        <w:tc>
          <w:tcPr>
            <w:tcW w:type="dxa" w:w="4703"/>
            <w:shd w:fill="FFFFFF" w:val="clear"/>
          </w:tcPr>
          <w:p>
            <w:r>
              <w:rPr>
                <w:b w:val="0"/>
                <w:sz w:val="20"/>
              </w:rPr>
              <w:t>Priyanshu  ·  Global Institute of Technology and Management</w:t>
            </w:r>
          </w:p>
        </w:tc>
      </w:tr>
      <w:tr>
        <w:tc>
          <w:tcPr>
            <w:tcW w:type="dxa" w:w="4703"/>
            <w:shd w:fill="1A3A5C" w:val="clear"/>
          </w:tcPr>
          <w:p>
            <w:r>
              <w:rPr>
                <w:b/>
                <w:color w:val="FFFFFF"/>
                <w:sz w:val="20"/>
              </w:rPr>
              <w:t>AI Model</w:t>
            </w:r>
          </w:p>
        </w:tc>
        <w:tc>
          <w:tcPr>
            <w:tcW w:type="dxa" w:w="4703"/>
            <w:shd w:fill="DCE8F5" w:val="clear"/>
          </w:tcPr>
          <w:p>
            <w:r>
              <w:rPr>
                <w:b w:val="0"/>
                <w:sz w:val="20"/>
              </w:rPr>
              <w:t>llama3.2</w:t>
            </w:r>
          </w:p>
        </w:tc>
      </w:tr>
      <w:tr>
        <w:tc>
          <w:tcPr>
            <w:tcW w:type="dxa" w:w="4703"/>
            <w:shd w:fill="1A3A5C" w:val="clear"/>
          </w:tcPr>
          <w:p>
            <w:r>
              <w:rPr>
                <w:b/>
                <w:color w:val="FFFFFF"/>
                <w:sz w:val="20"/>
              </w:rPr>
              <w:t>LLM Temperature</w:t>
            </w:r>
          </w:p>
        </w:tc>
        <w:tc>
          <w:tcPr>
            <w:tcW w:type="dxa" w:w="4703"/>
            <w:shd w:fill="FFFFFF" w:val="clear"/>
          </w:tcPr>
          <w:p>
            <w:r>
              <w:rPr>
                <w:b w:val="0"/>
                <w:sz w:val="20"/>
              </w:rPr>
              <w:t>τ = 0 (deterministic)</w:t>
            </w:r>
          </w:p>
        </w:tc>
      </w:tr>
      <w:tr>
        <w:tc>
          <w:tcPr>
            <w:tcW w:type="dxa" w:w="4703"/>
            <w:shd w:fill="1A3A5C" w:val="clear"/>
          </w:tcPr>
          <w:p>
            <w:r>
              <w:rPr>
                <w:b/>
                <w:color w:val="FFFFFF"/>
                <w:sz w:val="20"/>
              </w:rPr>
              <w:t>Classification</w:t>
            </w:r>
          </w:p>
        </w:tc>
        <w:tc>
          <w:tcPr>
            <w:tcW w:type="dxa" w:w="4703"/>
            <w:shd w:fill="DCE8F5" w:val="clear"/>
          </w:tcPr>
          <w:p>
            <w:r>
              <w:rPr>
                <w:b w:val="0"/>
                <w:sz w:val="20"/>
              </w:rPr>
              <w:t>Open Source — MIT License — Copyright (c) 2026 Priyanshu</w:t>
            </w:r>
          </w:p>
        </w:tc>
      </w:tr>
    </w:tbl>
    <w:p/>
    <w:p>
      <w:pPr>
        <w:jc w:val="center"/>
      </w:pPr>
      <w:r>
        <w:rPr>
          <w:i/>
          <w:color w:val="6B7280"/>
          <w:sz w:val="20"/>
        </w:rPr>
        <w:t>"A framework built for researchers, by a researcher."</w:t>
        <w:br/>
        <w:t>Priyanshu  ·  Global Institute of Technology and Management  ·  priyanshukumar9053@gmail.com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