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Vision</w:t>
        <w:br w:type="textWrapping"/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To position SGSU as a pioneering, 100% AI-Ready University that leads transformative education through Artificial Intelligence, Machine Learning, and Deep Learning — fostering innovation, interdisciplinary collaboration, and societal impact through responsible and ethical use of AI.</w:t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 Mission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To build a future-ready academic ecosystem where students, faculty, and the institution embrace AI-driven learning, research, and innovation. This mission is achieved through multi-track initiatives involving AI Readiness Labs, faculty upskilling, curriculum advancement, industry collaboration, entrepreneurship development, and technology-enabled operations.</w:t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F604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F604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F604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F604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F604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F604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F604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F604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F604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F604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F604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F604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F604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F604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F604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F604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F604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F604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F604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F604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F604C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E8082D"/>
    <w:rPr>
      <w:rFonts w:ascii="Times New Roman" w:cs="Times New Roman" w:hAnsi="Times New Roman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9i6i/Y9gnwlNKuN6U1y2afdUXA==">CgMxLjA4AHIhMXBUX2xqZVhjV2V5YlBBd3o1MUpIc3B5R05keExOQkh1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2025-09-18T02:08:00Z</dcterms:created>
  <dc:creator>Pooja Bijlani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5890b4cc-2391-463f-ab70-adf43dbc39dc</vt:lpwstr>
  </property>
</Properties>
</file>