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r>
        <w:t xml:space="preserve">Revenue rose in Q3 — driven by renewals &amp; upsell.</w:t>
      </w:r>
    </w:p>
    <w:p>
      <w:pPr>
        <w:pStyle w:val="Heading2"/>
      </w:pPr>
      <w:r>
        <w:t xml:space="preserve">Regional breakdown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t xml:space="preserve">Revenue</w:t>
            </w:r>
          </w:p>
        </w:tc>
      </w:tr>
      <w:tr>
        <w:tc>
          <w:tcPr>
            <w:tcW w:w="0" w:type="auto"/>
          </w:tcPr>
          <w:p>
            <w:r>
              <w:t xml:space="preserve">EMEA</w:t>
            </w:r>
          </w:p>
        </w:tc>
        <w:tc>
          <w:tcPr>
            <w:tcW w:w="0" w:type="auto"/>
          </w:tcPr>
          <w:p>
            <w:r>
              <w:t xml:space="preserve">1.2M</w:t>
            </w:r>
          </w:p>
        </w:tc>
      </w:tr>
      <w:tr>
        <w:tc>
          <w:tcPr>
            <w:tcW w:w="0" w:type="auto"/>
          </w:tcPr>
          <w:p>
            <w:r>
              <w:t xml:space="preserve">APAC</w:t>
            </w:r>
          </w:p>
        </w:tc>
        <w:tc>
          <w:tcPr>
            <w:tcW w:w="0" w:type="auto"/>
          </w:tcPr>
          <w:p>
            <w:r>
              <w:t xml:space="preserve">0.8M</w:t>
            </w:r>
          </w:p>
        </w:tc>
      </w:tr>
    </w:tbl>
    <w:p>
      <w:r>
        <w:t xml:space="preserve"/>
      </w:r>
    </w:p>
    <w:p>
      <w:r>
        <w:t xml:space="preserve">Prepared by the finance team.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