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8"/>
          <w:szCs w:val="28"/>
        </w:rPr>
      </w:pPr>
      <w:r w:rsidDel="00000000" w:rsidR="00000000" w:rsidRPr="00000000">
        <w:rPr>
          <w:b w:val="1"/>
          <w:bCs w:val="1"/>
          <w:sz w:val="28"/>
          <w:szCs w:val="28"/>
          <w:rtl w:val="0"/>
        </w:rPr>
        <w:t xml:space="preserve">Question 1</w:t>
      </w:r>
    </w:p>
    <w:p w:rsidR="00000000" w:rsidDel="00000000" w:rsidP="00000000" w:rsidRDefault="00000000" w:rsidRPr="00000000" w14:paraId="00000002">
      <w:pPr>
        <w:spacing w:after="240" w:before="240" w:lineRule="auto"/>
        <w:rPr/>
      </w:pPr>
      <w:r w:rsidDel="00000000" w:rsidR="00000000" w:rsidRPr="00000000">
        <w:rPr>
          <w:rtl w:val="0"/>
        </w:rPr>
        <w:t xml:space="preserve">A delta-neutral portfolio is constructed such that the total portfolio delta is equal to zero. In this scenario, the portfolio consisted of long option positions that were hedged with short shares of the underlying stock. When the company announced a major restructuring plan, the stock price increased by 18% overnight. As a result, the delta of the options changed significantly before the market opened on Thursday. The Greek responsible for this change is Gamma. Gamma measures the rate of change of Delta with respect to changes in the underlying stock price. Since the stock experienced a large price movement, the delta of the options increased substantially. However, the short stock position remained unchanged overnight. Therefore, the hedge ratio that was correct on Wednesday no longer matched the option exposure on Thursday morning. As a result, the portfolio was no longer delta-neutral and developed a net positive delta exposure due to Gamma.</w:t>
      </w:r>
    </w:p>
    <w:p w:rsidR="00000000" w:rsidDel="00000000" w:rsidP="00000000" w:rsidRDefault="00000000" w:rsidRPr="00000000" w14:paraId="00000003">
      <w:pPr>
        <w:rPr>
          <w:b w:val="1"/>
          <w:bCs w:val="1"/>
          <w:sz w:val="30"/>
          <w:szCs w:val="30"/>
        </w:rPr>
      </w:pPr>
      <w:r w:rsidDel="00000000" w:rsidR="00000000" w:rsidRPr="00000000">
        <w:rPr>
          <w:b w:val="1"/>
          <w:bCs w:val="1"/>
          <w:sz w:val="30"/>
          <w:szCs w:val="30"/>
          <w:rtl w:val="0"/>
        </w:rPr>
        <w:t xml:space="preserve">Question 2</w:t>
      </w:r>
    </w:p>
    <w:p w:rsidR="00000000" w:rsidDel="00000000" w:rsidP="00000000" w:rsidRDefault="00000000" w:rsidRPr="00000000" w14:paraId="00000004">
      <w:pPr>
        <w:spacing w:after="240" w:before="240" w:lineRule="auto"/>
        <w:rPr/>
      </w:pPr>
      <w:r w:rsidDel="00000000" w:rsidR="00000000" w:rsidRPr="00000000">
        <w:rPr>
          <w:rtl w:val="0"/>
        </w:rPr>
        <w:t xml:space="preserve">Because the portfolio was long options and hedged with short stock, the position was Long Gamma. A Long Gamma position benefits from large movements in the underlying stock price because the option delta adjusts favorably as the stock moves. Since the stock price increased by 18% overnight, the value of the long options increased significantly. Therefore, the overnight price gap worked in favor of the portfolio. The gains from the long options outweighed the losses from the short stock hedge, making the overall position profitable from the large price movement.</w:t>
      </w:r>
    </w:p>
    <w:p w:rsidR="00000000" w:rsidDel="00000000" w:rsidP="00000000" w:rsidRDefault="00000000" w:rsidRPr="00000000" w14:paraId="00000005">
      <w:pPr>
        <w:pStyle w:val="Heading2"/>
        <w:keepNext w:val="0"/>
        <w:keepLines w:val="0"/>
        <w:spacing w:after="80" w:lineRule="auto"/>
        <w:rPr>
          <w:b w:val="1"/>
          <w:bCs w:val="1"/>
          <w:sz w:val="28"/>
          <w:szCs w:val="28"/>
        </w:rPr>
      </w:pPr>
      <w:bookmarkStart w:colFirst="0" w:colLast="0" w:name="_9oi5z9c8k4y6" w:id="0"/>
      <w:bookmarkEnd w:id="0"/>
      <w:r w:rsidDel="00000000" w:rsidR="00000000" w:rsidRPr="00000000">
        <w:rPr>
          <w:b w:val="1"/>
          <w:bCs w:val="1"/>
          <w:sz w:val="28"/>
          <w:szCs w:val="28"/>
          <w:rtl w:val="0"/>
        </w:rPr>
        <w:t xml:space="preserve">Question 3</w:t>
      </w:r>
    </w:p>
    <w:p w:rsidR="00000000" w:rsidDel="00000000" w:rsidP="00000000" w:rsidRDefault="00000000" w:rsidRPr="00000000" w14:paraId="00000006">
      <w:pPr>
        <w:spacing w:after="240" w:before="240" w:lineRule="auto"/>
        <w:rPr/>
      </w:pPr>
      <w:r w:rsidDel="00000000" w:rsidR="00000000" w:rsidRPr="00000000">
        <w:rPr>
          <w:rtl w:val="0"/>
        </w:rPr>
        <w:t xml:space="preserve">The collapse in implied volatility after the announcement is known as an IV Crush. Implied volatility represents the market’s expectation of future price fluctuations. When uncertainty decreases, implied volatility falls and option premiums decline. Since the portfolio held long options, the IV Crush reduced the value of the options. This decrease in option premium negatively impacted the portfolio. The Greek responsible for measuring the sensitivity of option prices to changes in implied volatility is Vega. Vega indicates how much the option price changes for a change in implied volatility. Therefore, while the stock price increase benefited the portfolio, the IV Crush reduced some of those gains by decreasing the options time value.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