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wb2d3h9tovy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Strategy Parameters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Purchase Price = $100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Strike Price = $105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Received = $3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1yv1cysybmk9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Methodology:</w:t>
      </w:r>
      <w:r w:rsidDel="00000000" w:rsidR="00000000" w:rsidRPr="00000000">
        <w:rPr>
          <w:b w:val="1"/>
          <w:bCs w:val="1"/>
          <w:sz w:val="10"/>
          <w:szCs w:val="1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The profit/loss of the long stock position and short call option position was calculated for stock prices ranging from $70 to $130 at expiration. The net payoff was obtained by combining both positions and plotted using Python.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vnhsxmnhziim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Breakeven Price = $97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Profit = $8 per share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/>
      </w:pPr>
      <w:bookmarkStart w:colFirst="0" w:colLast="0" w:name="_anvgk5ltsek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Conclusion: </w:t>
      </w:r>
      <w:r w:rsidDel="00000000" w:rsidR="00000000" w:rsidRPr="00000000">
        <w:rPr>
          <w:sz w:val="22"/>
          <w:szCs w:val="22"/>
          <w:rtl w:val="0"/>
        </w:rPr>
        <w:t xml:space="preserve">The Covered Call strategy generates income through the option premium while reducing the breakeven point to $97. The maximum profit is capped at $8 per share once the stock price reaches the strike price. Although the premium provides limited downside protection, the strategy still carries risk if the stock price falls significantly.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