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8"/>
          <w:szCs w:val="18"/>
        </w:rPr>
        <w:t xml:space="preserve">CONFIDENTIAL — STRATEGY MEMO</w:t>
      </w:r>
    </w:p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Why we are losing to private banks — and the three things to fix in 24 months</w:t>
      </w:r>
    </w:p>
    <w:p>
      <w:pPr>
        <w:pBdr>
          <w:bottom w:val="single" w:color="1F4E79" w:sz="12" w:space="4"/>
        </w:pBdr>
        <w:spacing w:after="120"/>
      </w:pPr>
      <w:r>
        <w:rPr>
          <w:i/>
          <w:iCs/>
          <w:color w:val="595959"/>
          <w:sz w:val="20"/>
          <w:szCs w:val="20"/>
        </w:rPr>
        <w:t xml:space="preserve">Prepared for: PSU Bank CEO   ·   Prepared by: Priyanshu Moudgil   ·   May 2026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2"/>
          <w:szCs w:val="22"/>
        </w:rPr>
        <w:t xml:space="preserve">Executive summary</w:t>
      </w:r>
    </w:p>
    <w:p>
      <w:pPr>
        <w:spacing w:after="100" w:line="280"/>
        <w:jc w:val="left"/>
      </w:pPr>
      <w:r>
        <w:rPr>
          <w:sz w:val="22"/>
          <w:szCs w:val="22"/>
        </w:rPr>
        <w:t xml:space="preserve">We analyzed six years of audited financials for India’s six largest banks (HDFC, ICICI, Axis on the private side; SBI, PNB, and Bank of Baroda on the PSU side). The data tells a more nuanced story than the consensus “PSUs are dying” narrative.</w:t>
      </w:r>
    </w:p>
    <w:p>
      <w:pPr>
        <w:spacing w:after="100" w:line="280"/>
        <w:jc w:val="left"/>
      </w:pPr>
      <w:r>
        <w:rPr>
          <w:b/>
          <w:bCs/>
          <w:sz w:val="22"/>
          <w:szCs w:val="22"/>
        </w:rPr>
        <w:t xml:space="preserve">Three facts matter most. </w:t>
      </w:r>
      <w:r>
        <w:rPr>
          <w:sz w:val="22"/>
          <w:szCs w:val="22"/>
        </w:rPr>
        <w:t xml:space="preserve">First, the profitability gap is real and structural — private banks earned 1.98% ROA in FY25 against our 1.12%, a gap that has held at ~1 percentage point through the cycle. Second, our NPA clean-up is the genuine PSU success story: gross NPAs fell from 9.92% to 2.68%, narrowing the gap with private peers from 6.04pp to 1.23pp. Third, </w:t>
      </w:r>
      <w:r>
        <w:rPr>
          <w:b/>
          <w:bCs/>
          <w:sz w:val="22"/>
          <w:szCs w:val="22"/>
        </w:rPr>
        <w:t xml:space="preserve">the CASA advantage that has anchored the private-bank thesis for two decades just evaporated</w:t>
      </w:r>
      <w:r>
        <w:rPr>
          <w:sz w:val="22"/>
          <w:szCs w:val="22"/>
        </w:rPr>
        <w:t xml:space="preserve"> — private CASA fell from 47.4% (FY22 peak) to 38.1% (FY25), and in FY25 PSUs (39.6%) actually edged ahead.</w:t>
      </w:r>
    </w:p>
    <w:p>
      <w:pPr>
        <w:spacing w:after="100" w:line="280"/>
        <w:jc w:val="left"/>
      </w:pPr>
      <w:r>
        <w:rPr>
          <w:b/>
          <w:bCs/>
          <w:sz w:val="22"/>
          <w:szCs w:val="22"/>
        </w:rPr>
        <w:t xml:space="preserve">The strategic implication: stop fighting the last war (deposits) and start fighting the next one (asset-side pricing and digital underwriting).</w:t>
      </w:r>
    </w:p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0"/>
        <w:gridCol w:w="1750"/>
        <w:gridCol w:w="15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FY25 KPI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Private avg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PSU avg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 (pp)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ROA (%)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1.98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+0.86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Holding ~1pp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Gross NPA (%)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1.44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−1.23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Narrowing fast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NIM (%)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4.09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+1.08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Stable spread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CASA (%)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38.10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39.57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−1.47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Flipped — ours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F4E79"/>
          <w:sz w:val="22"/>
          <w:szCs w:val="22"/>
        </w:rPr>
        <w:t xml:space="preserve">Three things to fix in the next 24 months</w:t>
      </w:r>
    </w:p>
    <w:p>
      <w:pPr>
        <w:spacing w:after="100" w:line="280"/>
        <w:jc w:val="left"/>
      </w:pPr>
      <w:r>
        <w:rPr>
          <w:b/>
          <w:bCs/>
          <w:color w:val="1F4E79"/>
          <w:sz w:val="24"/>
          <w:szCs w:val="24"/>
        </w:rPr>
        <w:t xml:space="preserve">1. Stop chasing CASA. Chase NIM. </w:t>
      </w:r>
      <w:r>
        <w:rPr>
          <w:sz w:val="22"/>
          <w:szCs w:val="22"/>
        </w:rPr>
        <w:t xml:space="preserve">The funding war is over. Private banks lost ~9pp of CASA in three years; we held ours. The deposit-mix battleground does not deserve another rupee of capital. </w:t>
      </w:r>
      <w:r>
        <w:rPr>
          <w:b/>
          <w:bCs/>
          <w:sz w:val="22"/>
          <w:szCs w:val="22"/>
        </w:rPr>
        <w:t xml:space="preserve">The next war is on the asset side </w:t>
      </w:r>
      <w:r>
        <w:rPr>
          <w:sz w:val="22"/>
          <w:szCs w:val="22"/>
        </w:rPr>
        <w:t xml:space="preserve">— pricing, retail mix, and digital underwriting. Action: shift the loan book mix 5 percentage points from corporate toward high-yield retail (personal, credit card, SMB) over eight quarters; stand up a digital-lending JV with a fintech to underwrite at scale; tie regional-head bonuses to NIM, not asset growth.</w:t>
      </w:r>
    </w:p>
    <w:p>
      <w:pPr>
        <w:spacing w:after="100" w:line="280"/>
        <w:jc w:val="left"/>
      </w:pPr>
      <w:r>
        <w:rPr>
          <w:b/>
          <w:bCs/>
          <w:color w:val="1F4E79"/>
          <w:sz w:val="24"/>
          <w:szCs w:val="24"/>
        </w:rPr>
        <w:t xml:space="preserve">2. Defend the NPA gains by re-engineering underwriting. </w:t>
      </w:r>
      <w:r>
        <w:rPr>
          <w:sz w:val="22"/>
          <w:szCs w:val="22"/>
        </w:rPr>
        <w:t xml:space="preserve">The IBC won the first NPA war. The second will be won by data — bureau scores, GST flows, real-time monitoring. </w:t>
      </w:r>
      <w:r>
        <w:rPr>
          <w:b/>
          <w:bCs/>
          <w:sz w:val="22"/>
          <w:szCs w:val="22"/>
        </w:rPr>
        <w:t xml:space="preserve">Action: </w:t>
      </w:r>
      <w:r>
        <w:rPr>
          <w:sz w:val="22"/>
          <w:szCs w:val="22"/>
        </w:rPr>
        <w:t xml:space="preserve">cap manual exception approvals at 10% of new sanctions; mandate model-driven decisioning for every loan under ₹5 crore by Q4 FY27; tie 30% of relationship-manager variable pay to vintage NPA performance, not disbursal volume; publish a quarterly underwriting scorecard to the board.</w:t>
      </w:r>
    </w:p>
    <w:p>
      <w:pPr>
        <w:spacing w:after="100" w:line="280"/>
        <w:jc w:val="left"/>
      </w:pPr>
      <w:r>
        <w:rPr>
          <w:b/>
          <w:bCs/>
          <w:color w:val="1F4E79"/>
          <w:sz w:val="24"/>
          <w:szCs w:val="24"/>
        </w:rPr>
        <w:t xml:space="preserve">3. Become the bank for Bharat’s middle 60%. </w:t>
      </w:r>
      <w:r>
        <w:rPr>
          <w:sz w:val="22"/>
          <w:szCs w:val="22"/>
        </w:rPr>
        <w:t xml:space="preserve">Private banks own the urban affluent. Fintechs own the digital natives. The 600M middle-income, semi-urban, GST-registered SMB segment is largely under-served — and it is exactly where we have the unfair advantage: branch presence and intergenerational trust. The gap is digital UX. </w:t>
      </w:r>
      <w:r>
        <w:rPr>
          <w:b/>
          <w:bCs/>
          <w:sz w:val="22"/>
          <w:szCs w:val="22"/>
        </w:rPr>
        <w:t xml:space="preserve">Action: </w:t>
      </w:r>
      <w:r>
        <w:rPr>
          <w:sz w:val="22"/>
          <w:szCs w:val="22"/>
        </w:rPr>
        <w:t xml:space="preserve">rebuild mobile + chat account opening to a 90-second flow; partner with two regional payment-aggregators for SMB collections; target ₹5 lakh crore of new SMB advances by FY28.</w:t>
      </w:r>
    </w:p>
    <w:p>
      <w:pPr>
        <w:pStyle w:val="Heading2"/>
        <w:spacing w:after="80" w:before="180"/>
      </w:pPr>
      <w:r>
        <w:rPr>
          <w:b/>
          <w:bCs/>
          <w:color w:val="1F4E79"/>
          <w:sz w:val="22"/>
          <w:szCs w:val="22"/>
        </w:rPr>
        <w:t xml:space="preserve">Coda — what this means for fintechs</w:t>
      </w:r>
    </w:p>
    <w:p>
      <w:pPr>
        <w:spacing w:after="100" w:line="280"/>
        <w:jc w:val="left"/>
      </w:pPr>
      <w:r>
        <w:rPr>
          <w:sz w:val="22"/>
          <w:szCs w:val="22"/>
        </w:rPr>
        <w:t xml:space="preserve">A re-rated PSU is the most underpriced distribution channel in India. The bank with 23,000 branches and 50 crore accounts has 90% of the customer file and roughly 10% of the digital UX. A fintech that productizes underwriting, KYC, or collections </w:t>
      </w:r>
      <w:r>
        <w:rPr>
          <w:i/>
          <w:iCs/>
          <w:sz w:val="22"/>
          <w:szCs w:val="22"/>
        </w:rPr>
        <w:t xml:space="preserve">as infrastructure that SBI, PNB, or BOB can rent </w:t>
      </w:r>
      <w:r>
        <w:rPr>
          <w:sz w:val="22"/>
          <w:szCs w:val="22"/>
        </w:rPr>
        <w:t xml:space="preserve">captures the upside without funding the balance sheet. The winners of the next decade in BFSI may not be the bank or the fintech — they’ll be the picks-and-shovels providers sitting between them.</w:t>
      </w:r>
    </w:p>
    <w:p>
      <w:pPr>
        <w:pBdr>
          <w:top w:val="single" w:color="BFBFBF" w:sz="6" w:space="4"/>
        </w:pBdr>
        <w:spacing w:after="60" w:before="200"/>
      </w:pPr>
      <w:r>
        <w:rPr>
          <w:sz w:val="16"/>
          <w:szCs w:val="16"/>
        </w:rPr>
        <w:t xml:space="preserve"> </w:t>
      </w:r>
    </w:p>
    <w:p>
      <w:pPr>
        <w:spacing w:after="40"/>
      </w:pPr>
      <w:r>
        <w:rPr>
          <w:b/>
          <w:bCs/>
          <w:color w:val="595959"/>
          <w:sz w:val="18"/>
          <w:szCs w:val="18"/>
        </w:rPr>
        <w:t xml:space="preserve">Methodology &amp; sources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36 bank-year observations (6 banks × 6 years). Absolute values in ₹ crore. Ratios in percentage. Data compiled from each bank’s annual report (FY20–FY25), Q4 investor presentations, Equitymaster Annual Results Analysis, and press releases; cross-checked via May 2026 web search. Full SQL queries, Python notebook, and Excel workbook in the accompanying GitHub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Priyanshu Moudgil  —  May 2026  —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Private vs PSU Banks — Strategy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Private vs PSU Banks — Strategy Memo</dc:title>
  <dc:creator>Priyanshu Moudgil</dc:creator>
  <cp:lastModifiedBy>Un-named</cp:lastModifiedBy>
  <cp:revision>1</cp:revision>
  <dcterms:created xsi:type="dcterms:W3CDTF">2026-05-23T00:41:44.811Z</dcterms:created>
  <dcterms:modified xsi:type="dcterms:W3CDTF">2026-05-23T00:41:44.811Z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