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A1BC" w14:textId="77777777" w:rsidR="008C7825" w:rsidRPr="001912AD" w:rsidRDefault="00000000" w:rsidP="001912AD">
      <w:pPr>
        <w:spacing w:before="200" w:after="40"/>
        <w:jc w:val="center"/>
        <w:rPr>
          <w:rFonts w:ascii="Calibri" w:hAnsi="Calibri"/>
          <w:b/>
          <w:sz w:val="20"/>
        </w:rPr>
      </w:pPr>
      <w:r w:rsidRPr="001912AD">
        <w:rPr>
          <w:rFonts w:ascii="Calibri" w:hAnsi="Calibri"/>
          <w:b/>
          <w:sz w:val="20"/>
        </w:rPr>
        <w:t>PAYTM INNOVATION CHALLENGE 2026 | SUBMISSION REPORT</w:t>
      </w:r>
    </w:p>
    <w:p w14:paraId="5229DFEC" w14:textId="77777777" w:rsidR="001912AD" w:rsidRDefault="001912AD">
      <w:pPr>
        <w:spacing w:before="200" w:after="40"/>
      </w:pPr>
    </w:p>
    <w:p w14:paraId="118824B1" w14:textId="122D008C" w:rsidR="008C7825" w:rsidRPr="001912AD" w:rsidRDefault="00000000" w:rsidP="001912AD">
      <w:pPr>
        <w:spacing w:after="80"/>
        <w:rPr>
          <w:sz w:val="32"/>
          <w:szCs w:val="32"/>
        </w:rPr>
      </w:pPr>
      <w:r w:rsidRPr="001912AD">
        <w:rPr>
          <w:rFonts w:ascii="Calibri" w:hAnsi="Calibri"/>
          <w:b/>
          <w:sz w:val="32"/>
          <w:szCs w:val="32"/>
        </w:rPr>
        <w:t>Voice of Customer (VOC) Research &amp; Strategic UPI Growth Submission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592"/>
        <w:gridCol w:w="2448"/>
        <w:gridCol w:w="236"/>
      </w:tblGrid>
      <w:tr w:rsidR="008C7825" w:rsidRPr="001912AD" w14:paraId="474D5D52" w14:textId="77777777" w:rsidTr="008A5C67">
        <w:trPr>
          <w:jc w:val="center"/>
        </w:trPr>
        <w:tc>
          <w:tcPr>
            <w:tcW w:w="2448" w:type="dxa"/>
            <w:shd w:val="clear" w:color="auto" w:fill="0029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4A2E" w14:textId="77777777" w:rsidR="008C7825" w:rsidRPr="001912AD" w:rsidRDefault="00000000">
            <w:pPr>
              <w:spacing w:after="0"/>
            </w:pPr>
            <w:r w:rsidRPr="001912AD">
              <w:rPr>
                <w:rFonts w:ascii="Calibri" w:hAnsi="Calibri"/>
                <w:b/>
                <w:sz w:val="17"/>
              </w:rPr>
              <w:t>Selected Track</w:t>
            </w:r>
          </w:p>
        </w:tc>
        <w:tc>
          <w:tcPr>
            <w:tcW w:w="2592" w:type="dxa"/>
            <w:shd w:val="clear" w:color="auto" w:fill="0029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A32C" w14:textId="77777777" w:rsidR="008C7825" w:rsidRPr="001912AD" w:rsidRDefault="00000000">
            <w:pPr>
              <w:spacing w:after="0"/>
            </w:pPr>
            <w:r w:rsidRPr="001912AD">
              <w:rPr>
                <w:rFonts w:ascii="Calibri" w:hAnsi="Calibri"/>
                <w:b/>
                <w:sz w:val="17"/>
              </w:rPr>
              <w:t>Dataset Analyzed</w:t>
            </w:r>
          </w:p>
        </w:tc>
        <w:tc>
          <w:tcPr>
            <w:tcW w:w="2448" w:type="dxa"/>
            <w:shd w:val="clear" w:color="auto" w:fill="0029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AE5E" w14:textId="77777777" w:rsidR="008C7825" w:rsidRPr="001912AD" w:rsidRDefault="00000000">
            <w:pPr>
              <w:spacing w:after="0"/>
            </w:pPr>
            <w:r w:rsidRPr="001912AD">
              <w:rPr>
                <w:rFonts w:ascii="Calibri" w:hAnsi="Calibri"/>
                <w:b/>
                <w:sz w:val="17"/>
              </w:rPr>
              <w:t>Audited Sample</w:t>
            </w:r>
          </w:p>
        </w:tc>
        <w:tc>
          <w:tcPr>
            <w:tcW w:w="236" w:type="dxa"/>
            <w:shd w:val="clear" w:color="auto" w:fill="00297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2ED4" w14:textId="1C6F77F3" w:rsidR="008C7825" w:rsidRPr="001912AD" w:rsidRDefault="008C7825">
            <w:pPr>
              <w:spacing w:after="0"/>
            </w:pPr>
          </w:p>
        </w:tc>
      </w:tr>
      <w:tr w:rsidR="008C7825" w:rsidRPr="001912AD" w14:paraId="43CEB3F6" w14:textId="77777777" w:rsidTr="008A5C67">
        <w:trPr>
          <w:jc w:val="center"/>
        </w:trPr>
        <w:tc>
          <w:tcPr>
            <w:tcW w:w="2448" w:type="dxa"/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1F89D" w14:textId="77777777" w:rsidR="008C7825" w:rsidRPr="001912AD" w:rsidRDefault="00000000">
            <w:pPr>
              <w:spacing w:after="0"/>
            </w:pPr>
            <w:r w:rsidRPr="001912AD">
              <w:rPr>
                <w:rFonts w:ascii="Calibri" w:hAnsi="Calibri"/>
                <w:b/>
                <w:sz w:val="19"/>
              </w:rPr>
              <w:t>Track A: Consumer UPI Growth</w:t>
            </w:r>
          </w:p>
        </w:tc>
        <w:tc>
          <w:tcPr>
            <w:tcW w:w="2592" w:type="dxa"/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B9978" w14:textId="77777777" w:rsidR="008C7825" w:rsidRPr="001912AD" w:rsidRDefault="00000000">
            <w:pPr>
              <w:spacing w:after="0"/>
            </w:pPr>
            <w:r w:rsidRPr="001912AD">
              <w:rPr>
                <w:rFonts w:ascii="Calibri" w:hAnsi="Calibri"/>
                <w:b/>
                <w:sz w:val="19"/>
              </w:rPr>
              <w:t>111 Genuine VOC Responses</w:t>
            </w:r>
          </w:p>
        </w:tc>
        <w:tc>
          <w:tcPr>
            <w:tcW w:w="2448" w:type="dxa"/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B62F0" w14:textId="77777777" w:rsidR="008C7825" w:rsidRPr="001912AD" w:rsidRDefault="00000000">
            <w:pPr>
              <w:spacing w:after="0"/>
            </w:pPr>
            <w:r w:rsidRPr="001912AD">
              <w:rPr>
                <w:rFonts w:ascii="Calibri" w:hAnsi="Calibri"/>
                <w:b/>
                <w:sz w:val="19"/>
              </w:rPr>
              <w:t>N = 111 (0 Synthetic)</w:t>
            </w:r>
          </w:p>
        </w:tc>
        <w:tc>
          <w:tcPr>
            <w:tcW w:w="236" w:type="dxa"/>
            <w:shd w:val="clear" w:color="auto" w:fill="F0F7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F82ED" w14:textId="7B5967BC" w:rsidR="008C7825" w:rsidRPr="001912AD" w:rsidRDefault="008C7825">
            <w:pPr>
              <w:spacing w:after="0"/>
            </w:pPr>
          </w:p>
        </w:tc>
      </w:tr>
    </w:tbl>
    <w:p w14:paraId="6BDAB390" w14:textId="77777777" w:rsidR="008C7825" w:rsidRDefault="008C7825"/>
    <w:p w14:paraId="40279B4A" w14:textId="77777777" w:rsidR="008C7825" w:rsidRPr="00B740BF" w:rsidRDefault="00000000">
      <w:pPr>
        <w:pStyle w:val="Heading1"/>
        <w:spacing w:before="280" w:after="80"/>
        <w:rPr>
          <w:rFonts w:ascii="Times New Roman" w:hAnsi="Times New Roman" w:cs="Times New Roman"/>
          <w:color w:val="auto"/>
        </w:rPr>
      </w:pPr>
      <w:r w:rsidRPr="00B740BF">
        <w:rPr>
          <w:rFonts w:ascii="Times New Roman" w:hAnsi="Times New Roman" w:cs="Times New Roman"/>
          <w:color w:val="auto"/>
          <w:sz w:val="32"/>
        </w:rPr>
        <w:t>1. Executive Summary &amp; Core Empirical Findings</w:t>
      </w:r>
    </w:p>
    <w:p w14:paraId="4A7D4903" w14:textId="144949B6" w:rsidR="008C7825" w:rsidRPr="001912AD" w:rsidRDefault="00000000" w:rsidP="008A5C6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2AD">
        <w:rPr>
          <w:rFonts w:ascii="Times New Roman" w:hAnsi="Times New Roman" w:cs="Times New Roman"/>
          <w:sz w:val="24"/>
          <w:szCs w:val="24"/>
        </w:rPr>
        <w:t>This research submission delivers a 100% data-backed, empirical analysis of the genuine Voice of Customer (VOC) dataset (</w:t>
      </w:r>
      <w:r w:rsidR="008A5C67" w:rsidRPr="001912AD">
        <w:rPr>
          <w:rFonts w:ascii="Times New Roman" w:hAnsi="Times New Roman" w:cs="Times New Roman"/>
          <w:b/>
          <w:sz w:val="24"/>
          <w:szCs w:val="24"/>
        </w:rPr>
        <w:t>VIRTUS.</w:t>
      </w:r>
      <w:r w:rsidRPr="001912AD">
        <w:rPr>
          <w:rFonts w:ascii="Times New Roman" w:hAnsi="Times New Roman" w:cs="Times New Roman"/>
          <w:b/>
          <w:sz w:val="24"/>
          <w:szCs w:val="24"/>
        </w:rPr>
        <w:t>xlsx</w:t>
      </w:r>
      <w:r w:rsidRPr="001912AD">
        <w:rPr>
          <w:rFonts w:ascii="Times New Roman" w:hAnsi="Times New Roman" w:cs="Times New Roman"/>
          <w:sz w:val="24"/>
          <w:szCs w:val="24"/>
        </w:rPr>
        <w:t xml:space="preserve">) to formulate an actionable, high-impact growth strategy for Paytm UPI. The investigation establishes that Paytm's primary barrier in expanding UPI GMV is not brand awareness or user acquisition, but an </w:t>
      </w:r>
      <w:r w:rsidRPr="001912AD">
        <w:rPr>
          <w:rFonts w:ascii="Times New Roman" w:hAnsi="Times New Roman" w:cs="Times New Roman"/>
          <w:b/>
          <w:sz w:val="24"/>
          <w:szCs w:val="24"/>
        </w:rPr>
        <w:t>in-moment checkout default failure</w:t>
      </w:r>
      <w:r w:rsidRPr="001912AD">
        <w:rPr>
          <w:rFonts w:ascii="Times New Roman" w:hAnsi="Times New Roman" w:cs="Times New Roman"/>
          <w:sz w:val="24"/>
          <w:szCs w:val="24"/>
        </w:rPr>
        <w:t xml:space="preserve"> occurring at merchant physical points of sale.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8C7825" w14:paraId="5C597492" w14:textId="77777777">
        <w:trPr>
          <w:jc w:val="center"/>
        </w:trPr>
        <w:tc>
          <w:tcPr>
            <w:tcW w:w="9936" w:type="dxa"/>
            <w:tcBorders>
              <w:left w:val="single" w:sz="24" w:space="0" w:color="0052CC"/>
            </w:tcBorders>
            <w:shd w:val="clear" w:color="auto" w:fill="F0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66DDD8" w14:textId="77777777" w:rsidR="008C7825" w:rsidRDefault="00000000" w:rsidP="008A5C67">
            <w:pPr>
              <w:spacing w:after="0"/>
              <w:jc w:val="both"/>
            </w:pPr>
            <w:r w:rsidRPr="00B740BF">
              <w:rPr>
                <w:rFonts w:ascii="Calibri" w:hAnsi="Calibri"/>
                <w:b/>
                <w:sz w:val="20"/>
              </w:rPr>
              <w:t xml:space="preserve">THE DORMANT-DEFAULT PARADOX: </w:t>
            </w:r>
            <w:r w:rsidRPr="00B740BF">
              <w:rPr>
                <w:rFonts w:ascii="Calibri" w:hAnsi="Calibri"/>
                <w:sz w:val="20"/>
              </w:rPr>
              <w:t>63.96% of surveyed respondents (71 / 111) actively transacted on Paytm UPI in the last 90 days. Crucially, among the 94 respondents whose stated primary daily app is Google Pay or PhonePe, 57.45% (54 / 94) have active Paytm UPI accounts. However, users reflexively default to rival apps for daily counter payments due to perceived tap-latency, home-screen cognitive clutter, and peer network lock-in.</w:t>
            </w:r>
          </w:p>
        </w:tc>
      </w:tr>
    </w:tbl>
    <w:p w14:paraId="6ED9DB5B" w14:textId="77777777" w:rsidR="008C7825" w:rsidRDefault="008C7825">
      <w:pPr>
        <w:spacing w:after="8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016"/>
        <w:gridCol w:w="2160"/>
        <w:gridCol w:w="3168"/>
      </w:tblGrid>
      <w:tr w:rsidR="008C7825" w:rsidRPr="00B740BF" w14:paraId="53308EE8" w14:textId="77777777" w:rsidTr="001912AD">
        <w:trPr>
          <w:jc w:val="center"/>
        </w:trPr>
        <w:tc>
          <w:tcPr>
            <w:tcW w:w="2592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C1157D" w14:textId="77777777" w:rsidR="008C7825" w:rsidRPr="00B740BF" w:rsidRDefault="00000000">
            <w:pPr>
              <w:spacing w:after="0"/>
            </w:pPr>
            <w:r w:rsidRPr="00B740BF">
              <w:rPr>
                <w:rFonts w:ascii="Calibri" w:hAnsi="Calibri"/>
                <w:b/>
                <w:sz w:val="19"/>
              </w:rPr>
              <w:t>Metric</w:t>
            </w:r>
          </w:p>
        </w:tc>
        <w:tc>
          <w:tcPr>
            <w:tcW w:w="2016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6237C0" w14:textId="77777777" w:rsidR="008C7825" w:rsidRPr="00B740BF" w:rsidRDefault="00000000">
            <w:pPr>
              <w:spacing w:after="0"/>
            </w:pPr>
            <w:r w:rsidRPr="00B740BF">
              <w:rPr>
                <w:rFonts w:ascii="Calibri" w:hAnsi="Calibri"/>
                <w:b/>
                <w:sz w:val="19"/>
              </w:rPr>
              <w:t>Measured Value</w:t>
            </w:r>
          </w:p>
        </w:tc>
        <w:tc>
          <w:tcPr>
            <w:tcW w:w="2160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018456" w14:textId="77777777" w:rsidR="008C7825" w:rsidRPr="00B740BF" w:rsidRDefault="00000000">
            <w:pPr>
              <w:spacing w:after="0"/>
            </w:pPr>
            <w:r w:rsidRPr="00B740BF">
              <w:rPr>
                <w:rFonts w:ascii="Calibri" w:hAnsi="Calibri"/>
                <w:b/>
                <w:sz w:val="19"/>
              </w:rPr>
              <w:t>% of Sample (N=111)</w:t>
            </w:r>
          </w:p>
        </w:tc>
        <w:tc>
          <w:tcPr>
            <w:tcW w:w="3168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3EAAEF" w14:textId="77777777" w:rsidR="008C7825" w:rsidRPr="00B740BF" w:rsidRDefault="00000000">
            <w:pPr>
              <w:spacing w:after="0"/>
            </w:pPr>
            <w:r w:rsidRPr="00B740BF">
              <w:rPr>
                <w:rFonts w:ascii="Calibri" w:hAnsi="Calibri"/>
                <w:b/>
                <w:sz w:val="19"/>
              </w:rPr>
              <w:t>Strategic Business Implication</w:t>
            </w:r>
          </w:p>
        </w:tc>
      </w:tr>
      <w:tr w:rsidR="008C7825" w:rsidRPr="00B740BF" w14:paraId="3516D6A2" w14:textId="77777777" w:rsidTr="001912A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72C55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Audited VOC Responses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C6863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111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D5796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100.0%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5E31E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Exceeds official 50-VOC requirement by +122% with 0 synthetic rows</w:t>
            </w:r>
          </w:p>
        </w:tc>
      </w:tr>
      <w:tr w:rsidR="008C7825" w:rsidRPr="00B740BF" w14:paraId="783F1E71" w14:textId="77777777" w:rsidTr="001912AD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4CB6F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Paytm 90-Day Active Users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D3F36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71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EC4F1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63.96%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658F3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Massive installed base ready for immediate checkout re-activation</w:t>
            </w:r>
          </w:p>
        </w:tc>
      </w:tr>
      <w:tr w:rsidR="008C7825" w:rsidRPr="00B740BF" w14:paraId="22D9C64F" w14:textId="77777777" w:rsidTr="001912AD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FCFC9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Primary Daily Default Share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319E0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487A1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15.32%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422DA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Paytm ranks 3rd behind Google Pay (45.95%) and PhonePe (30.63%)</w:t>
            </w:r>
          </w:p>
        </w:tc>
      </w:tr>
      <w:tr w:rsidR="008C7825" w:rsidRPr="00B740BF" w14:paraId="2E2B8CF4" w14:textId="77777777" w:rsidTr="001912AD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9989F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High-Velocity Transactors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80D005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93BDD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41.44%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A646D" w14:textId="77777777" w:rsidR="008C7825" w:rsidRPr="00B740BF" w:rsidRDefault="00000000">
            <w:pPr>
              <w:spacing w:after="0" w:line="264" w:lineRule="auto"/>
            </w:pPr>
            <w:r w:rsidRPr="00B740BF">
              <w:rPr>
                <w:rFonts w:ascii="Calibri" w:hAnsi="Calibri"/>
                <w:sz w:val="18"/>
              </w:rPr>
              <w:t>Execute ≥16 payments/week (65–130+ monthly txns), driving daily volume</w:t>
            </w:r>
          </w:p>
        </w:tc>
      </w:tr>
    </w:tbl>
    <w:p w14:paraId="57CB4115" w14:textId="77777777" w:rsidR="008C7825" w:rsidRDefault="008C7825"/>
    <w:p w14:paraId="2B8CB7AB" w14:textId="77777777" w:rsidR="008C7825" w:rsidRPr="00B740BF" w:rsidRDefault="00000000">
      <w:pPr>
        <w:pStyle w:val="Heading1"/>
        <w:spacing w:before="280" w:after="80"/>
        <w:rPr>
          <w:rFonts w:ascii="Times New Roman" w:hAnsi="Times New Roman" w:cs="Times New Roman"/>
          <w:color w:val="auto"/>
        </w:rPr>
      </w:pPr>
      <w:r w:rsidRPr="00B740BF">
        <w:rPr>
          <w:rFonts w:ascii="Times New Roman" w:hAnsi="Times New Roman" w:cs="Times New Roman"/>
          <w:color w:val="auto"/>
          <w:sz w:val="32"/>
        </w:rPr>
        <w:t>2. Geographic &amp; Spatial Distribution Analysis</w:t>
      </w:r>
    </w:p>
    <w:p w14:paraId="506EEA52" w14:textId="77777777" w:rsidR="008C7825" w:rsidRDefault="00000000" w:rsidP="008A5C67">
      <w:pPr>
        <w:spacing w:after="120"/>
        <w:jc w:val="both"/>
      </w:pPr>
      <w:r>
        <w:t xml:space="preserve">The research captures genuine responses across </w:t>
      </w:r>
      <w:r>
        <w:rPr>
          <w:b/>
        </w:rPr>
        <w:t>20 distinct city clusters representing 13 States and Union Territories</w:t>
      </w:r>
      <w:r>
        <w:t>. Rather than being restricted to tier-1 metro users, the sample provides extensive representation across North and Central Indian student corridors, tier-3 commercial towns, and semi-urban growth heartlands.</w:t>
      </w:r>
    </w:p>
    <w:p w14:paraId="1808F585" w14:textId="77777777" w:rsidR="00B740BF" w:rsidRDefault="00B740BF" w:rsidP="008A5C67">
      <w:pPr>
        <w:spacing w:after="120"/>
        <w:jc w:val="both"/>
      </w:pPr>
    </w:p>
    <w:p w14:paraId="4A202567" w14:textId="77777777" w:rsidR="008C7825" w:rsidRDefault="00000000">
      <w:pPr>
        <w:pStyle w:val="Heading2"/>
        <w:spacing w:after="60"/>
        <w:rPr>
          <w:rFonts w:ascii="Calibri" w:hAnsi="Calibri"/>
          <w:color w:val="auto"/>
        </w:rPr>
      </w:pPr>
      <w:r w:rsidRPr="00B740BF">
        <w:rPr>
          <w:rFonts w:ascii="Calibri" w:hAnsi="Calibri"/>
          <w:color w:val="auto"/>
        </w:rPr>
        <w:lastRenderedPageBreak/>
        <w:t>2.1 State / Regional Footprint (All 13 States/UTs)</w:t>
      </w:r>
    </w:p>
    <w:p w14:paraId="7407DCE2" w14:textId="77777777" w:rsidR="00B740BF" w:rsidRPr="00B740BF" w:rsidRDefault="00B740BF" w:rsidP="00B740B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600"/>
        <w:gridCol w:w="2016"/>
        <w:gridCol w:w="3456"/>
      </w:tblGrid>
      <w:tr w:rsidR="008C7825" w14:paraId="33FC3E56" w14:textId="77777777" w:rsidTr="00B740BF">
        <w:trPr>
          <w:jc w:val="center"/>
        </w:trPr>
        <w:tc>
          <w:tcPr>
            <w:tcW w:w="864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47C38C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w="3600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25B79D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State / Union Territory</w:t>
            </w:r>
          </w:p>
        </w:tc>
        <w:tc>
          <w:tcPr>
            <w:tcW w:w="2016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01CF22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VOC Count (N)</w:t>
            </w:r>
          </w:p>
        </w:tc>
        <w:tc>
          <w:tcPr>
            <w:tcW w:w="3456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744809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% Share of Sample (N=111)</w:t>
            </w:r>
          </w:p>
        </w:tc>
      </w:tr>
      <w:tr w:rsidR="008C7825" w14:paraId="2ECEEBBF" w14:textId="77777777" w:rsidTr="00B740BF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0448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0EBD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Uttar Pradesh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4955B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81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2C6B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72.97% (Core Heartland &amp; Campus Cluster)</w:t>
            </w:r>
          </w:p>
        </w:tc>
      </w:tr>
      <w:tr w:rsidR="008C7825" w14:paraId="544A67E2" w14:textId="77777777" w:rsidTr="00B740BF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6C2D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EBF9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Madhya Pradesh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94193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13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57AF3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11.71% (Central India Student Hub)</w:t>
            </w:r>
          </w:p>
        </w:tc>
      </w:tr>
      <w:tr w:rsidR="008C7825" w14:paraId="5493B5A7" w14:textId="77777777" w:rsidTr="00B740BF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03E5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559E3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Haryana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64D1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7DC86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3.60% (Gurgaon, Panipat, Karnal)</w:t>
            </w:r>
          </w:p>
        </w:tc>
      </w:tr>
      <w:tr w:rsidR="008C7825" w14:paraId="6594582A" w14:textId="77777777" w:rsidTr="00B740BF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CB19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6CE1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Karnataka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D447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74EBB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1.80% (Bengaluru Tech Corridor)</w:t>
            </w:r>
          </w:p>
        </w:tc>
      </w:tr>
      <w:tr w:rsidR="008C7825" w14:paraId="5DBEAA31" w14:textId="77777777" w:rsidTr="00B740BF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72EC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A7B3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Maharashtra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678B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144F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1.80% (Pune, Sangli)</w:t>
            </w:r>
          </w:p>
        </w:tc>
      </w:tr>
      <w:tr w:rsidR="008C7825" w14:paraId="76984BF8" w14:textId="77777777" w:rsidTr="00B740BF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3EF1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7542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Delhi (NCR)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3B16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8E14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1.80% (National Capital Region)</w:t>
            </w:r>
          </w:p>
        </w:tc>
      </w:tr>
      <w:tr w:rsidR="008C7825" w14:paraId="6DB486FD" w14:textId="77777777" w:rsidTr="00B740BF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752D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10127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Uttarakhand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61E3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2174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0.90% (Dehradun Education Hub)</w:t>
            </w:r>
          </w:p>
        </w:tc>
      </w:tr>
      <w:tr w:rsidR="008C7825" w14:paraId="7CE4F678" w14:textId="77777777" w:rsidTr="00B740BF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B839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3C5B7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Himachal Pradesh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4EE7A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D6E80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0.90% (Shimla Tourism &amp; Commercial)</w:t>
            </w:r>
          </w:p>
        </w:tc>
      </w:tr>
      <w:tr w:rsidR="008C7825" w14:paraId="5DE69877" w14:textId="77777777" w:rsidTr="00B740BF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04EDA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E0BB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Gujarat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525F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DE8B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0.90% (Surat Diamond &amp; Retail Hub)</w:t>
            </w:r>
          </w:p>
        </w:tc>
      </w:tr>
      <w:tr w:rsidR="008C7825" w14:paraId="6647AC7C" w14:textId="77777777" w:rsidTr="00B740BF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3E61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4F10E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Odisha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7E380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F9C30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0.90% (Bhubaneswar Smart City)</w:t>
            </w:r>
          </w:p>
        </w:tc>
      </w:tr>
      <w:tr w:rsidR="008C7825" w14:paraId="18152336" w14:textId="77777777" w:rsidTr="00B740BF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10316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04E5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Rajasthan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B2AC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55B86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0.90% (State General)</w:t>
            </w:r>
          </w:p>
        </w:tc>
      </w:tr>
      <w:tr w:rsidR="008C7825" w14:paraId="531A4D97" w14:textId="77777777" w:rsidTr="00B740BF">
        <w:trPr>
          <w:jc w:val="center"/>
        </w:trPr>
        <w:tc>
          <w:tcPr>
            <w:tcW w:w="86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4881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59A0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Jharkhand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3811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D560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0.90% (Jamshedpur Industrial)</w:t>
            </w:r>
          </w:p>
        </w:tc>
      </w:tr>
      <w:tr w:rsidR="008C7825" w14:paraId="27975A47" w14:textId="77777777" w:rsidTr="00B740BF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1F8E2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13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CF7A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Other / Overseas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6D10A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E25A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0.90% (Overseas Student)</w:t>
            </w:r>
          </w:p>
        </w:tc>
      </w:tr>
    </w:tbl>
    <w:p w14:paraId="746F0AC4" w14:textId="77777777" w:rsidR="008C7825" w:rsidRDefault="008C7825">
      <w:pPr>
        <w:spacing w:after="160"/>
      </w:pPr>
    </w:p>
    <w:p w14:paraId="62FCEB26" w14:textId="77777777" w:rsidR="008C7825" w:rsidRDefault="00000000">
      <w:pPr>
        <w:pStyle w:val="Heading2"/>
        <w:spacing w:after="60"/>
        <w:rPr>
          <w:rFonts w:ascii="Calibri" w:hAnsi="Calibri"/>
          <w:color w:val="auto"/>
        </w:rPr>
      </w:pPr>
      <w:r w:rsidRPr="00B740BF">
        <w:rPr>
          <w:rFonts w:ascii="Calibri" w:hAnsi="Calibri"/>
          <w:color w:val="auto"/>
        </w:rPr>
        <w:t>2.2 City-Wise Geographic Cluster Distribution</w:t>
      </w:r>
    </w:p>
    <w:p w14:paraId="215FED7C" w14:textId="77777777" w:rsidR="00B740BF" w:rsidRPr="00B740BF" w:rsidRDefault="00B740BF" w:rsidP="00B740B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1584"/>
        <w:gridCol w:w="2016"/>
        <w:gridCol w:w="2160"/>
      </w:tblGrid>
      <w:tr w:rsidR="008C7825" w14:paraId="36B78D1A" w14:textId="77777777" w:rsidTr="00B740BF">
        <w:trPr>
          <w:jc w:val="center"/>
        </w:trPr>
        <w:tc>
          <w:tcPr>
            <w:tcW w:w="2592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D60B04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City / Town Cluster</w:t>
            </w:r>
          </w:p>
        </w:tc>
        <w:tc>
          <w:tcPr>
            <w:tcW w:w="1584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7155BE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Count (N)</w:t>
            </w:r>
          </w:p>
        </w:tc>
        <w:tc>
          <w:tcPr>
            <w:tcW w:w="1584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F34A30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% Share</w:t>
            </w:r>
          </w:p>
        </w:tc>
        <w:tc>
          <w:tcPr>
            <w:tcW w:w="2016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72107E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State / UT</w:t>
            </w:r>
          </w:p>
        </w:tc>
        <w:tc>
          <w:tcPr>
            <w:tcW w:w="2160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EF91C2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Settlement Typology</w:t>
            </w:r>
          </w:p>
        </w:tc>
      </w:tr>
      <w:tr w:rsidR="008C7825" w14:paraId="053177FC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CFF2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Sitapur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64E4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39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6712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35.14%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EEFA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Uttar Pradesh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DC73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Tier-3 Town / Campus Cluster</w:t>
            </w:r>
          </w:p>
        </w:tc>
      </w:tr>
      <w:tr w:rsidR="008C7825" w14:paraId="19C5CA18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4A59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Bhopal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1375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417B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9.01%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F6410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Madhya Pradesh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E685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Tier-2 / University Hub</w:t>
            </w:r>
          </w:p>
        </w:tc>
      </w:tr>
      <w:tr w:rsidR="008C7825" w14:paraId="59CE658D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6B13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Lucknow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880A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CC7C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7.21%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83AB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Uttar Pradesh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04A4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Tier-2 Capital / Commercial</w:t>
            </w:r>
          </w:p>
        </w:tc>
      </w:tr>
      <w:tr w:rsidR="008C7825" w14:paraId="613F4B57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AB14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Lakhimpur Kheri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0EA6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E69C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7.21%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D061A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Uttar Pradesh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01B9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Tier-3 Town / Agri-Center</w:t>
            </w:r>
          </w:p>
        </w:tc>
      </w:tr>
      <w:tr w:rsidR="008C7825" w14:paraId="4C245E07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A407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Ballia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8ED3A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1A08B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3.60%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89923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Uttar Pradesh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7A6B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East UP Commercial Town</w:t>
            </w:r>
          </w:p>
        </w:tc>
      </w:tr>
      <w:tr w:rsidR="008C7825" w14:paraId="309DC40E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8035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Shahjahanpur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40CE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0930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2.70%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620FB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Uttar Pradesh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C0D0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Tier-3 Town</w:t>
            </w:r>
          </w:p>
        </w:tc>
      </w:tr>
      <w:tr w:rsidR="008C7825" w14:paraId="4D8A5708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70B3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Biswan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593A0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2D0A6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2.70%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53B3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Uttar Pradesh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D2AA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Semi-Urban / Rural Town</w:t>
            </w:r>
          </w:p>
        </w:tc>
      </w:tr>
      <w:tr w:rsidR="008C7825" w14:paraId="75FC9D1A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9AC3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Hardoi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1944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31647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2.70%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A869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Uttar Pradesh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974A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Tier-3 Town</w:t>
            </w:r>
          </w:p>
        </w:tc>
      </w:tr>
      <w:tr w:rsidR="008C7825" w14:paraId="496E42BB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3F35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Sehore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C3FFB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F4A23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1.80%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C054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Madhya Pradesh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2F8C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Semi-Urban Town</w:t>
            </w:r>
          </w:p>
        </w:tc>
      </w:tr>
      <w:tr w:rsidR="008C7825" w14:paraId="03AD84D3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2DD5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>11 Other Cities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34C6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21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69216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18.92%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F363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Various States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F250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Metros &amp; Regional Towns</w:t>
            </w:r>
          </w:p>
        </w:tc>
      </w:tr>
    </w:tbl>
    <w:p w14:paraId="055090F6" w14:textId="77777777" w:rsidR="008C7825" w:rsidRPr="00B740BF" w:rsidRDefault="00000000">
      <w:pPr>
        <w:pStyle w:val="Heading2"/>
        <w:spacing w:after="60"/>
        <w:rPr>
          <w:color w:val="auto"/>
        </w:rPr>
      </w:pPr>
      <w:r w:rsidRPr="00B740BF">
        <w:rPr>
          <w:rFonts w:ascii="Calibri" w:hAnsi="Calibri"/>
          <w:color w:val="auto"/>
        </w:rPr>
        <w:t>2.3 Settlement Typology: Tier-3/Rural vs. Urban Metros</w:t>
      </w:r>
    </w:p>
    <w:p w14:paraId="0C1D3141" w14:textId="77777777" w:rsidR="00585A39" w:rsidRDefault="00000000" w:rsidP="008A5C67">
      <w:pPr>
        <w:jc w:val="both"/>
      </w:pPr>
      <w:r>
        <w:t xml:space="preserve">• </w:t>
      </w:r>
      <w:r>
        <w:rPr>
          <w:b/>
        </w:rPr>
        <w:t xml:space="preserve">Tier-3 Towns, Semi-Urban &amp; Rural Heartland (72 Respondents | 64.86%): </w:t>
      </w:r>
      <w:r>
        <w:t>Concentrated across Sitapur, Lakhimpur, Biswan, Ballia, Hardoi, Shahjahanpur, and Sehore. These users make high-velocity daily micro-payments at local kiranas, canteens, tea stalls, and local transport.</w:t>
      </w:r>
    </w:p>
    <w:p w14:paraId="6E08912C" w14:textId="56F73BD7" w:rsidR="008C7825" w:rsidRDefault="00000000" w:rsidP="00585A39">
      <w:pPr>
        <w:jc w:val="both"/>
      </w:pPr>
      <w:r>
        <w:br/>
        <w:t xml:space="preserve">• </w:t>
      </w:r>
      <w:r>
        <w:rPr>
          <w:b/>
        </w:rPr>
        <w:t xml:space="preserve">Urban Metros &amp; State Capital Hubs (39 Respondents | 35.14%): </w:t>
      </w:r>
      <w:r>
        <w:t>Covering Bhopal, Lucknow, Bengaluru, Delhi NCR, Surat, Pune, Dehradun, and Shimla. Characterized by corporate dining, e-commerce, transit cabs, and recurring utility bills.</w:t>
      </w:r>
    </w:p>
    <w:p w14:paraId="59B63F7E" w14:textId="77777777" w:rsidR="008C7825" w:rsidRPr="00B740BF" w:rsidRDefault="00000000">
      <w:pPr>
        <w:pStyle w:val="Heading1"/>
        <w:spacing w:before="280" w:after="80"/>
        <w:rPr>
          <w:color w:val="auto"/>
        </w:rPr>
      </w:pPr>
      <w:r w:rsidRPr="00B740BF">
        <w:rPr>
          <w:rFonts w:ascii="Calibri" w:hAnsi="Calibri"/>
          <w:color w:val="auto"/>
          <w:sz w:val="32"/>
        </w:rPr>
        <w:t>3. Demographic Profile &amp; Occupational Segmentation</w:t>
      </w:r>
    </w:p>
    <w:p w14:paraId="3FAE9E03" w14:textId="1067A76E" w:rsidR="008C7825" w:rsidRDefault="00000000">
      <w:r>
        <w:t>Direct audit</w:t>
      </w:r>
      <w:r w:rsidR="001912AD">
        <w:rPr>
          <w:i/>
        </w:rPr>
        <w:t xml:space="preserve"> </w:t>
      </w:r>
      <w:r>
        <w:t xml:space="preserve"> reveals that the dataset is heavily anchored on the young, digitally active demographic that drives the highest transaction velocity on UPI.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584"/>
        <w:gridCol w:w="1728"/>
        <w:gridCol w:w="3456"/>
      </w:tblGrid>
      <w:tr w:rsidR="008C7825" w14:paraId="7704012C" w14:textId="77777777" w:rsidTr="00B740BF">
        <w:trPr>
          <w:jc w:val="center"/>
        </w:trPr>
        <w:tc>
          <w:tcPr>
            <w:tcW w:w="3168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F0BFBE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Profile Category</w:t>
            </w:r>
          </w:p>
        </w:tc>
        <w:tc>
          <w:tcPr>
            <w:tcW w:w="1584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F8B005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Count (N)</w:t>
            </w:r>
          </w:p>
        </w:tc>
        <w:tc>
          <w:tcPr>
            <w:tcW w:w="1728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857B0A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% Share</w:t>
            </w:r>
          </w:p>
        </w:tc>
        <w:tc>
          <w:tcPr>
            <w:tcW w:w="3456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CE3CED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App &amp; Velocity Pattern</w:t>
            </w:r>
          </w:p>
        </w:tc>
      </w:tr>
      <w:tr w:rsidR="008C7825" w14:paraId="27B6C542" w14:textId="77777777" w:rsidTr="00B740BF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DF436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College Student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EA5F0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69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0DEC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62.16%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026A0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GPay (43.5%), PhonePe (31.9%), Paytm (15.9%) | 39.1% High Freq</w:t>
            </w:r>
          </w:p>
        </w:tc>
      </w:tr>
      <w:tr w:rsidR="008C7825" w14:paraId="4EAA1258" w14:textId="77777777" w:rsidTr="00B740BF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A35A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Working Professional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8A50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23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0C0B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20.72%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DC98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GPay (52.2%), Paytm (21.7%), PhonePe (17.4%) | 52.2% High Freq</w:t>
            </w:r>
          </w:p>
        </w:tc>
      </w:tr>
      <w:tr w:rsidR="008C7825" w14:paraId="1367F2E2" w14:textId="77777777" w:rsidTr="00B740BF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E97E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Other (Homemaker/Seeker)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756C3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82D77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9.01%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4F1AB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PhonePe (50.0%), Google Pay (40.0%), Others (10.0%)</w:t>
            </w:r>
          </w:p>
        </w:tc>
      </w:tr>
      <w:tr w:rsidR="008C7825" w14:paraId="1FED03D3" w14:textId="77777777" w:rsidTr="00B740BF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D7FB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Self-Employed / Freelancer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78C75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39810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8.11%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D80A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Google Pay (44.4%), PhonePe (33.3%), Paytm (11.1%), Amazon (11.1%)</w:t>
            </w:r>
          </w:p>
        </w:tc>
      </w:tr>
    </w:tbl>
    <w:p w14:paraId="62B86CDF" w14:textId="77777777" w:rsidR="008C7825" w:rsidRDefault="008C7825"/>
    <w:p w14:paraId="5835A231" w14:textId="77777777" w:rsidR="008C7825" w:rsidRPr="00B740BF" w:rsidRDefault="00000000">
      <w:pPr>
        <w:pStyle w:val="Heading1"/>
        <w:spacing w:before="280" w:after="80"/>
        <w:rPr>
          <w:rFonts w:ascii="Times New Roman" w:hAnsi="Times New Roman" w:cs="Times New Roman"/>
          <w:color w:val="auto"/>
        </w:rPr>
      </w:pPr>
      <w:r w:rsidRPr="00B740BF">
        <w:rPr>
          <w:rFonts w:ascii="Times New Roman" w:hAnsi="Times New Roman" w:cs="Times New Roman"/>
          <w:color w:val="auto"/>
          <w:sz w:val="32"/>
        </w:rPr>
        <w:t>4. Payment-Occasion Dynamics &amp; GMV Contribution</w:t>
      </w:r>
    </w:p>
    <w:p w14:paraId="49B00368" w14:textId="007F889C" w:rsidR="00585A39" w:rsidRDefault="00000000">
      <w:r>
        <w:t xml:space="preserve">Analyzing stated payment occasions (Question 7, multi-select) illustrates where UPI volume originates versus where Paytm wins and </w:t>
      </w:r>
      <w:proofErr w:type="spellStart"/>
      <w:r>
        <w:t>loses</w:t>
      </w:r>
      <w:proofErr w:type="spellEnd"/>
      <w: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1728"/>
        <w:gridCol w:w="1872"/>
        <w:gridCol w:w="2160"/>
      </w:tblGrid>
      <w:tr w:rsidR="008C7825" w14:paraId="6DC9145D" w14:textId="77777777" w:rsidTr="00B740BF">
        <w:trPr>
          <w:jc w:val="center"/>
        </w:trPr>
        <w:tc>
          <w:tcPr>
            <w:tcW w:w="2592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03BB62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Payment Occasion</w:t>
            </w:r>
          </w:p>
        </w:tc>
        <w:tc>
          <w:tcPr>
            <w:tcW w:w="1584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387A18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Mentions</w:t>
            </w:r>
          </w:p>
        </w:tc>
        <w:tc>
          <w:tcPr>
            <w:tcW w:w="1728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B095E1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% Reach (N=111)</w:t>
            </w:r>
          </w:p>
        </w:tc>
        <w:tc>
          <w:tcPr>
            <w:tcW w:w="1872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72A432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Typical Ticket</w:t>
            </w:r>
          </w:p>
        </w:tc>
        <w:tc>
          <w:tcPr>
            <w:tcW w:w="2160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11D945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Paytm Strategic Role</w:t>
            </w:r>
          </w:p>
        </w:tc>
      </w:tr>
      <w:tr w:rsidR="008C7825" w14:paraId="7C0ED114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F2DF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Bills / Recharge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44D0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63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AF023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56.76%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B4137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₹300 – ₹3,000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18DE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Stronghold (39.6% usage) | Defend &amp; Cross-sell</w:t>
            </w:r>
          </w:p>
        </w:tc>
      </w:tr>
      <w:tr w:rsidR="008C7825" w14:paraId="521DA73C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7EE0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Retail Shopping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276A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63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EB9C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56.76%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A3B0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₹200 – ₹2,500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80BE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Occasional (45.9%) | Checkout switch opportunity</w:t>
            </w:r>
          </w:p>
        </w:tc>
      </w:tr>
      <w:tr w:rsidR="008C7825" w14:paraId="7D6CE51F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58E7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Food / Cafés / Canteens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7A47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61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CD09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54.95%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AA0D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₹30 – ₹250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8771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Lost to GPay/PhonePe | High-frequency habit driver</w:t>
            </w:r>
          </w:p>
        </w:tc>
      </w:tr>
      <w:tr w:rsidR="008C7825" w14:paraId="14A52569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ED29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lastRenderedPageBreak/>
              <w:t>Groceries &amp; Kirana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0EBB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F28D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45.05%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F8346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₹50 – ₹800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BD7D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High Soundbox presence but buyer scans with GPay</w:t>
            </w:r>
          </w:p>
        </w:tc>
      </w:tr>
      <w:tr w:rsidR="008C7825" w14:paraId="0EE30C10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8E4B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Friends / Family (P2P)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C1E52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46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40CB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41.44%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811D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₹100 – ₹5,000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1EEC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Lost to peer network lock-in | Social splitting gap</w:t>
            </w:r>
          </w:p>
        </w:tc>
      </w:tr>
      <w:tr w:rsidR="008C7825" w14:paraId="0EEA3391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2704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Travel / Auto / Cab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9D23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42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28F4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37.84%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0589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₹20 – ₹350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4382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Lost to tap-latency | 1-tap lockscreen scan target</w:t>
            </w:r>
          </w:p>
        </w:tc>
      </w:tr>
      <w:tr w:rsidR="008C7825" w14:paraId="2A5CAB4B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8F29B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Online E-Commerce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FEF3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38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9C337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34.23%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A2D67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₹400 – ₹4,500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A89F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Stronghold (45.9% usage) via payment gateway bridge</w:t>
            </w:r>
          </w:p>
        </w:tc>
      </w:tr>
      <w:tr w:rsidR="008C7825" w14:paraId="2E166A34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423C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College Education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E5B3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27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E54D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24.32%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9088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₹1,000 – ₹50,000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A0AA0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Lumpy High GMV | Split fee / escrow target</w:t>
            </w:r>
          </w:p>
        </w:tc>
      </w:tr>
    </w:tbl>
    <w:p w14:paraId="2CF50AB5" w14:textId="77777777" w:rsidR="008C7825" w:rsidRDefault="008C7825"/>
    <w:p w14:paraId="4FA895F9" w14:textId="77777777" w:rsidR="008C7825" w:rsidRPr="00B740BF" w:rsidRDefault="00000000">
      <w:pPr>
        <w:pStyle w:val="Heading1"/>
        <w:spacing w:before="280" w:after="80"/>
        <w:rPr>
          <w:color w:val="auto"/>
        </w:rPr>
      </w:pPr>
      <w:r w:rsidRPr="00B740BF">
        <w:rPr>
          <w:rFonts w:ascii="Calibri" w:hAnsi="Calibri"/>
          <w:color w:val="auto"/>
          <w:sz w:val="32"/>
        </w:rPr>
        <w:t>5. Drivers of Primary App Choice &amp; Paytm Barriers</w:t>
      </w:r>
    </w:p>
    <w:p w14:paraId="118E5198" w14:textId="77777777" w:rsidR="008C7825" w:rsidRDefault="00000000" w:rsidP="001912AD">
      <w:pPr>
        <w:jc w:val="both"/>
      </w:pPr>
      <w:r>
        <w:t xml:space="preserve">Analysis of stated drivers (Question 8) and barriers (Question 10) confirms that UPI is governed by </w:t>
      </w:r>
      <w:r>
        <w:rPr>
          <w:b/>
        </w:rPr>
        <w:t>speed, cognitive simplicity, and muscle memory</w:t>
      </w:r>
      <w:r>
        <w:t>, far exceeding the influence of promotional cashbacks.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304"/>
        <w:gridCol w:w="2592"/>
        <w:gridCol w:w="2448"/>
      </w:tblGrid>
      <w:tr w:rsidR="008C7825" w14:paraId="58996E81" w14:textId="77777777" w:rsidTr="00B740BF">
        <w:trPr>
          <w:jc w:val="center"/>
        </w:trPr>
        <w:tc>
          <w:tcPr>
            <w:tcW w:w="2592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DCE96C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App Driver</w:t>
            </w:r>
          </w:p>
        </w:tc>
        <w:tc>
          <w:tcPr>
            <w:tcW w:w="2304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F3865E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Mentions (%)</w:t>
            </w:r>
          </w:p>
        </w:tc>
        <w:tc>
          <w:tcPr>
            <w:tcW w:w="2592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76651F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Paytm Specific Barrier</w:t>
            </w:r>
          </w:p>
        </w:tc>
        <w:tc>
          <w:tcPr>
            <w:tcW w:w="2448" w:type="dxa"/>
            <w:shd w:val="clear" w:color="auto" w:fill="00297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1206BE" w14:textId="77777777" w:rsidR="008C7825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Mentions (%)</w:t>
            </w:r>
          </w:p>
        </w:tc>
      </w:tr>
      <w:tr w:rsidR="008C7825" w14:paraId="07728587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12FA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It is faster or easier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D8C2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50 (45.05%)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7A63D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 automatically use another app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150B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41 (36.94%)</w:t>
            </w:r>
          </w:p>
        </w:tc>
      </w:tr>
      <w:tr w:rsidR="008C7825" w14:paraId="63047DB7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947FC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It is simply my habit / default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B745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36 (32.43%)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C5AF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Another app feels faster / easier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9C843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27 (24.32%)</w:t>
            </w:r>
          </w:p>
        </w:tc>
      </w:tr>
      <w:tr w:rsidR="008C7825" w14:paraId="3FAF12A6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7CB5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My friends / family use it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0BE18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28 (25.23%)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9715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Friends / family on another app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EE409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17 (15.32%)</w:t>
            </w:r>
          </w:p>
        </w:tc>
      </w:tr>
      <w:tr w:rsidR="008C7825" w14:paraId="5A2A5998" w14:textId="77777777" w:rsidTr="00B740BF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B3AE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I trust it more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08105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19 (17.12%)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27E5F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Unfamiliar with Paytm features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6EF63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17 (15.32%)</w:t>
            </w:r>
          </w:p>
        </w:tc>
      </w:tr>
      <w:tr w:rsidR="008C7825" w14:paraId="3916972D" w14:textId="77777777" w:rsidTr="00B740BF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BF1A4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Better offers / rewards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1D6C1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16 (14.41%)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86A1A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Nothing — I could use Paytm more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B45EE" w14:textId="77777777" w:rsidR="008C7825" w:rsidRDefault="00000000">
            <w:pPr>
              <w:spacing w:after="0" w:line="264" w:lineRule="auto"/>
            </w:pPr>
            <w:r>
              <w:rPr>
                <w:rFonts w:ascii="Calibri" w:hAnsi="Calibri"/>
                <w:color w:val="1E293B"/>
                <w:sz w:val="18"/>
              </w:rPr>
              <w:t>14 (12.61%)</w:t>
            </w:r>
          </w:p>
        </w:tc>
      </w:tr>
    </w:tbl>
    <w:p w14:paraId="6F710C3C" w14:textId="77777777" w:rsidR="008C7825" w:rsidRDefault="008C7825"/>
    <w:p w14:paraId="5A66C864" w14:textId="77777777" w:rsidR="008C7825" w:rsidRDefault="008C7825"/>
    <w:p w14:paraId="109AB0FA" w14:textId="77777777" w:rsidR="008C7825" w:rsidRDefault="008C7825">
      <w:pPr>
        <w:spacing w:after="240"/>
      </w:pPr>
    </w:p>
    <w:sectPr w:rsidR="008C782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113423">
    <w:abstractNumId w:val="8"/>
  </w:num>
  <w:num w:numId="2" w16cid:durableId="1693798040">
    <w:abstractNumId w:val="6"/>
  </w:num>
  <w:num w:numId="3" w16cid:durableId="544483377">
    <w:abstractNumId w:val="5"/>
  </w:num>
  <w:num w:numId="4" w16cid:durableId="1882015109">
    <w:abstractNumId w:val="4"/>
  </w:num>
  <w:num w:numId="5" w16cid:durableId="793524401">
    <w:abstractNumId w:val="7"/>
  </w:num>
  <w:num w:numId="6" w16cid:durableId="1519271734">
    <w:abstractNumId w:val="3"/>
  </w:num>
  <w:num w:numId="7" w16cid:durableId="144006926">
    <w:abstractNumId w:val="2"/>
  </w:num>
  <w:num w:numId="8" w16cid:durableId="745955412">
    <w:abstractNumId w:val="1"/>
  </w:num>
  <w:num w:numId="9" w16cid:durableId="154601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2AD"/>
    <w:rsid w:val="0029639D"/>
    <w:rsid w:val="00317861"/>
    <w:rsid w:val="00326F90"/>
    <w:rsid w:val="00585A39"/>
    <w:rsid w:val="008A5C67"/>
    <w:rsid w:val="008C7825"/>
    <w:rsid w:val="00AA1D8D"/>
    <w:rsid w:val="00B47730"/>
    <w:rsid w:val="00B740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FB845"/>
  <w14:defaultImageDpi w14:val="300"/>
  <w15:docId w15:val="{C746ED97-D458-4591-975C-10659C70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Priyanshu Singh</cp:lastModifiedBy>
  <cp:revision>3</cp:revision>
  <dcterms:created xsi:type="dcterms:W3CDTF">2013-12-23T23:15:00Z</dcterms:created>
  <dcterms:modified xsi:type="dcterms:W3CDTF">2026-09-19T10:29:00Z</dcterms:modified>
  <cp:category/>
</cp:coreProperties>
</file>