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2937"/>
          <w:sz w:val="34"/>
          <w:szCs w:val="34"/>
        </w:rPr>
        <w:t xml:space="preserve">Literature Survey</w:t>
      </w:r>
    </w:p>
    <w:p>
      <w:pPr>
        <w:pBdr>
          <w:bottom w:val="single" w:color="0B7A6B" w:sz="12"/>
        </w:pBdr>
        <w:spacing w:after="2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NutriCheck: AI-Based Food Safety Check for Patients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 |   External Seminar (Project Phase-I)   |   Session 2026-27</w:t>
      </w:r>
    </w:p>
    <w:tbl>
      <w:tblPr>
        <w:tblW w:type="dxa" w:w="12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2300"/>
        <w:gridCol w:w="950"/>
        <w:gridCol w:w="6000"/>
      </w:tblGrid>
      <w:tr>
        <w:trPr>
          <w:tblHeader/>
        </w:trPr>
        <w:tc>
          <w:tcPr>
            <w:tcW w:type="dxa" w:w="7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0B7A6B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Sr No.</w:t>
            </w:r>
          </w:p>
        </w:tc>
        <w:tc>
          <w:tcPr>
            <w:tcW w:type="dxa" w:w="29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0B7A6B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3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0B7A6B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Author(s)</w:t>
            </w:r>
          </w:p>
        </w:tc>
        <w:tc>
          <w:tcPr>
            <w:tcW w:type="dxa" w:w="9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0B7A6B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Year of Publication</w:t>
            </w:r>
          </w:p>
        </w:tc>
        <w:tc>
          <w:tcPr>
            <w:tcW w:type="dxa" w:w="63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0B7A6B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Major Observation / Findings</w:t>
            </w:r>
          </w:p>
        </w:tc>
      </w:tr>
      <w:tr>
        <w:tc>
          <w:tcPr>
            <w:tcW w:type="dxa" w:w="7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DeepFood: Deep Learning-Based Food Image Recognition for Computer-Aided Dietary Assessment</w:t>
            </w:r>
          </w:p>
        </w:tc>
        <w:tc>
          <w:tcPr>
            <w:tcW w:type="dxa" w:w="23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C. Liu, Y. Cao, Y. Luo, G. Chen, V. Vokkarane, Y. Ma</w:t>
            </w:r>
          </w:p>
        </w:tc>
        <w:tc>
          <w:tcPr>
            <w:tcW w:type="dxa" w:w="9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2016</w:t>
            </w:r>
          </w:p>
        </w:tc>
        <w:tc>
          <w:tcPr>
            <w:tcW w:type="dxa" w:w="60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CNN analysis of smartphone food photos outperformed prior methods on UEC-256 and Food-101 benchmarks; proved image-based logging can replace memory-based dietary recording - but covers only food type and calories, with no medical context.</w:t>
            </w:r>
          </w:p>
        </w:tc>
      </w:tr>
      <w:tr>
        <w:tc>
          <w:tcPr>
            <w:tcW w:type="dxa" w:w="7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6F8FA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6F8FA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NutriNet: A Deep Learning Food and Drink Image Recognition System for Dietary Assessment</w:t>
            </w:r>
          </w:p>
        </w:tc>
        <w:tc>
          <w:tcPr>
            <w:tcW w:type="dxa" w:w="23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6F8FA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S. Mezgec, B. Koroušić Seljak</w:t>
            </w:r>
          </w:p>
        </w:tc>
        <w:tc>
          <w:tcPr>
            <w:tcW w:type="dxa" w:w="9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6F8FA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2017</w:t>
            </w:r>
          </w:p>
        </w:tc>
        <w:tc>
          <w:tcPr>
            <w:tcW w:type="dxa" w:w="60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6F8FA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Custom CNN trained on 225,953 images across 520 food/drink classes achieved 86.72% accuracy; deployed in a real mHealth app for Parkinson's patients - showed clinical deployment feasibility, yet stops at recognition without disease-aware rules.</w:t>
            </w:r>
          </w:p>
        </w:tc>
      </w:tr>
      <w:tr>
        <w:tc>
          <w:tcPr>
            <w:tcW w:type="dxa" w:w="7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DIETOS: A Dietary Recommender System for Chronic Diseases Monitoring and Management</w:t>
            </w:r>
          </w:p>
        </w:tc>
        <w:tc>
          <w:tcPr>
            <w:tcW w:type="dxa" w:w="23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G. Agapito, M. Simeoni, B. Calabrese, et al. (incl. M. Cannataro)</w:t>
            </w:r>
          </w:p>
        </w:tc>
        <w:tc>
          <w:tcPr>
            <w:tcW w:type="dxa" w:w="9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2018</w:t>
            </w:r>
          </w:p>
        </w:tc>
        <w:tc>
          <w:tcPr>
            <w:tcW w:type="dxa" w:w="60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Ontology + rule-based recommender validated on 20 CKD patients; questionnaire-driven health profiling achieved high sensitivity/specificity and included regional foods - but relies entirely on manual text entry, with no vision input.</w:t>
            </w:r>
          </w:p>
        </w:tc>
      </w:tr>
      <w:tr>
        <w:tc>
          <w:tcPr>
            <w:tcW w:type="dxa" w:w="7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6F8FA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6F8FA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FoodAI: Food Image Recognition via Deep Learning for Smart Food Logging</w:t>
            </w:r>
          </w:p>
        </w:tc>
        <w:tc>
          <w:tcPr>
            <w:tcW w:type="dxa" w:w="23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6F8FA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D. Sahoo, H. Wang, S. Ke, X. Wu, H. Le, P. Achananuparp, S.C.H. Hoi, E.-P. Lim</w:t>
            </w:r>
          </w:p>
        </w:tc>
        <w:tc>
          <w:tcPr>
            <w:tcW w:type="dxa" w:w="9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6F8FA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2019</w:t>
            </w:r>
          </w:p>
        </w:tc>
        <w:tc>
          <w:tcPr>
            <w:tcW w:type="dxa" w:w="60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6F8FA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Production system trained on 400k images / 756 Asian-food classes, live API behind Singapore's national Healthy 365 app; demonstrated scale and user-feedback loops that improve accuracy, though output remains generic calorie-centric logging.</w:t>
            </w:r>
          </w:p>
        </w:tc>
      </w:tr>
      <w:tr>
        <w:tc>
          <w:tcPr>
            <w:tcW w:type="dxa" w:w="7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Reducing HbA1c in Type 2 Diabetes Using Digital Twin Technology-Enabled Precision Nutrition: A Retrospective Analysis</w:t>
            </w:r>
          </w:p>
        </w:tc>
        <w:tc>
          <w:tcPr>
            <w:tcW w:type="dxa" w:w="23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P. Shamanna, B. Saboo, S. Damodharan, J. Mohammed, et al.</w:t>
            </w:r>
          </w:p>
        </w:tc>
        <w:tc>
          <w:tcPr>
            <w:tcW w:type="dxa" w:w="9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2020</w:t>
            </w:r>
          </w:p>
        </w:tc>
        <w:tc>
          <w:tcPr>
            <w:tcW w:type="dxa" w:w="60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ML on CGM + food-intake data identified foods that spike each patient's glucose individually; 90-day adherence cut HbA1c by 1.9 points, weight -6.1%, HOMA-IR -56.9% - clinical proof personalized food guidance works, but requires wearable hardware.</w:t>
            </w:r>
          </w:p>
        </w:tc>
      </w:tr>
      <w:tr>
        <w:tc>
          <w:tcPr>
            <w:tcW w:type="dxa" w:w="7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6F8FA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6F8FA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Advancements in Using AI for Dietary Assessment Based on Food Images: Scoping Review (84 studies)</w:t>
            </w:r>
          </w:p>
        </w:tc>
        <w:tc>
          <w:tcPr>
            <w:tcW w:type="dxa" w:w="23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6F8FA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P. Chotwanvirat, A. Prachansuwan, P. Sridonpai, W. Kriengsinyos</w:t>
            </w:r>
          </w:p>
        </w:tc>
        <w:tc>
          <w:tcPr>
            <w:tcW w:type="dxa" w:w="9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6F8FA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2024</w:t>
            </w:r>
          </w:p>
        </w:tc>
        <w:tc>
          <w:tcPr>
            <w:tcW w:type="dxa" w:w="60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6F8FA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Field evolved from handcrafted ML to deep learning to multitask CNNs/GANs; nearly all systems estimate calories/macronutrients while very few handle micronutrients like sodium/potassium; urges clinician involvement - precisely the gap NutriCheck targets.</w:t>
            </w:r>
          </w:p>
        </w:tc>
      </w:tr>
      <w:tr>
        <w:tc>
          <w:tcPr>
            <w:tcW w:type="dxa" w:w="7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29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Are Vision-Language Models Ready for Dietary Assessment? Exploring the Next Frontier in AI-Powered Food Image Recognition</w:t>
            </w:r>
          </w:p>
        </w:tc>
        <w:tc>
          <w:tcPr>
            <w:tcW w:type="dxa" w:w="23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S. Romero-Tapiador, R. Tolosana, et al.</w:t>
            </w:r>
          </w:p>
        </w:tc>
        <w:tc>
          <w:tcPr>
            <w:tcW w:type="dxa" w:w="9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2025</w:t>
            </w:r>
          </w:p>
        </w:tc>
        <w:tc>
          <w:tcPr>
            <w:tcW w:type="dxa" w:w="60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Benchmarked Gemini, GPT, Claude, LLaVA etc. on 9,263 expert-labelled images; closed VLMs exceeded 90% recall on single-food recognition but fail on cooking style and look-alike dishes - VLMs are usable identifiers, not yet trustworthy standalone clinical judges.</w:t>
            </w:r>
          </w:p>
        </w:tc>
      </w:tr>
    </w:tbl>
    <w:p>
      <w:pPr>
        <w:spacing w:after="80" w:before="300"/>
      </w:pPr>
      <w:r>
        <w:rPr>
          <w:rFonts w:ascii="Calibri" w:cs="Calibri" w:eastAsia="Calibri" w:hAnsi="Calibri"/>
          <w:b/>
          <w:bCs/>
          <w:color w:val="0B7A6B"/>
          <w:sz w:val="22"/>
          <w:szCs w:val="22"/>
        </w:rPr>
        <w:t xml:space="preserve">Key takeaway</w:t>
      </w:r>
    </w:p>
    <w:p>
      <w:r>
        <w:rPr>
          <w:rFonts w:ascii="Calibri" w:cs="Calibri" w:eastAsia="Calibri" w:hAnsi="Calibri"/>
          <w:color w:val="6B7280"/>
          <w:sz w:val="20"/>
          <w:szCs w:val="20"/>
        </w:rPr>
        <w:t xml:space="preserve">Vision-based recognition works (1, 2, 4); disease-aware rule engines work (3); personalization is clinically proven to change outcomes (5). The open gap is micronutrient-level, multi-condition reasoning (6), and the evidence favours a hybrid architecture - VLM identification combined with deterministic medical rules (7). NutriCheck is designed around exactly this gap.</w:t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Literature Survey - NutriCheck</dc:title>
  <dc:creator>NutriCheck Seminar</dc:creator>
  <cp:lastModifiedBy>Un-named</cp:lastModifiedBy>
  <cp:revision>1</cp:revision>
  <dcterms:created xsi:type="dcterms:W3CDTF">2026-08-23T14:55:43.980Z</dcterms:created>
  <dcterms:modified xsi:type="dcterms:W3CDTF">2026-08-23T14:55:43.982Z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