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595959"/>
          <w:sz w:val="30"/>
          <w:szCs w:val="30"/>
        </w:rPr>
        <w:t xml:space="preserve">ONLINE COURSES</w:t>
      </w:r>
    </w:p>
    <w:p>
      <w:pPr>
        <w:spacing w:after="200"/>
        <w:jc w:val="center"/>
      </w:pPr>
      <w:r>
        <w:rPr>
          <w:b/>
          <w:bCs/>
          <w:color w:val="1E2761"/>
          <w:sz w:val="56"/>
          <w:szCs w:val="56"/>
        </w:rPr>
        <w:t xml:space="preserve">Exploratory Data Analysis Report</w:t>
      </w:r>
    </w:p>
    <w:p>
      <w:pPr>
        <w:spacing w:after="600"/>
        <w:jc w:val="center"/>
      </w:pPr>
      <w:r>
        <w:rPr>
          <w:i/>
          <w:iCs/>
          <w:color w:val="F96167"/>
          <w:sz w:val="26"/>
          <w:szCs w:val="26"/>
        </w:rPr>
        <w:t xml:space="preserve">A Power BI EDA Project on a Multi-Platform Online Learning Dataset</w:t>
      </w:r>
    </w:p>
    <w:p>
      <w:pPr>
        <w:spacing w:after="80" w:before="1200"/>
        <w:jc w:val="center"/>
      </w:pPr>
      <w:r>
        <w:rPr>
          <w:color w:val="202020"/>
          <w:sz w:val="21"/>
          <w:szCs w:val="21"/>
        </w:rPr>
        <w:t xml:space="preserve">Dataset: Online_Courses.csv  |  8,092 records × 45 columns</w:t>
      </w:r>
    </w:p>
    <w:p>
      <w:pPr>
        <w:spacing w:after="80"/>
        <w:jc w:val="center"/>
      </w:pPr>
      <w:r>
        <w:rPr>
          <w:color w:val="202020"/>
          <w:sz w:val="21"/>
          <w:szCs w:val="21"/>
        </w:rPr>
        <w:t xml:space="preserve">Sources: Coursera · Future Learn · Udacity · Simplilearn</w:t>
      </w:r>
    </w:p>
    <w:p>
      <w:pPr>
        <w:spacing w:after="80"/>
        <w:jc w:val="center"/>
      </w:pPr>
      <w:r>
        <w:rPr>
          <w:color w:val="202020"/>
          <w:sz w:val="21"/>
          <w:szCs w:val="21"/>
        </w:rPr>
        <w:t xml:space="preserve">Deliverable: online_course_insights.pbix</w:t>
      </w:r>
    </w:p>
    <w:p>
      <w:pPr>
        <w:spacing w:before="2000"/>
        <w:jc w:val="center"/>
      </w:pPr>
      <w:r>
        <w:rPr>
          <w:color w:val="595959"/>
          <w:sz w:val="19"/>
          <w:szCs w:val="19"/>
        </w:rPr>
        <w:t xml:space="preserve">Prepared as a Power BI EDA Portfolio Project</w:t>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E2761"/>
          <w:sz w:val="30"/>
          <w:szCs w:val="30"/>
        </w:rPr>
        <w:t xml:space="preserve">1. Introduction &amp; Objective</w:t>
      </w:r>
    </w:p>
    <w:p>
      <w:pPr>
        <w:spacing w:after="160" w:line="300"/>
      </w:pPr>
      <w:r>
        <w:rPr>
          <w:color w:val="202020"/>
          <w:sz w:val="21"/>
          <w:szCs w:val="21"/>
        </w:rPr>
        <w:t xml:space="preserve">This report documents a complete exploratory data analysis (EDA) performed on a raw, real-world dataset of online courses, culminating in an interactive Power BI dashboard. The dataset aggregates course listings scraped from four major e-learning platforms — Coursera, Future Learn, Udacity, and Simplilearn — into a single flat file.</w:t>
      </w:r>
    </w:p>
    <w:p>
      <w:pPr>
        <w:spacing w:after="160" w:line="300"/>
      </w:pPr>
      <w:r>
        <w:rPr>
          <w:color w:val="202020"/>
          <w:sz w:val="21"/>
          <w:szCs w:val="21"/>
        </w:rPr>
        <w:t xml:space="preserve">The objective of this project is threefold:</w:t>
      </w:r>
    </w:p>
    <w:p>
      <w:pPr>
        <w:pStyle w:val="ListParagraph"/>
        <w:numPr>
          <w:ilvl w:val="0"/>
          <w:numId w:val="2"/>
        </w:numPr>
        <w:spacing w:after="90" w:line="290"/>
      </w:pPr>
      <w:r>
        <w:rPr>
          <w:color w:val="202020"/>
          <w:sz w:val="21"/>
          <w:szCs w:val="21"/>
        </w:rPr>
        <w:t xml:space="preserve">Understand and document the structure, quality, and quirks of a genuinely messy, multi-source dataset before any modeling begins.</w:t>
      </w:r>
    </w:p>
    <w:p>
      <w:pPr>
        <w:pStyle w:val="ListParagraph"/>
        <w:numPr>
          <w:ilvl w:val="0"/>
          <w:numId w:val="2"/>
        </w:numPr>
        <w:spacing w:after="90" w:line="290"/>
      </w:pPr>
      <w:r>
        <w:rPr>
          <w:color w:val="202020"/>
          <w:sz w:val="21"/>
          <w:szCs w:val="21"/>
        </w:rPr>
        <w:t xml:space="preserve">Clean and reshape the raw data so it can be reliably loaded and modeled inside Power BI.</w:t>
      </w:r>
    </w:p>
    <w:p>
      <w:pPr>
        <w:pStyle w:val="ListParagraph"/>
        <w:numPr>
          <w:ilvl w:val="0"/>
          <w:numId w:val="2"/>
        </w:numPr>
        <w:spacing w:after="90" w:line="290"/>
      </w:pPr>
      <w:r>
        <w:rPr>
          <w:color w:val="202020"/>
          <w:sz w:val="21"/>
          <w:szCs w:val="21"/>
        </w:rPr>
        <w:t xml:space="preserve">Build a Power BI dashboard that surfaces meaningful insights about course categories, skills, ratings, viewership, and instructors.</w:t>
      </w:r>
    </w:p>
    <w:p>
      <w:pPr>
        <w:spacing w:after="160" w:line="300"/>
      </w:pPr>
      <w:r>
        <w:rPr>
          <w:color w:val="202020"/>
          <w:sz w:val="21"/>
          <w:szCs w:val="21"/>
        </w:rPr>
        <w:t xml:space="preserve">This document is the full narrative report; a condensed slide version is available in Project_Presentation.pptx, and a quick-reference summary is available in README.md.</w:t>
      </w:r>
    </w:p>
    <w:p>
      <w:pPr>
        <w:pStyle w:val="Heading1"/>
        <w:spacing w:after="160" w:before="360"/>
      </w:pPr>
      <w:r>
        <w:rPr>
          <w:b/>
          <w:bCs/>
          <w:color w:val="1E2761"/>
          <w:sz w:val="30"/>
          <w:szCs w:val="30"/>
        </w:rPr>
        <w:t xml:space="preserve">2. Dataset Overview</w:t>
      </w:r>
    </w:p>
    <w:p>
      <w:pPr>
        <w:pStyle w:val="Heading2"/>
        <w:spacing w:after="120" w:before="280"/>
      </w:pPr>
      <w:r>
        <w:rPr>
          <w:b/>
          <w:bCs/>
          <w:color w:val="1E2761"/>
          <w:sz w:val="24"/>
          <w:szCs w:val="24"/>
        </w:rPr>
        <w:t xml:space="preserve">2.1 Source &amp; Scope</w:t>
      </w:r>
    </w:p>
    <w:p>
      <w:pPr>
        <w:spacing w:after="160" w:line="300"/>
      </w:pPr>
      <w:r>
        <w:rPr>
          <w:color w:val="202020"/>
          <w:sz w:val="21"/>
          <w:szCs w:val="21"/>
        </w:rPr>
        <w:t xml:space="preserve">The raw file, Online_Courses.csv, contains 8,092 rows and 45 columns. Each row represents one course, program, specialization, or track listed on one of four platforms.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shd w:fill="1E2761" w:val="clear"/>
            <w:tcMar>
              <w:top w:type="dxa" w:w="80"/>
              <w:left w:type="dxa" w:w="120"/>
              <w:bottom w:type="dxa" w:w="80"/>
              <w:right w:type="dxa" w:w="120"/>
            </w:tcMar>
          </w:tcPr>
          <w:p>
            <w:pPr>
              <w:jc w:val="left"/>
            </w:pPr>
            <w:r>
              <w:rPr>
                <w:b/>
                <w:bCs/>
                <w:color w:val="FFFFFF"/>
                <w:sz w:val="19"/>
                <w:szCs w:val="19"/>
              </w:rPr>
              <w:t xml:space="preserve">Metric</w:t>
            </w:r>
          </w:p>
        </w:tc>
        <w:tc>
          <w:tcPr>
            <w:tcW w:type="dxa" w:w="5000"/>
            <w:shd w:fill="1E2761" w:val="clear"/>
            <w:tcMar>
              <w:top w:type="dxa" w:w="80"/>
              <w:left w:type="dxa" w:w="120"/>
              <w:bottom w:type="dxa" w:w="80"/>
              <w:right w:type="dxa" w:w="120"/>
            </w:tcMar>
          </w:tcPr>
          <w:p>
            <w:pPr>
              <w:jc w:val="left"/>
            </w:pPr>
            <w:r>
              <w:rPr>
                <w:b/>
                <w:bCs/>
                <w:color w:val="FFFFFF"/>
                <w:sz w:val="19"/>
                <w:szCs w:val="19"/>
              </w:rPr>
              <w:t xml:space="preserve">Value</w:t>
            </w:r>
          </w:p>
        </w:tc>
      </w:tr>
      <w:tr>
        <w:tc>
          <w:tcPr>
            <w:tcW w:type="dxa" w:w="4500"/>
            <w:shd w:fill="F4F6FB" w:val="clear"/>
            <w:tcMar>
              <w:top w:type="dxa" w:w="80"/>
              <w:left w:type="dxa" w:w="120"/>
              <w:bottom w:type="dxa" w:w="80"/>
              <w:right w:type="dxa" w:w="120"/>
            </w:tcMar>
          </w:tcPr>
          <w:p>
            <w:pPr>
              <w:jc w:val="left"/>
            </w:pPr>
            <w:r>
              <w:rPr>
                <w:b w:val="false"/>
                <w:bCs w:val="false"/>
                <w:color w:val="202020"/>
                <w:sz w:val="19"/>
                <w:szCs w:val="19"/>
              </w:rPr>
              <w:t xml:space="preserve">Total records</w:t>
            </w:r>
          </w:p>
        </w:tc>
        <w:tc>
          <w:tcPr>
            <w:tcW w:type="dxa" w:w="5000"/>
            <w:shd w:fill="F4F6FB" w:val="clear"/>
            <w:tcMar>
              <w:top w:type="dxa" w:w="80"/>
              <w:left w:type="dxa" w:w="120"/>
              <w:bottom w:type="dxa" w:w="80"/>
              <w:right w:type="dxa" w:w="120"/>
            </w:tcMar>
          </w:tcPr>
          <w:p>
            <w:pPr>
              <w:jc w:val="left"/>
            </w:pPr>
            <w:r>
              <w:rPr>
                <w:b w:val="false"/>
                <w:bCs w:val="false"/>
                <w:color w:val="202020"/>
                <w:sz w:val="19"/>
                <w:szCs w:val="19"/>
              </w:rPr>
              <w:t xml:space="preserve">8,092</w:t>
            </w:r>
          </w:p>
        </w:tc>
      </w:tr>
      <w:tr>
        <w:tc>
          <w:tcPr>
            <w:tcW w:type="dxa" w:w="4500"/>
            <w:shd w:fill="FFFFFF" w:val="clear"/>
            <w:tcMar>
              <w:top w:type="dxa" w:w="80"/>
              <w:left w:type="dxa" w:w="120"/>
              <w:bottom w:type="dxa" w:w="80"/>
              <w:right w:type="dxa" w:w="120"/>
            </w:tcMar>
          </w:tcPr>
          <w:p>
            <w:pPr>
              <w:jc w:val="left"/>
            </w:pPr>
            <w:r>
              <w:rPr>
                <w:b w:val="false"/>
                <w:bCs w:val="false"/>
                <w:color w:val="202020"/>
                <w:sz w:val="19"/>
                <w:szCs w:val="19"/>
              </w:rPr>
              <w:t xml:space="preserve">Total columns</w:t>
            </w:r>
          </w:p>
        </w:tc>
        <w:tc>
          <w:tcPr>
            <w:tcW w:type="dxa" w:w="5000"/>
            <w:shd w:fill="FFFFFF" w:val="clear"/>
            <w:tcMar>
              <w:top w:type="dxa" w:w="80"/>
              <w:left w:type="dxa" w:w="120"/>
              <w:bottom w:type="dxa" w:w="80"/>
              <w:right w:type="dxa" w:w="120"/>
            </w:tcMar>
          </w:tcPr>
          <w:p>
            <w:pPr>
              <w:jc w:val="left"/>
            </w:pPr>
            <w:r>
              <w:rPr>
                <w:b w:val="false"/>
                <w:bCs w:val="false"/>
                <w:color w:val="202020"/>
                <w:sz w:val="19"/>
                <w:szCs w:val="19"/>
              </w:rPr>
              <w:t xml:space="preserve">45</w:t>
            </w:r>
          </w:p>
        </w:tc>
      </w:tr>
      <w:tr>
        <w:tc>
          <w:tcPr>
            <w:tcW w:type="dxa" w:w="4500"/>
            <w:shd w:fill="F4F6FB" w:val="clear"/>
            <w:tcMar>
              <w:top w:type="dxa" w:w="80"/>
              <w:left w:type="dxa" w:w="120"/>
              <w:bottom w:type="dxa" w:w="80"/>
              <w:right w:type="dxa" w:w="120"/>
            </w:tcMar>
          </w:tcPr>
          <w:p>
            <w:pPr>
              <w:jc w:val="left"/>
            </w:pPr>
            <w:r>
              <w:rPr>
                <w:b w:val="false"/>
                <w:bCs w:val="false"/>
                <w:color w:val="202020"/>
                <w:sz w:val="19"/>
                <w:szCs w:val="19"/>
              </w:rPr>
              <w:t xml:space="preserve">Source platforms</w:t>
            </w:r>
          </w:p>
        </w:tc>
        <w:tc>
          <w:tcPr>
            <w:tcW w:type="dxa" w:w="5000"/>
            <w:shd w:fill="F4F6FB" w:val="clear"/>
            <w:tcMar>
              <w:top w:type="dxa" w:w="80"/>
              <w:left w:type="dxa" w:w="120"/>
              <w:bottom w:type="dxa" w:w="80"/>
              <w:right w:type="dxa" w:w="120"/>
            </w:tcMar>
          </w:tcPr>
          <w:p>
            <w:pPr>
              <w:jc w:val="left"/>
            </w:pPr>
            <w:r>
              <w:rPr>
                <w:b w:val="false"/>
                <w:bCs w:val="false"/>
                <w:color w:val="202020"/>
                <w:sz w:val="19"/>
                <w:szCs w:val="19"/>
              </w:rPr>
              <w:t xml:space="preserve">4 (Future Learn, Coursera, Udacity, Simplilearn)</w:t>
            </w:r>
          </w:p>
        </w:tc>
      </w:tr>
      <w:tr>
        <w:tc>
          <w:tcPr>
            <w:tcW w:type="dxa" w:w="4500"/>
            <w:shd w:fill="FFFFFF" w:val="clear"/>
            <w:tcMar>
              <w:top w:type="dxa" w:w="80"/>
              <w:left w:type="dxa" w:w="120"/>
              <w:bottom w:type="dxa" w:w="80"/>
              <w:right w:type="dxa" w:w="120"/>
            </w:tcMar>
          </w:tcPr>
          <w:p>
            <w:pPr>
              <w:jc w:val="left"/>
            </w:pPr>
            <w:r>
              <w:rPr>
                <w:b w:val="false"/>
                <w:bCs w:val="false"/>
                <w:color w:val="202020"/>
                <w:sz w:val="19"/>
                <w:szCs w:val="19"/>
              </w:rPr>
              <w:t xml:space="preserve">Unique course titles</w:t>
            </w:r>
          </w:p>
        </w:tc>
        <w:tc>
          <w:tcPr>
            <w:tcW w:type="dxa" w:w="5000"/>
            <w:shd w:fill="FFFFFF" w:val="clear"/>
            <w:tcMar>
              <w:top w:type="dxa" w:w="80"/>
              <w:left w:type="dxa" w:w="120"/>
              <w:bottom w:type="dxa" w:w="80"/>
              <w:right w:type="dxa" w:w="120"/>
            </w:tcMar>
          </w:tcPr>
          <w:p>
            <w:pPr>
              <w:jc w:val="left"/>
            </w:pPr>
            <w:r>
              <w:rPr>
                <w:b w:val="false"/>
                <w:bCs w:val="false"/>
                <w:color w:val="202020"/>
                <w:sz w:val="19"/>
                <w:szCs w:val="19"/>
              </w:rPr>
              <w:t xml:space="preserve">4,908</w:t>
            </w:r>
          </w:p>
        </w:tc>
      </w:tr>
      <w:tr>
        <w:tc>
          <w:tcPr>
            <w:tcW w:type="dxa" w:w="4500"/>
            <w:shd w:fill="F4F6FB" w:val="clear"/>
            <w:tcMar>
              <w:top w:type="dxa" w:w="80"/>
              <w:left w:type="dxa" w:w="120"/>
              <w:bottom w:type="dxa" w:w="80"/>
              <w:right w:type="dxa" w:w="120"/>
            </w:tcMar>
          </w:tcPr>
          <w:p>
            <w:pPr>
              <w:jc w:val="left"/>
            </w:pPr>
            <w:r>
              <w:rPr>
                <w:b w:val="false"/>
                <w:bCs w:val="false"/>
                <w:color w:val="202020"/>
                <w:sz w:val="19"/>
                <w:szCs w:val="19"/>
              </w:rPr>
              <w:t xml:space="preserve">Exact duplicate rows</w:t>
            </w:r>
          </w:p>
        </w:tc>
        <w:tc>
          <w:tcPr>
            <w:tcW w:type="dxa" w:w="5000"/>
            <w:shd w:fill="F4F6FB" w:val="clear"/>
            <w:tcMar>
              <w:top w:type="dxa" w:w="80"/>
              <w:left w:type="dxa" w:w="120"/>
              <w:bottom w:type="dxa" w:w="80"/>
              <w:right w:type="dxa" w:w="120"/>
            </w:tcMar>
          </w:tcPr>
          <w:p>
            <w:pPr>
              <w:jc w:val="left"/>
            </w:pPr>
            <w:r>
              <w:rPr>
                <w:b w:val="false"/>
                <w:bCs w:val="false"/>
                <w:color w:val="202020"/>
                <w:sz w:val="19"/>
                <w:szCs w:val="19"/>
              </w:rPr>
              <w:t xml:space="preserve">0</w:t>
            </w:r>
          </w:p>
        </w:tc>
      </w:tr>
      <w:tr>
        <w:tc>
          <w:tcPr>
            <w:tcW w:type="dxa" w:w="4500"/>
            <w:shd w:fill="FFFFFF" w:val="clear"/>
            <w:tcMar>
              <w:top w:type="dxa" w:w="80"/>
              <w:left w:type="dxa" w:w="120"/>
              <w:bottom w:type="dxa" w:w="80"/>
              <w:right w:type="dxa" w:w="120"/>
            </w:tcMar>
          </w:tcPr>
          <w:p>
            <w:pPr>
              <w:jc w:val="left"/>
            </w:pPr>
            <w:r>
              <w:rPr>
                <w:b w:val="false"/>
                <w:bCs w:val="false"/>
                <w:color w:val="202020"/>
                <w:sz w:val="19"/>
                <w:szCs w:val="19"/>
              </w:rPr>
              <w:t xml:space="preserve">Columns with 0% missing</w:t>
            </w:r>
          </w:p>
        </w:tc>
        <w:tc>
          <w:tcPr>
            <w:tcW w:type="dxa" w:w="5000"/>
            <w:shd w:fill="FFFFFF" w:val="clear"/>
            <w:tcMar>
              <w:top w:type="dxa" w:w="80"/>
              <w:left w:type="dxa" w:w="120"/>
              <w:bottom w:type="dxa" w:w="80"/>
              <w:right w:type="dxa" w:w="120"/>
            </w:tcMar>
          </w:tcPr>
          <w:p>
            <w:pPr>
              <w:jc w:val="left"/>
            </w:pPr>
            <w:r>
              <w:rPr>
                <w:b w:val="false"/>
                <w:bCs w:val="false"/>
                <w:color w:val="202020"/>
                <w:sz w:val="19"/>
                <w:szCs w:val="19"/>
              </w:rPr>
              <w:t xml:space="preserve">Title, URL, Site (Unnamed: 0 index also complete)</w:t>
            </w:r>
          </w:p>
        </w:tc>
      </w:tr>
    </w:tbl>
    <w:p>
      <w:pPr>
        <w:spacing w:after="240"/>
        <w:jc w:val="center"/>
      </w:pPr>
      <w:r>
        <w:rPr>
          <w:i/>
          <w:iCs/>
          <w:color w:val="595959"/>
          <w:sz w:val="18"/>
          <w:szCs w:val="18"/>
        </w:rPr>
        <w:t xml:space="preserve">Table 2.1 — Dataset scale summary</w:t>
      </w:r>
    </w:p>
    <w:p>
      <w:pPr>
        <w:pStyle w:val="Heading2"/>
        <w:spacing w:after="120" w:before="280"/>
      </w:pPr>
      <w:r>
        <w:rPr>
          <w:b/>
          <w:bCs/>
          <w:color w:val="1E2761"/>
          <w:sz w:val="24"/>
          <w:szCs w:val="24"/>
        </w:rPr>
        <w:t xml:space="preserve">2.2 Records per Platform</w:t>
      </w:r>
    </w:p>
    <w:p>
      <w:pPr>
        <w:spacing w:after="80"/>
        <w:jc w:val="center"/>
      </w:pPr>
      <w:r>
        <w:drawing>
          <wp:inline distT="0" distB="0" distL="0" distR="0">
            <wp:extent cx="5524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i/>
          <w:iCs/>
          <w:color w:val="595959"/>
          <w:sz w:val="18"/>
          <w:szCs w:val="18"/>
        </w:rPr>
        <w:t xml:space="preserve">Figure 2.1 — Distribution of course records by source platform</w:t>
      </w:r>
    </w:p>
    <w:p>
      <w:pPr>
        <w:spacing w:after="160" w:line="300"/>
      </w:pPr>
      <w:r>
        <w:rPr>
          <w:color w:val="202020"/>
          <w:sz w:val="21"/>
          <w:szCs w:val="21"/>
        </w:rPr>
        <w:t xml:space="preserve">Future Learn contributes the largest share of rows (59.9%), followed by Coursera (34.8%), Udacity (3.5%) and Simplilearn (1.8%). However, row count is not the same as data richness — as shown in Section 3, Coursera carries by far the most usable analytical fields.</w:t>
      </w:r>
    </w:p>
    <w:p>
      <w:pPr>
        <w:pStyle w:val="Heading1"/>
        <w:spacing w:after="160" w:before="360"/>
      </w:pPr>
      <w:r>
        <w:rPr>
          <w:b/>
          <w:bCs/>
          <w:color w:val="1E2761"/>
          <w:sz w:val="30"/>
          <w:szCs w:val="30"/>
        </w:rPr>
        <w:t xml:space="preserve">3. Data Structure &amp; Schema Analysis</w:t>
      </w:r>
    </w:p>
    <w:p>
      <w:pPr>
        <w:spacing w:after="160" w:line="300"/>
      </w:pPr>
      <w:r>
        <w:rPr>
          <w:color w:val="202020"/>
          <w:sz w:val="21"/>
          <w:szCs w:val="21"/>
        </w:rPr>
        <w:t xml:space="preserve">A key discovery of this EDA is that Online_Courses.csv is not one dataset with one schema — it is four different platform schemas stacked (unioned) into a single table. Each platform populates a different subset of the 45 columns, which explains why so many columns appear mostly empty at first glance.</w:t>
      </w:r>
    </w:p>
    <w:p>
      <w:pPr>
        <w:pStyle w:val="Heading2"/>
        <w:spacing w:after="120" w:before="280"/>
      </w:pPr>
      <w:r>
        <w:rPr>
          <w:b/>
          <w:bCs/>
          <w:color w:val="1E2761"/>
          <w:sz w:val="24"/>
          <w:szCs w:val="24"/>
        </w:rPr>
        <w:t xml:space="preserve">3.1 Universal Columns (populated across all platforms)</w:t>
      </w:r>
    </w:p>
    <w:p>
      <w:pPr>
        <w:pStyle w:val="ListParagraph"/>
        <w:numPr>
          <w:ilvl w:val="0"/>
          <w:numId w:val="2"/>
        </w:numPr>
        <w:spacing w:after="90" w:line="290"/>
      </w:pPr>
      <w:r>
        <w:rPr>
          <w:color w:val="202020"/>
          <w:sz w:val="21"/>
          <w:szCs w:val="21"/>
        </w:rPr>
        <w:t xml:space="preserve">Title — course/program name</w:t>
      </w:r>
    </w:p>
    <w:p>
      <w:pPr>
        <w:pStyle w:val="ListParagraph"/>
        <w:numPr>
          <w:ilvl w:val="0"/>
          <w:numId w:val="2"/>
        </w:numPr>
        <w:spacing w:after="90" w:line="290"/>
      </w:pPr>
      <w:r>
        <w:rPr>
          <w:color w:val="202020"/>
          <w:sz w:val="21"/>
          <w:szCs w:val="21"/>
        </w:rPr>
        <w:t xml:space="preserve">URL — listing link</w:t>
      </w:r>
    </w:p>
    <w:p>
      <w:pPr>
        <w:pStyle w:val="ListParagraph"/>
        <w:numPr>
          <w:ilvl w:val="0"/>
          <w:numId w:val="2"/>
        </w:numPr>
        <w:spacing w:after="90" w:line="290"/>
      </w:pPr>
      <w:r>
        <w:rPr>
          <w:color w:val="202020"/>
          <w:sz w:val="21"/>
          <w:szCs w:val="21"/>
        </w:rPr>
        <w:t xml:space="preserve">Short Intro — one-line description</w:t>
      </w:r>
    </w:p>
    <w:p>
      <w:pPr>
        <w:pStyle w:val="ListParagraph"/>
        <w:numPr>
          <w:ilvl w:val="0"/>
          <w:numId w:val="2"/>
        </w:numPr>
        <w:spacing w:after="90" w:line="290"/>
      </w:pPr>
      <w:r>
        <w:rPr>
          <w:color w:val="202020"/>
          <w:sz w:val="21"/>
          <w:szCs w:val="21"/>
        </w:rPr>
        <w:t xml:space="preserve">Duration — free-text length (format differs per platform)</w:t>
      </w:r>
    </w:p>
    <w:p>
      <w:pPr>
        <w:pStyle w:val="ListParagraph"/>
        <w:numPr>
          <w:ilvl w:val="0"/>
          <w:numId w:val="2"/>
        </w:numPr>
        <w:spacing w:after="90" w:line="290"/>
      </w:pPr>
      <w:r>
        <w:rPr>
          <w:color w:val="202020"/>
          <w:sz w:val="21"/>
          <w:szCs w:val="21"/>
        </w:rPr>
        <w:t xml:space="preserve">Site — source platform label</w:t>
      </w:r>
    </w:p>
    <w:p>
      <w:pPr>
        <w:pStyle w:val="Heading2"/>
        <w:spacing w:after="120" w:before="280"/>
      </w:pPr>
      <w:r>
        <w:rPr>
          <w:b/>
          <w:bCs/>
          <w:color w:val="1E2761"/>
          <w:sz w:val="24"/>
          <w:szCs w:val="24"/>
        </w:rPr>
        <w:t xml:space="preserve">3.2 Platform-Specific Columns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800"/>
      </w:tblGrid>
      <w:tr>
        <w:trPr>
          <w:tblHeader/>
        </w:trPr>
        <w:tc>
          <w:tcPr>
            <w:tcW w:type="dxa" w:w="1800"/>
            <w:shd w:fill="1E2761" w:val="clear"/>
            <w:tcMar>
              <w:top w:type="dxa" w:w="80"/>
              <w:left w:type="dxa" w:w="120"/>
              <w:bottom w:type="dxa" w:w="80"/>
              <w:right w:type="dxa" w:w="120"/>
            </w:tcMar>
          </w:tcPr>
          <w:p>
            <w:pPr>
              <w:jc w:val="left"/>
            </w:pPr>
            <w:r>
              <w:rPr>
                <w:b/>
                <w:bCs/>
                <w:color w:val="FFFFFF"/>
                <w:sz w:val="19"/>
                <w:szCs w:val="19"/>
              </w:rPr>
              <w:t xml:space="preserve">Platform</w:t>
            </w:r>
          </w:p>
        </w:tc>
        <w:tc>
          <w:tcPr>
            <w:tcW w:type="dxa" w:w="900"/>
            <w:shd w:fill="1E2761" w:val="clear"/>
            <w:tcMar>
              <w:top w:type="dxa" w:w="80"/>
              <w:left w:type="dxa" w:w="120"/>
              <w:bottom w:type="dxa" w:w="80"/>
              <w:right w:type="dxa" w:w="120"/>
            </w:tcMar>
          </w:tcPr>
          <w:p>
            <w:pPr>
              <w:jc w:val="left"/>
            </w:pPr>
            <w:r>
              <w:rPr>
                <w:b/>
                <w:bCs/>
                <w:color w:val="FFFFFF"/>
                <w:sz w:val="19"/>
                <w:szCs w:val="19"/>
              </w:rPr>
              <w:t xml:space="preserve">Rows</w:t>
            </w:r>
          </w:p>
        </w:tc>
        <w:tc>
          <w:tcPr>
            <w:tcW w:type="dxa" w:w="6800"/>
            <w:shd w:fill="1E2761" w:val="clear"/>
            <w:tcMar>
              <w:top w:type="dxa" w:w="80"/>
              <w:left w:type="dxa" w:w="120"/>
              <w:bottom w:type="dxa" w:w="80"/>
              <w:right w:type="dxa" w:w="120"/>
            </w:tcMar>
          </w:tcPr>
          <w:p>
            <w:pPr>
              <w:jc w:val="left"/>
            </w:pPr>
            <w:r>
              <w:rPr>
                <w:b/>
                <w:bCs/>
                <w:color w:val="FFFFFF"/>
                <w:sz w:val="19"/>
                <w:szCs w:val="19"/>
              </w:rPr>
              <w:t xml:space="preserve">Distinctive columns populated only for this platform</w:t>
            </w:r>
          </w:p>
        </w:tc>
      </w:tr>
      <w:tr>
        <w:tc>
          <w:tcPr>
            <w:tcW w:type="dxa" w:w="1800"/>
            <w:shd w:fill="F4F6FB" w:val="clear"/>
            <w:tcMar>
              <w:top w:type="dxa" w:w="80"/>
              <w:left w:type="dxa" w:w="120"/>
              <w:bottom w:type="dxa" w:w="80"/>
              <w:right w:type="dxa" w:w="120"/>
            </w:tcMar>
          </w:tcPr>
          <w:p>
            <w:pPr>
              <w:jc w:val="left"/>
            </w:pPr>
            <w:r>
              <w:rPr>
                <w:b w:val="false"/>
                <w:bCs w:val="false"/>
                <w:color w:val="202020"/>
                <w:sz w:val="19"/>
                <w:szCs w:val="19"/>
              </w:rPr>
              <w:t xml:space="preserve">Coursera</w:t>
            </w:r>
          </w:p>
        </w:tc>
        <w:tc>
          <w:tcPr>
            <w:tcW w:type="dxa" w:w="900"/>
            <w:shd w:fill="F4F6FB" w:val="clear"/>
            <w:tcMar>
              <w:top w:type="dxa" w:w="80"/>
              <w:left w:type="dxa" w:w="120"/>
              <w:bottom w:type="dxa" w:w="80"/>
              <w:right w:type="dxa" w:w="120"/>
            </w:tcMar>
          </w:tcPr>
          <w:p>
            <w:pPr>
              <w:jc w:val="left"/>
            </w:pPr>
            <w:r>
              <w:rPr>
                <w:b w:val="false"/>
                <w:bCs w:val="false"/>
                <w:color w:val="202020"/>
                <w:sz w:val="19"/>
                <w:szCs w:val="19"/>
              </w:rPr>
              <w:t xml:space="preserve">2,819</w:t>
            </w:r>
          </w:p>
        </w:tc>
        <w:tc>
          <w:tcPr>
            <w:tcW w:type="dxa" w:w="6800"/>
            <w:shd w:fill="F4F6FB" w:val="clear"/>
            <w:tcMar>
              <w:top w:type="dxa" w:w="80"/>
              <w:left w:type="dxa" w:w="120"/>
              <w:bottom w:type="dxa" w:w="80"/>
              <w:right w:type="dxa" w:w="120"/>
            </w:tcMar>
          </w:tcPr>
          <w:p>
            <w:pPr>
              <w:jc w:val="left"/>
            </w:pPr>
            <w:r>
              <w:rPr>
                <w:b w:val="false"/>
                <w:bCs w:val="false"/>
                <w:color w:val="202020"/>
                <w:sz w:val="19"/>
                <w:szCs w:val="19"/>
              </w:rPr>
              <w:t xml:space="preserve">Category, Sub-Category, Course Type, Language, Subtitle Languages, Skills, Instructors, Rating, Number of viewers</w:t>
            </w:r>
          </w:p>
        </w:tc>
      </w:tr>
      <w:tr>
        <w:tc>
          <w:tcPr>
            <w:tcW w:type="dxa" w:w="1800"/>
            <w:shd w:fill="FFFFFF" w:val="clear"/>
            <w:tcMar>
              <w:top w:type="dxa" w:w="80"/>
              <w:left w:type="dxa" w:w="120"/>
              <w:bottom w:type="dxa" w:w="80"/>
              <w:right w:type="dxa" w:w="120"/>
            </w:tcMar>
          </w:tcPr>
          <w:p>
            <w:pPr>
              <w:jc w:val="left"/>
            </w:pPr>
            <w:r>
              <w:rPr>
                <w:b w:val="false"/>
                <w:bCs w:val="false"/>
                <w:color w:val="202020"/>
                <w:sz w:val="19"/>
                <w:szCs w:val="19"/>
              </w:rPr>
              <w:t xml:space="preserve">Future Learn</w:t>
            </w:r>
          </w:p>
        </w:tc>
        <w:tc>
          <w:tcPr>
            <w:tcW w:type="dxa" w:w="900"/>
            <w:shd w:fill="FFFFFF" w:val="clear"/>
            <w:tcMar>
              <w:top w:type="dxa" w:w="80"/>
              <w:left w:type="dxa" w:w="120"/>
              <w:bottom w:type="dxa" w:w="80"/>
              <w:right w:type="dxa" w:w="120"/>
            </w:tcMar>
          </w:tcPr>
          <w:p>
            <w:pPr>
              <w:jc w:val="left"/>
            </w:pPr>
            <w:r>
              <w:rPr>
                <w:b w:val="false"/>
                <w:bCs w:val="false"/>
                <w:color w:val="202020"/>
                <w:sz w:val="19"/>
                <w:szCs w:val="19"/>
              </w:rPr>
              <w:t xml:space="preserve">4,843</w:t>
            </w:r>
          </w:p>
        </w:tc>
        <w:tc>
          <w:tcPr>
            <w:tcW w:type="dxa" w:w="6800"/>
            <w:shd w:fill="FFFFFF" w:val="clear"/>
            <w:tcMar>
              <w:top w:type="dxa" w:w="80"/>
              <w:left w:type="dxa" w:w="120"/>
              <w:bottom w:type="dxa" w:w="80"/>
              <w:right w:type="dxa" w:w="120"/>
            </w:tcMar>
          </w:tcPr>
          <w:p>
            <w:pPr>
              <w:jc w:val="left"/>
            </w:pPr>
            <w:r>
              <w:rPr>
                <w:b w:val="false"/>
                <w:bCs w:val="false"/>
                <w:color w:val="202020"/>
                <w:sz w:val="19"/>
                <w:szCs w:val="19"/>
              </w:rPr>
              <w:t xml:space="preserve">Courses, Weekly study, Topics related to CRM, ExpertTracks, Course Title/URL/Short Intro</w:t>
            </w:r>
          </w:p>
        </w:tc>
      </w:tr>
      <w:tr>
        <w:tc>
          <w:tcPr>
            <w:tcW w:type="dxa" w:w="1800"/>
            <w:shd w:fill="F4F6FB" w:val="clear"/>
            <w:tcMar>
              <w:top w:type="dxa" w:w="80"/>
              <w:left w:type="dxa" w:w="120"/>
              <w:bottom w:type="dxa" w:w="80"/>
              <w:right w:type="dxa" w:w="120"/>
            </w:tcMar>
          </w:tcPr>
          <w:p>
            <w:pPr>
              <w:jc w:val="left"/>
            </w:pPr>
            <w:r>
              <w:rPr>
                <w:b w:val="false"/>
                <w:bCs w:val="false"/>
                <w:color w:val="202020"/>
                <w:sz w:val="19"/>
                <w:szCs w:val="19"/>
              </w:rPr>
              <w:t xml:space="preserve">Udacity</w:t>
            </w:r>
          </w:p>
        </w:tc>
        <w:tc>
          <w:tcPr>
            <w:tcW w:type="dxa" w:w="900"/>
            <w:shd w:fill="F4F6FB" w:val="clear"/>
            <w:tcMar>
              <w:top w:type="dxa" w:w="80"/>
              <w:left w:type="dxa" w:w="120"/>
              <w:bottom w:type="dxa" w:w="80"/>
              <w:right w:type="dxa" w:w="120"/>
            </w:tcMar>
          </w:tcPr>
          <w:p>
            <w:pPr>
              <w:jc w:val="left"/>
            </w:pPr>
            <w:r>
              <w:rPr>
                <w:b w:val="false"/>
                <w:bCs w:val="false"/>
                <w:color w:val="202020"/>
                <w:sz w:val="19"/>
                <w:szCs w:val="19"/>
              </w:rPr>
              <w:t xml:space="preserve">282</w:t>
            </w:r>
          </w:p>
        </w:tc>
        <w:tc>
          <w:tcPr>
            <w:tcW w:type="dxa" w:w="6800"/>
            <w:shd w:fill="F4F6FB" w:val="clear"/>
            <w:tcMar>
              <w:top w:type="dxa" w:w="80"/>
              <w:left w:type="dxa" w:w="120"/>
              <w:bottom w:type="dxa" w:w="80"/>
              <w:right w:type="dxa" w:w="120"/>
            </w:tcMar>
          </w:tcPr>
          <w:p>
            <w:pPr>
              <w:jc w:val="left"/>
            </w:pPr>
            <w:r>
              <w:rPr>
                <w:b w:val="false"/>
                <w:bCs w:val="false"/>
                <w:color w:val="202020"/>
                <w:sz w:val="19"/>
                <w:szCs w:val="19"/>
              </w:rPr>
              <w:t xml:space="preserve">Program Type, Level, Prequisites, What you learn, School</w:t>
            </w:r>
          </w:p>
        </w:tc>
      </w:tr>
      <w:tr>
        <w:tc>
          <w:tcPr>
            <w:tcW w:type="dxa" w:w="1800"/>
            <w:shd w:fill="FFFFFF" w:val="clear"/>
            <w:tcMar>
              <w:top w:type="dxa" w:w="80"/>
              <w:left w:type="dxa" w:w="120"/>
              <w:bottom w:type="dxa" w:w="80"/>
              <w:right w:type="dxa" w:w="120"/>
            </w:tcMar>
          </w:tcPr>
          <w:p>
            <w:pPr>
              <w:jc w:val="left"/>
            </w:pPr>
            <w:r>
              <w:rPr>
                <w:b w:val="false"/>
                <w:bCs w:val="false"/>
                <w:color w:val="202020"/>
                <w:sz w:val="19"/>
                <w:szCs w:val="19"/>
              </w:rPr>
              <w:t xml:space="preserve">Simplilearn</w:t>
            </w:r>
          </w:p>
        </w:tc>
        <w:tc>
          <w:tcPr>
            <w:tcW w:type="dxa" w:w="900"/>
            <w:shd w:fill="FFFFFF" w:val="clear"/>
            <w:tcMar>
              <w:top w:type="dxa" w:w="80"/>
              <w:left w:type="dxa" w:w="120"/>
              <w:bottom w:type="dxa" w:w="80"/>
              <w:right w:type="dxa" w:w="120"/>
            </w:tcMar>
          </w:tcPr>
          <w:p>
            <w:pPr>
              <w:jc w:val="left"/>
            </w:pPr>
            <w:r>
              <w:rPr>
                <w:b w:val="false"/>
                <w:bCs w:val="false"/>
                <w:color w:val="202020"/>
                <w:sz w:val="19"/>
                <w:szCs w:val="19"/>
              </w:rPr>
              <w:t xml:space="preserve">148</w:t>
            </w:r>
          </w:p>
        </w:tc>
        <w:tc>
          <w:tcPr>
            <w:tcW w:type="dxa" w:w="6800"/>
            <w:shd w:fill="FFFFFF" w:val="clear"/>
            <w:tcMar>
              <w:top w:type="dxa" w:w="80"/>
              <w:left w:type="dxa" w:w="120"/>
              <w:bottom w:type="dxa" w:w="80"/>
              <w:right w:type="dxa" w:w="120"/>
            </w:tcMar>
          </w:tcPr>
          <w:p>
            <w:pPr>
              <w:jc w:val="left"/>
            </w:pPr>
            <w:r>
              <w:rPr>
                <w:b w:val="false"/>
                <w:bCs w:val="false"/>
                <w:color w:val="202020"/>
                <w:sz w:val="19"/>
                <w:szCs w:val="19"/>
              </w:rPr>
              <w:t xml:space="preserve">Program, Number of ratings, Price, COURSE CATEGORIES</w:t>
            </w:r>
          </w:p>
        </w:tc>
      </w:tr>
    </w:tbl>
    <w:p>
      <w:pPr>
        <w:spacing w:after="240"/>
        <w:jc w:val="center"/>
      </w:pPr>
      <w:r>
        <w:rPr>
          <w:i/>
          <w:iCs/>
          <w:color w:val="595959"/>
          <w:sz w:val="18"/>
          <w:szCs w:val="18"/>
        </w:rPr>
        <w:t xml:space="preserve">Table 3.1 — Platform-specific schema fragments within the unioned dataset</w:t>
      </w:r>
    </w:p>
    <w:p>
      <w:pPr>
        <w:spacing w:after="160" w:line="300"/>
      </w:pPr>
      <w:r>
        <w:rPr>
          <w:color w:val="202020"/>
          <w:sz w:val="21"/>
          <w:szCs w:val="21"/>
        </w:rPr>
        <w:t xml:space="preserve">Practical implication: any analysis of ratings, skills, categories or viewership is effectively a Coursera-only analysis, since those fields simply do not exist for the other three platforms. This scoping decision is made explicit throughout the rest of this report and in the Power BI model.</w:t>
      </w:r>
    </w:p>
    <w:p>
      <w:pPr>
        <w:pStyle w:val="Heading1"/>
        <w:spacing w:after="160" w:before="360"/>
      </w:pPr>
      <w:r>
        <w:rPr>
          <w:b/>
          <w:bCs/>
          <w:color w:val="1E2761"/>
          <w:sz w:val="30"/>
          <w:szCs w:val="30"/>
        </w:rPr>
        <w:t xml:space="preserve">4. Data Cleaning &amp; Quality Assessment</w:t>
      </w:r>
    </w:p>
    <w:p>
      <w:pPr>
        <w:pStyle w:val="Heading2"/>
        <w:spacing w:after="120" w:before="280"/>
      </w:pPr>
      <w:r>
        <w:rPr>
          <w:b/>
          <w:bCs/>
          <w:color w:val="1E2761"/>
          <w:sz w:val="24"/>
          <w:szCs w:val="24"/>
        </w:rPr>
        <w:t xml:space="preserve">4.1 Missing Values</w:t>
      </w:r>
    </w:p>
    <w:p>
      <w:pPr>
        <w:spacing w:after="80"/>
        <w:jc w:val="center"/>
      </w:pPr>
      <w:r>
        <w:drawing>
          <wp:inline distT="0" distB="0" distL="0" distR="0">
            <wp:extent cx="5524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943350"/>
                    </a:xfrm>
                    <a:prstGeom prst="rect">
                      <a:avLst/>
                    </a:prstGeom>
                  </pic:spPr>
                </pic:pic>
              </a:graphicData>
            </a:graphic>
          </wp:inline>
        </w:drawing>
      </w:r>
    </w:p>
    <w:p>
      <w:pPr>
        <w:spacing w:after="240"/>
        <w:jc w:val="center"/>
      </w:pPr>
      <w:r>
        <w:rPr>
          <w:i/>
          <w:iCs/>
          <w:color w:val="595959"/>
          <w:sz w:val="18"/>
          <w:szCs w:val="18"/>
        </w:rPr>
        <w:t xml:space="preserve">Figure 4.1 — Top 15 columns ranked by missing value percentage</w:t>
      </w:r>
    </w:p>
    <w:p>
      <w:pPr>
        <w:spacing w:after="160" w:line="300"/>
      </w:pPr>
      <w:r>
        <w:rPr>
          <w:color w:val="202020"/>
          <w:sz w:val="21"/>
          <w:szCs w:val="21"/>
        </w:rPr>
        <w:t xml:space="preserve">31 of 45 columns are missing in more than 90% of rows. As established in Section 3, this is structural (schema-fragment) missingness rather than random data-quality loss, and should not be imputed as if it were — a Udacity-only field like 'School' has no valid value for a Coursera row, and filling it in would fabricate data.</w:t>
      </w:r>
    </w:p>
    <w:p>
      <w:pPr>
        <w:pStyle w:val="Heading2"/>
        <w:spacing w:after="120" w:before="280"/>
      </w:pPr>
      <w:r>
        <w:rPr>
          <w:b/>
          <w:bCs/>
          <w:color w:val="1E2761"/>
          <w:sz w:val="24"/>
          <w:szCs w:val="24"/>
        </w:rPr>
        <w:t xml:space="preserve">4.2 Data Type &amp; Formatting Issues Found</w:t>
      </w:r>
    </w:p>
    <w:p>
      <w:pPr>
        <w:pStyle w:val="ListParagraph"/>
        <w:numPr>
          <w:ilvl w:val="0"/>
          <w:numId w:val="2"/>
        </w:numPr>
        <w:spacing w:after="90" w:line="290"/>
      </w:pPr>
      <w:r>
        <w:rPr>
          <w:color w:val="202020"/>
          <w:sz w:val="21"/>
          <w:szCs w:val="21"/>
        </w:rPr>
        <w:t xml:space="preserve">Rating is stored as text with an inconsistent suffix, e.g. "4.9stars", with a handful of rows missing the suffix entirely — requires regex extraction before numeric analysis.</w:t>
      </w:r>
    </w:p>
    <w:p>
      <w:pPr>
        <w:pStyle w:val="ListParagraph"/>
        <w:numPr>
          <w:ilvl w:val="0"/>
          <w:numId w:val="2"/>
        </w:numPr>
        <w:spacing w:after="90" w:line="290"/>
      </w:pPr>
      <w:r>
        <w:rPr>
          <w:color w:val="202020"/>
          <w:sz w:val="21"/>
          <w:szCs w:val="21"/>
        </w:rPr>
        <w:t xml:space="preserve">Number of viewers mixes plain counts ("10,438") with review-style strings ("108,885 reviews") in the same column — requires pattern-based numeric extraction.</w:t>
      </w:r>
    </w:p>
    <w:p>
      <w:pPr>
        <w:pStyle w:val="ListParagraph"/>
        <w:numPr>
          <w:ilvl w:val="0"/>
          <w:numId w:val="2"/>
        </w:numPr>
        <w:spacing w:after="90" w:line="290"/>
      </w:pPr>
      <w:r>
        <w:rPr>
          <w:color w:val="202020"/>
          <w:sz w:val="21"/>
          <w:szCs w:val="21"/>
        </w:rPr>
        <w:t xml:space="preserve">Duration format differs by platform: Coursera uses "Approx. N hours/months to complete"; Future Learn expresses weekly study load instead (Weekly study column); Udacity and Simplilearn use their own free text — a unified 'Duration in hours' measure has to branch by platform.</w:t>
      </w:r>
    </w:p>
    <w:p>
      <w:pPr>
        <w:pStyle w:val="ListParagraph"/>
        <w:numPr>
          <w:ilvl w:val="0"/>
          <w:numId w:val="2"/>
        </w:numPr>
        <w:spacing w:after="90" w:line="290"/>
      </w:pPr>
      <w:r>
        <w:rPr>
          <w:color w:val="202020"/>
          <w:sz w:val="21"/>
          <w:szCs w:val="21"/>
        </w:rPr>
        <w:t xml:space="preserve">Instructors is a single comma-separated string that interleaves person names with credentials and organizations (e.g., 'PhD', 'MBA', 'Google Cloud Training' all appear as top values after a naive split) — needs a cleaning pass before being used as a true entity dimension.</w:t>
      </w:r>
    </w:p>
    <w:p>
      <w:pPr>
        <w:pStyle w:val="ListParagraph"/>
        <w:numPr>
          <w:ilvl w:val="0"/>
          <w:numId w:val="2"/>
        </w:numPr>
        <w:spacing w:after="90" w:line="290"/>
      </w:pPr>
      <w:r>
        <w:rPr>
          <w:color w:val="202020"/>
          <w:sz w:val="21"/>
          <w:szCs w:val="21"/>
        </w:rPr>
        <w:t xml:space="preserve">Title duplication: 3,184 rows share a title with at least one other row (mostly Coursera courses re-listed under multiple specializations), and 2,819 rows share a URL — both should be de-duplicated or explicitly modeled as many-to-many before counting unique courses.</w:t>
      </w:r>
    </w:p>
    <w:p>
      <w:pPr>
        <w:pStyle w:val="ListParagraph"/>
        <w:numPr>
          <w:ilvl w:val="0"/>
          <w:numId w:val="2"/>
        </w:numPr>
        <w:spacing w:after="90" w:line="290"/>
      </w:pPr>
      <w:r>
        <w:rPr>
          <w:color w:val="202020"/>
          <w:sz w:val="21"/>
          <w:szCs w:val="21"/>
        </w:rPr>
        <w:t xml:space="preserve">Price is numeric but populated for only 65 of 8,092 rows (Simplilearn only) — not viable as a general feature without heavy scope reduction.</w:t>
      </w:r>
    </w:p>
    <w:p>
      <w:pPr>
        <w:pStyle w:val="Heading2"/>
        <w:spacing w:after="120" w:before="280"/>
      </w:pPr>
      <w:r>
        <w:rPr>
          <w:b/>
          <w:bCs/>
          <w:color w:val="1E2761"/>
          <w:sz w:val="24"/>
          <w:szCs w:val="24"/>
        </w:rPr>
        <w:t xml:space="preserve">4.3 Cleaning Steps Applied</w:t>
      </w:r>
    </w:p>
    <w:p>
      <w:pPr>
        <w:pStyle w:val="ListParagraph"/>
        <w:numPr>
          <w:ilvl w:val="0"/>
          <w:numId w:val="2"/>
        </w:numPr>
        <w:spacing w:after="90" w:line="290"/>
      </w:pPr>
      <w:r>
        <w:rPr>
          <w:color w:val="202020"/>
          <w:sz w:val="21"/>
          <w:szCs w:val="21"/>
        </w:rPr>
        <w:t xml:space="preserve">Split the raw file conceptually into platform-scoped subsets so each analysis only draws on fields that genuinely exist for that platform.</w:t>
      </w:r>
    </w:p>
    <w:p>
      <w:pPr>
        <w:pStyle w:val="ListParagraph"/>
        <w:numPr>
          <w:ilvl w:val="0"/>
          <w:numId w:val="2"/>
        </w:numPr>
        <w:spacing w:after="90" w:line="290"/>
      </w:pPr>
      <w:r>
        <w:rPr>
          <w:color w:val="202020"/>
          <w:sz w:val="21"/>
          <w:szCs w:val="21"/>
        </w:rPr>
        <w:t xml:space="preserve">Parsed Rating into a numeric 0–5 field by stripping the 'stars' suffix and coercing to float.</w:t>
      </w:r>
    </w:p>
    <w:p>
      <w:pPr>
        <w:pStyle w:val="ListParagraph"/>
        <w:numPr>
          <w:ilvl w:val="0"/>
          <w:numId w:val="2"/>
        </w:numPr>
        <w:spacing w:after="90" w:line="290"/>
      </w:pPr>
      <w:r>
        <w:rPr>
          <w:color w:val="202020"/>
          <w:sz w:val="21"/>
          <w:szCs w:val="21"/>
        </w:rPr>
        <w:t xml:space="preserve">Parsed Number of viewers into a numeric field using regex extraction of the leading digit/comma sequence.</w:t>
      </w:r>
    </w:p>
    <w:p>
      <w:pPr>
        <w:pStyle w:val="ListParagraph"/>
        <w:numPr>
          <w:ilvl w:val="0"/>
          <w:numId w:val="2"/>
        </w:numPr>
        <w:spacing w:after="90" w:line="290"/>
      </w:pPr>
      <w:r>
        <w:rPr>
          <w:color w:val="202020"/>
          <w:sz w:val="21"/>
          <w:szCs w:val="21"/>
        </w:rPr>
        <w:t xml:space="preserve">Built a platform-aware Duration in hours calculated column in Power Query (Coursera 'hours'/'months' converted; Future Learn's Weekly study used as a proxy).</w:t>
      </w:r>
    </w:p>
    <w:p>
      <w:pPr>
        <w:pStyle w:val="ListParagraph"/>
        <w:numPr>
          <w:ilvl w:val="0"/>
          <w:numId w:val="2"/>
        </w:numPr>
        <w:spacing w:after="90" w:line="290"/>
      </w:pPr>
      <w:r>
        <w:rPr>
          <w:color w:val="202020"/>
          <w:sz w:val="21"/>
          <w:szCs w:val="21"/>
        </w:rPr>
        <w:t xml:space="preserve">Exploded Skills and Instructors into one-row-per-value structures for frequency analysis, then re-aggregated for the dashboard's word cloud and instructor visuals.</w:t>
      </w:r>
    </w:p>
    <w:p>
      <w:pPr>
        <w:pStyle w:val="ListParagraph"/>
        <w:numPr>
          <w:ilvl w:val="0"/>
          <w:numId w:val="2"/>
        </w:numPr>
        <w:spacing w:after="90" w:line="290"/>
      </w:pPr>
      <w:r>
        <w:rPr>
          <w:color w:val="202020"/>
          <w:sz w:val="21"/>
          <w:szCs w:val="21"/>
        </w:rPr>
        <w:t xml:space="preserve">Retained duplicate titles as valid rows (each represents a distinct specialization/listing) but flagged the duplication rate in this report so it is not misread as unique-course volume.</w:t>
      </w:r>
    </w:p>
    <w:p>
      <w:pPr>
        <w:pStyle w:val="Heading1"/>
        <w:spacing w:after="160" w:before="360"/>
      </w:pPr>
      <w:r>
        <w:rPr>
          <w:b/>
          <w:bCs/>
          <w:color w:val="1E2761"/>
          <w:sz w:val="30"/>
          <w:szCs w:val="30"/>
        </w:rPr>
        <w:t xml:space="preserve">5. Exploratory Data Analysis</w:t>
      </w:r>
    </w:p>
    <w:p>
      <w:pPr>
        <w:pStyle w:val="Heading2"/>
        <w:spacing w:after="120" w:before="280"/>
      </w:pPr>
      <w:r>
        <w:rPr>
          <w:b/>
          <w:bCs/>
          <w:color w:val="1E2761"/>
          <w:sz w:val="24"/>
          <w:szCs w:val="24"/>
        </w:rPr>
        <w:t xml:space="preserve">5.1 Course Type Mix (Coursera)</w:t>
      </w:r>
    </w:p>
    <w:p>
      <w:pPr>
        <w:spacing w:after="80"/>
        <w:jc w:val="center"/>
      </w:pPr>
      <w:r>
        <w:drawing>
          <wp:inline distT="0" distB="0" distL="0" distR="0">
            <wp:extent cx="4000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638550"/>
                    </a:xfrm>
                    <a:prstGeom prst="rect">
                      <a:avLst/>
                    </a:prstGeom>
                  </pic:spPr>
                </pic:pic>
              </a:graphicData>
            </a:graphic>
          </wp:inline>
        </w:drawing>
      </w:r>
    </w:p>
    <w:p>
      <w:pPr>
        <w:spacing w:after="240"/>
        <w:jc w:val="center"/>
      </w:pPr>
      <w:r>
        <w:rPr>
          <w:i/>
          <w:iCs/>
          <w:color w:val="595959"/>
          <w:sz w:val="18"/>
          <w:szCs w:val="18"/>
        </w:rPr>
        <w:t xml:space="preserve">Figure 5.1 — Coursera course type split</w:t>
      </w:r>
    </w:p>
    <w:p>
      <w:pPr>
        <w:spacing w:after="160" w:line="300"/>
      </w:pPr>
      <w:r>
        <w:rPr>
          <w:color w:val="202020"/>
          <w:sz w:val="21"/>
          <w:szCs w:val="21"/>
        </w:rPr>
        <w:t xml:space="preserve">Standalone Courses make up the large majority of Coursera's catalog (2,307 of 2,819 rows), with Specializations (414), Professional Certificates (81) and Projects (17) filling out the rest.</w:t>
      </w:r>
    </w:p>
    <w:p>
      <w:pPr>
        <w:pStyle w:val="Heading2"/>
        <w:spacing w:after="120" w:before="280"/>
      </w:pPr>
      <w:r>
        <w:rPr>
          <w:b/>
          <w:bCs/>
          <w:color w:val="1E2761"/>
          <w:sz w:val="24"/>
          <w:szCs w:val="24"/>
        </w:rPr>
        <w:t xml:space="preserve">5.2 Category Distribution (Coursera)</w:t>
      </w:r>
    </w:p>
    <w:p>
      <w:pPr>
        <w:spacing w:after="80"/>
        <w:jc w:val="center"/>
      </w:pPr>
      <w:r>
        <w:drawing>
          <wp:inline distT="0" distB="0" distL="0" distR="0">
            <wp:extent cx="5524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i/>
          <w:iCs/>
          <w:color w:val="595959"/>
          <w:sz w:val="18"/>
          <w:szCs w:val="18"/>
        </w:rPr>
        <w:t xml:space="preserve">Figure 5.2 — Coursera courses by top-level category</w:t>
      </w:r>
    </w:p>
    <w:p>
      <w:pPr>
        <w:spacing w:after="160" w:line="300"/>
      </w:pPr>
      <w:r>
        <w:rPr>
          <w:color w:val="202020"/>
          <w:sz w:val="21"/>
          <w:szCs w:val="21"/>
        </w:rPr>
        <w:t xml:space="preserve">Business (895 courses) and Computer Science (455) lead the catalog, followed closely by Data Science (448). Health (264) and Information Technology (221) round out the top five, showing a catalog weighted heavily toward professional/technical upskilling rather than purely academic subjects.</w:t>
      </w:r>
    </w:p>
    <w:p>
      <w:pPr>
        <w:pStyle w:val="Heading2"/>
        <w:spacing w:after="120" w:before="280"/>
      </w:pPr>
      <w:r>
        <w:rPr>
          <w:b/>
          <w:bCs/>
          <w:color w:val="1E2761"/>
          <w:sz w:val="24"/>
          <w:szCs w:val="24"/>
        </w:rPr>
        <w:t xml:space="preserve">5.3 Rating Distribution (Coursera)</w:t>
      </w:r>
    </w:p>
    <w:p>
      <w:pPr>
        <w:spacing w:after="80"/>
        <w:jc w:val="center"/>
      </w:pPr>
      <w:r>
        <w:drawing>
          <wp:inline distT="0" distB="0" distL="0" distR="0">
            <wp:extent cx="5524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i/>
          <w:iCs/>
          <w:color w:val="595959"/>
          <w:sz w:val="18"/>
          <w:szCs w:val="18"/>
        </w:rPr>
        <w:t xml:space="preserve">Figure 5.3 — Distribution of course ratings, 3.1–5.0 scale</w:t>
      </w:r>
    </w:p>
    <w:p>
      <w:pPr>
        <w:spacing w:after="160" w:line="300"/>
      </w:pPr>
      <w:r>
        <w:rPr>
          <w:color w:val="202020"/>
          <w:sz w:val="21"/>
          <w:szCs w:val="21"/>
        </w:rPr>
        <w:t xml:space="preserve">Mean rating is 4.66 (median 4.7, std. dev. 0.19) across 2,695 rated courses. Ratings are heavily left-skewed and tightly clustered between 4.5 and 4.9 — very few courses fall below 4.0. This ceiling effect means rating is a poor differentiator of course quality on this platform; most published courses are rated similarly well.</w:t>
      </w:r>
    </w:p>
    <w:p>
      <w:pPr>
        <w:pStyle w:val="Heading2"/>
        <w:spacing w:after="120" w:before="280"/>
      </w:pPr>
      <w:r>
        <w:rPr>
          <w:b/>
          <w:bCs/>
          <w:color w:val="1E2761"/>
          <w:sz w:val="24"/>
          <w:szCs w:val="24"/>
        </w:rPr>
        <w:t xml:space="preserve">5.4 Skills Analysis (Coursera)</w:t>
      </w:r>
    </w:p>
    <w:p>
      <w:pPr>
        <w:spacing w:after="80"/>
        <w:jc w:val="center"/>
      </w:pPr>
      <w:r>
        <w:drawing>
          <wp:inline distT="0" distB="0" distL="0" distR="0">
            <wp:extent cx="5524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943350"/>
                    </a:xfrm>
                    <a:prstGeom prst="rect">
                      <a:avLst/>
                    </a:prstGeom>
                  </pic:spPr>
                </pic:pic>
              </a:graphicData>
            </a:graphic>
          </wp:inline>
        </w:drawing>
      </w:r>
    </w:p>
    <w:p>
      <w:pPr>
        <w:spacing w:after="240"/>
        <w:jc w:val="center"/>
      </w:pPr>
      <w:r>
        <w:rPr>
          <w:i/>
          <w:iCs/>
          <w:color w:val="595959"/>
          <w:sz w:val="18"/>
          <w:szCs w:val="18"/>
        </w:rPr>
        <w:t xml:space="preserve">Figure 5.4 — Twelve most frequently taught skills</w:t>
      </w:r>
    </w:p>
    <w:p>
      <w:pPr>
        <w:spacing w:after="160" w:line="300"/>
      </w:pPr>
      <w:r>
        <w:rPr>
          <w:color w:val="202020"/>
          <w:sz w:val="21"/>
          <w:szCs w:val="21"/>
        </w:rPr>
        <w:t xml:space="preserve">Across 3,293 distinct skill tags, Data Analysis, Python Programming and Machine Learning are the three most common, reflecting the catalog's data/tech tilt already seen in the category breakdown. Communication and Leadership also rank highly, showing a meaningful business/soft-skills presence alongside the technical content.</w:t>
      </w:r>
    </w:p>
    <w:p>
      <w:pPr>
        <w:pStyle w:val="Heading2"/>
        <w:spacing w:after="120" w:before="280"/>
      </w:pPr>
      <w:r>
        <w:rPr>
          <w:b/>
          <w:bCs/>
          <w:color w:val="1E2761"/>
          <w:sz w:val="24"/>
          <w:szCs w:val="24"/>
        </w:rPr>
        <w:t xml:space="preserve">5.5 Rating vs. Viewership — Bivariate Analysis</w:t>
      </w:r>
    </w:p>
    <w:p>
      <w:pPr>
        <w:spacing w:after="160" w:line="300"/>
      </w:pPr>
      <w:r>
        <w:rPr>
          <w:color w:val="202020"/>
          <w:sz w:val="21"/>
          <w:szCs w:val="21"/>
        </w:rPr>
        <w:t xml:space="preserve">Pearson correlation between numeric Rating and numeric Number of viewers (Coursera, n = 2,695): r ≈ 0.11 — a very weak positive relationship.</w:t>
      </w:r>
    </w:p>
    <w:p>
      <w:pPr>
        <w:spacing w:after="160" w:line="300"/>
      </w:pPr>
      <w:r>
        <w:rPr>
          <w:color w:val="202020"/>
          <w:sz w:val="21"/>
          <w:szCs w:val="21"/>
        </w:rPr>
        <w:t xml:space="preserve">Interpretation: highly-viewed courses are not meaningfully more (or less) likely to be highly rated. Viewership appears to be driven more by course topic, instructor brand, and marketing placement (e.g. Andrew Ng's Machine Learning Specialization at 220,747 viewers) than by the rating itself. This is an important caveat for the dashboard: viewer-count and rating should be read as two independent success signals, not a single combined 'quality' metric.</w:t>
      </w:r>
    </w:p>
    <w:p>
      <w:pPr>
        <w:pStyle w:val="Heading2"/>
        <w:spacing w:after="120" w:before="280"/>
      </w:pPr>
      <w:r>
        <w:rPr>
          <w:b/>
          <w:bCs/>
          <w:color w:val="1E2761"/>
          <w:sz w:val="24"/>
          <w:szCs w:val="24"/>
        </w:rPr>
        <w:t xml:space="preserve">5.6 Other Platform Snapshots</w:t>
      </w:r>
    </w:p>
    <w:p>
      <w:pPr>
        <w:pStyle w:val="Heading3"/>
        <w:spacing w:after="100" w:before="200"/>
      </w:pPr>
      <w:r>
        <w:rPr>
          <w:b/>
          <w:bCs/>
          <w:color w:val="F96167"/>
          <w:sz w:val="21"/>
          <w:szCs w:val="21"/>
        </w:rPr>
        <w:t xml:space="preserve">Future Learn — Weekly Study Load</w:t>
      </w:r>
    </w:p>
    <w:p>
      <w:pPr>
        <w:spacing w:after="160" w:line="300"/>
      </w:pPr>
      <w:r>
        <w:rPr>
          <w:color w:val="202020"/>
          <w:sz w:val="21"/>
          <w:szCs w:val="21"/>
        </w:rPr>
        <w:t xml:space="preserve">Weekly study time clusters around 3 hours/week (1,786 courses), 4 hours/week (1,139) and 2 hours/week (1,055) — i.e., most Future Learn courses are designed as light, part-time commitments rather than intensive tracks.</w:t>
      </w:r>
    </w:p>
    <w:p>
      <w:pPr>
        <w:pStyle w:val="Heading3"/>
        <w:spacing w:after="100" w:before="200"/>
      </w:pPr>
      <w:r>
        <w:rPr>
          <w:b/>
          <w:bCs/>
          <w:color w:val="F96167"/>
          <w:sz w:val="21"/>
          <w:szCs w:val="21"/>
        </w:rPr>
        <w:t xml:space="preserve">Udacity — Level &amp; School</w:t>
      </w:r>
    </w:p>
    <w:p>
      <w:pPr>
        <w:spacing w:after="160" w:line="300"/>
      </w:pPr>
      <w:r>
        <w:rPr>
          <w:color w:val="202020"/>
          <w:sz w:val="21"/>
          <w:szCs w:val="21"/>
        </w:rPr>
        <w:t xml:space="preserve">Of 181 Udacity rows with a stated level, Intermediate (111) is most common, ahead of Beginner (43) and Advanced (27). By school/domain, Programming &amp; Development (140) and Artificial Intelligence (45) are the two largest program areas.</w:t>
      </w:r>
    </w:p>
    <w:p>
      <w:pPr>
        <w:pStyle w:val="Heading3"/>
        <w:spacing w:after="100" w:before="200"/>
      </w:pPr>
      <w:r>
        <w:rPr>
          <w:b/>
          <w:bCs/>
          <w:color w:val="F96167"/>
          <w:sz w:val="21"/>
          <w:szCs w:val="21"/>
        </w:rPr>
        <w:t xml:space="preserve">Simplilearn — Categories &amp; Price</w:t>
      </w:r>
    </w:p>
    <w:p>
      <w:pPr>
        <w:spacing w:after="160" w:line="300"/>
      </w:pPr>
      <w:r>
        <w:rPr>
          <w:color w:val="202020"/>
          <w:sz w:val="21"/>
          <w:szCs w:val="21"/>
        </w:rPr>
        <w:t xml:space="preserve">Simplilearn's 148 listings concentrate in Business &amp; Leadership, Software Development and Agile &amp; Scrum (18, 18 and 16 courses respectively). Where price is available (65 rows), it ranges from 129 to 4,600, with a median around 855 — consistent with certification-style paid programs rather than free MOOCs.</w:t>
      </w:r>
    </w:p>
    <w:p>
      <w:pPr>
        <w:pStyle w:val="Heading1"/>
        <w:spacing w:after="160" w:before="360"/>
      </w:pPr>
      <w:r>
        <w:rPr>
          <w:b/>
          <w:bCs/>
          <w:color w:val="1E2761"/>
          <w:sz w:val="30"/>
          <w:szCs w:val="30"/>
        </w:rPr>
        <w:t xml:space="preserve">6. Power BI Dashboard Design</w:t>
      </w:r>
    </w:p>
    <w:p>
      <w:pPr>
        <w:spacing w:after="160" w:line="300"/>
      </w:pPr>
      <w:r>
        <w:rPr>
          <w:color w:val="202020"/>
          <w:sz w:val="21"/>
          <w:szCs w:val="21"/>
        </w:rPr>
        <w:t xml:space="preserve">The cleaned and shaped data feeds a single Power BI report page, "Online Course Analysis", built from two model tables:</w:t>
      </w:r>
    </w:p>
    <w:p>
      <w:pPr>
        <w:pStyle w:val="ListParagraph"/>
        <w:numPr>
          <w:ilvl w:val="0"/>
          <w:numId w:val="2"/>
        </w:numPr>
        <w:spacing w:after="90" w:line="290"/>
      </w:pPr>
      <w:r>
        <w:rPr>
          <w:color w:val="202020"/>
          <w:sz w:val="21"/>
          <w:szCs w:val="21"/>
        </w:rPr>
        <w:t xml:space="preserve">Online_Courses — the primary fact table (cleaned/shaped version of the CSV)</w:t>
      </w:r>
    </w:p>
    <w:p>
      <w:pPr>
        <w:pStyle w:val="ListParagraph"/>
        <w:numPr>
          <w:ilvl w:val="0"/>
          <w:numId w:val="2"/>
        </w:numPr>
        <w:spacing w:after="90" w:line="290"/>
      </w:pPr>
      <w:r>
        <w:rPr>
          <w:color w:val="202020"/>
          <w:sz w:val="21"/>
          <w:szCs w:val="21"/>
        </w:rPr>
        <w:t xml:space="preserve">Teachers — an instructor-level table derived from the exploded Instructors field</w:t>
      </w:r>
    </w:p>
    <w:p>
      <w:pPr>
        <w:pStyle w:val="Heading2"/>
        <w:spacing w:after="120" w:before="280"/>
      </w:pPr>
      <w:r>
        <w:rPr>
          <w:b/>
          <w:bCs/>
          <w:color w:val="1E2761"/>
          <w:sz w:val="24"/>
          <w:szCs w:val="24"/>
        </w:rPr>
        <w:t xml:space="preserve">6.1 Calculated Fields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500"/>
      </w:tblGrid>
      <w:tr>
        <w:trPr>
          <w:tblHeader/>
        </w:trPr>
        <w:tc>
          <w:tcPr>
            <w:tcW w:type="dxa" w:w="3200"/>
            <w:shd w:fill="1E2761" w:val="clear"/>
            <w:tcMar>
              <w:top w:type="dxa" w:w="80"/>
              <w:left w:type="dxa" w:w="120"/>
              <w:bottom w:type="dxa" w:w="80"/>
              <w:right w:type="dxa" w:w="120"/>
            </w:tcMar>
          </w:tcPr>
          <w:p>
            <w:pPr>
              <w:jc w:val="left"/>
            </w:pPr>
            <w:r>
              <w:rPr>
                <w:b/>
                <w:bCs/>
                <w:color w:val="FFFFFF"/>
                <w:sz w:val="19"/>
                <w:szCs w:val="19"/>
              </w:rPr>
              <w:t xml:space="preserve">Field</w:t>
            </w:r>
          </w:p>
        </w:tc>
        <w:tc>
          <w:tcPr>
            <w:tcW w:type="dxa" w:w="2800"/>
            <w:shd w:fill="1E2761" w:val="clear"/>
            <w:tcMar>
              <w:top w:type="dxa" w:w="80"/>
              <w:left w:type="dxa" w:w="120"/>
              <w:bottom w:type="dxa" w:w="80"/>
              <w:right w:type="dxa" w:w="120"/>
            </w:tcMar>
          </w:tcPr>
          <w:p>
            <w:pPr>
              <w:jc w:val="left"/>
            </w:pPr>
            <w:r>
              <w:rPr>
                <w:b/>
                <w:bCs/>
                <w:color w:val="FFFFFF"/>
                <w:sz w:val="19"/>
                <w:szCs w:val="19"/>
              </w:rPr>
              <w:t xml:space="preserve">Type</w:t>
            </w:r>
          </w:p>
        </w:tc>
        <w:tc>
          <w:tcPr>
            <w:tcW w:type="dxa" w:w="3500"/>
            <w:shd w:fill="1E2761" w:val="clear"/>
            <w:tcMar>
              <w:top w:type="dxa" w:w="80"/>
              <w:left w:type="dxa" w:w="120"/>
              <w:bottom w:type="dxa" w:w="80"/>
              <w:right w:type="dxa" w:w="120"/>
            </w:tcMar>
          </w:tcPr>
          <w:p>
            <w:pPr>
              <w:jc w:val="left"/>
            </w:pPr>
            <w:r>
              <w:rPr>
                <w:b/>
                <w:bCs/>
                <w:color w:val="FFFFFF"/>
                <w:sz w:val="19"/>
                <w:szCs w:val="19"/>
              </w:rPr>
              <w:t xml:space="preserve">Purpose</w:t>
            </w:r>
          </w:p>
        </w:tc>
      </w:tr>
      <w:tr>
        <w:tc>
          <w:tcPr>
            <w:tcW w:type="dxa" w:w="3200"/>
            <w:shd w:fill="F4F6FB" w:val="clear"/>
            <w:tcMar>
              <w:top w:type="dxa" w:w="80"/>
              <w:left w:type="dxa" w:w="120"/>
              <w:bottom w:type="dxa" w:w="80"/>
              <w:right w:type="dxa" w:w="120"/>
            </w:tcMar>
          </w:tcPr>
          <w:p>
            <w:pPr>
              <w:jc w:val="left"/>
            </w:pPr>
            <w:r>
              <w:rPr>
                <w:b w:val="false"/>
                <w:bCs w:val="false"/>
                <w:color w:val="202020"/>
                <w:sz w:val="19"/>
                <w:szCs w:val="19"/>
              </w:rPr>
              <w:t xml:space="preserve">course id</w:t>
            </w:r>
          </w:p>
        </w:tc>
        <w:tc>
          <w:tcPr>
            <w:tcW w:type="dxa" w:w="2800"/>
            <w:shd w:fill="F4F6FB" w:val="clear"/>
            <w:tcMar>
              <w:top w:type="dxa" w:w="80"/>
              <w:left w:type="dxa" w:w="120"/>
              <w:bottom w:type="dxa" w:w="80"/>
              <w:right w:type="dxa" w:w="120"/>
            </w:tcMar>
          </w:tcPr>
          <w:p>
            <w:pPr>
              <w:jc w:val="left"/>
            </w:pPr>
            <w:r>
              <w:rPr>
                <w:b w:val="false"/>
                <w:bCs w:val="false"/>
                <w:color w:val="202020"/>
                <w:sz w:val="19"/>
                <w:szCs w:val="19"/>
              </w:rPr>
              <w:t xml:space="preserve">Calculated column</w:t>
            </w:r>
          </w:p>
        </w:tc>
        <w:tc>
          <w:tcPr>
            <w:tcW w:type="dxa" w:w="3500"/>
            <w:shd w:fill="F4F6FB" w:val="clear"/>
            <w:tcMar>
              <w:top w:type="dxa" w:w="80"/>
              <w:left w:type="dxa" w:w="120"/>
              <w:bottom w:type="dxa" w:w="80"/>
              <w:right w:type="dxa" w:w="120"/>
            </w:tcMar>
          </w:tcPr>
          <w:p>
            <w:pPr>
              <w:jc w:val="left"/>
            </w:pPr>
            <w:r>
              <w:rPr>
                <w:b w:val="false"/>
                <w:bCs w:val="false"/>
                <w:color w:val="202020"/>
                <w:sz w:val="19"/>
                <w:szCs w:val="19"/>
              </w:rPr>
              <w:t xml:space="preserve">Surrogate key for counting/aggregating course rows</w:t>
            </w:r>
          </w:p>
        </w:tc>
      </w:tr>
      <w:tr>
        <w:tc>
          <w:tcPr>
            <w:tcW w:type="dxa" w:w="3200"/>
            <w:shd w:fill="FFFFFF" w:val="clear"/>
            <w:tcMar>
              <w:top w:type="dxa" w:w="80"/>
              <w:left w:type="dxa" w:w="120"/>
              <w:bottom w:type="dxa" w:w="80"/>
              <w:right w:type="dxa" w:w="120"/>
            </w:tcMar>
          </w:tcPr>
          <w:p>
            <w:pPr>
              <w:jc w:val="left"/>
            </w:pPr>
            <w:r>
              <w:rPr>
                <w:b w:val="false"/>
                <w:bCs w:val="false"/>
                <w:color w:val="202020"/>
                <w:sz w:val="19"/>
                <w:szCs w:val="19"/>
              </w:rPr>
              <w:t xml:space="preserve">Duration in hours</w:t>
            </w:r>
          </w:p>
        </w:tc>
        <w:tc>
          <w:tcPr>
            <w:tcW w:type="dxa" w:w="2800"/>
            <w:shd w:fill="FFFFFF" w:val="clear"/>
            <w:tcMar>
              <w:top w:type="dxa" w:w="80"/>
              <w:left w:type="dxa" w:w="120"/>
              <w:bottom w:type="dxa" w:w="80"/>
              <w:right w:type="dxa" w:w="120"/>
            </w:tcMar>
          </w:tcPr>
          <w:p>
            <w:pPr>
              <w:jc w:val="left"/>
            </w:pPr>
            <w:r>
              <w:rPr>
                <w:b w:val="false"/>
                <w:bCs w:val="false"/>
                <w:color w:val="202020"/>
                <w:sz w:val="19"/>
                <w:szCs w:val="19"/>
              </w:rPr>
              <w:t xml:space="preserve">Calculated column</w:t>
            </w:r>
          </w:p>
        </w:tc>
        <w:tc>
          <w:tcPr>
            <w:tcW w:type="dxa" w:w="3500"/>
            <w:shd w:fill="FFFFFF" w:val="clear"/>
            <w:tcMar>
              <w:top w:type="dxa" w:w="80"/>
              <w:left w:type="dxa" w:w="120"/>
              <w:bottom w:type="dxa" w:w="80"/>
              <w:right w:type="dxa" w:w="120"/>
            </w:tcMar>
          </w:tcPr>
          <w:p>
            <w:pPr>
              <w:jc w:val="left"/>
            </w:pPr>
            <w:r>
              <w:rPr>
                <w:b w:val="false"/>
                <w:bCs w:val="false"/>
                <w:color w:val="202020"/>
                <w:sz w:val="19"/>
                <w:szCs w:val="19"/>
              </w:rPr>
              <w:t xml:space="preserve">Normalizes free-text durations into a comparable numeric value</w:t>
            </w:r>
          </w:p>
        </w:tc>
      </w:tr>
      <w:tr>
        <w:tc>
          <w:tcPr>
            <w:tcW w:type="dxa" w:w="3200"/>
            <w:shd w:fill="F4F6FB" w:val="clear"/>
            <w:tcMar>
              <w:top w:type="dxa" w:w="80"/>
              <w:left w:type="dxa" w:w="120"/>
              <w:bottom w:type="dxa" w:w="80"/>
              <w:right w:type="dxa" w:w="120"/>
            </w:tcMar>
          </w:tcPr>
          <w:p>
            <w:pPr>
              <w:jc w:val="left"/>
            </w:pPr>
            <w:r>
              <w:rPr>
                <w:b w:val="false"/>
                <w:bCs w:val="false"/>
                <w:color w:val="202020"/>
                <w:sz w:val="19"/>
                <w:szCs w:val="19"/>
              </w:rPr>
              <w:t xml:space="preserve">Subtitle_lang_count</w:t>
            </w:r>
          </w:p>
        </w:tc>
        <w:tc>
          <w:tcPr>
            <w:tcW w:type="dxa" w:w="2800"/>
            <w:shd w:fill="F4F6FB" w:val="clear"/>
            <w:tcMar>
              <w:top w:type="dxa" w:w="80"/>
              <w:left w:type="dxa" w:w="120"/>
              <w:bottom w:type="dxa" w:w="80"/>
              <w:right w:type="dxa" w:w="120"/>
            </w:tcMar>
          </w:tcPr>
          <w:p>
            <w:pPr>
              <w:jc w:val="left"/>
            </w:pPr>
            <w:r>
              <w:rPr>
                <w:b w:val="false"/>
                <w:bCs w:val="false"/>
                <w:color w:val="202020"/>
                <w:sz w:val="19"/>
                <w:szCs w:val="19"/>
              </w:rPr>
              <w:t xml:space="preserve">Calculated column</w:t>
            </w:r>
          </w:p>
        </w:tc>
        <w:tc>
          <w:tcPr>
            <w:tcW w:type="dxa" w:w="3500"/>
            <w:shd w:fill="F4F6FB" w:val="clear"/>
            <w:tcMar>
              <w:top w:type="dxa" w:w="80"/>
              <w:left w:type="dxa" w:w="120"/>
              <w:bottom w:type="dxa" w:w="80"/>
              <w:right w:type="dxa" w:w="120"/>
            </w:tcMar>
          </w:tcPr>
          <w:p>
            <w:pPr>
              <w:jc w:val="left"/>
            </w:pPr>
            <w:r>
              <w:rPr>
                <w:b w:val="false"/>
                <w:bCs w:val="false"/>
                <w:color w:val="202020"/>
                <w:sz w:val="19"/>
                <w:szCs w:val="19"/>
              </w:rPr>
              <w:t xml:space="preserve">Number of subtitle languages offered per course</w:t>
            </w:r>
          </w:p>
        </w:tc>
      </w:tr>
      <w:tr>
        <w:tc>
          <w:tcPr>
            <w:tcW w:type="dxa" w:w="3200"/>
            <w:shd w:fill="FFFFFF" w:val="clear"/>
            <w:tcMar>
              <w:top w:type="dxa" w:w="80"/>
              <w:left w:type="dxa" w:w="120"/>
              <w:bottom w:type="dxa" w:w="80"/>
              <w:right w:type="dxa" w:w="120"/>
            </w:tcMar>
          </w:tcPr>
          <w:p>
            <w:pPr>
              <w:jc w:val="left"/>
            </w:pPr>
            <w:r>
              <w:rPr>
                <w:b w:val="false"/>
                <w:bCs w:val="false"/>
                <w:color w:val="202020"/>
                <w:sz w:val="19"/>
                <w:szCs w:val="19"/>
              </w:rPr>
              <w:t xml:space="preserve">Count of skills Provided</w:t>
            </w:r>
          </w:p>
        </w:tc>
        <w:tc>
          <w:tcPr>
            <w:tcW w:type="dxa" w:w="2800"/>
            <w:shd w:fill="FFFFFF" w:val="clear"/>
            <w:tcMar>
              <w:top w:type="dxa" w:w="80"/>
              <w:left w:type="dxa" w:w="120"/>
              <w:bottom w:type="dxa" w:w="80"/>
              <w:right w:type="dxa" w:w="120"/>
            </w:tcMar>
          </w:tcPr>
          <w:p>
            <w:pPr>
              <w:jc w:val="left"/>
            </w:pPr>
            <w:r>
              <w:rPr>
                <w:b w:val="false"/>
                <w:bCs w:val="false"/>
                <w:color w:val="202020"/>
                <w:sz w:val="19"/>
                <w:szCs w:val="19"/>
              </w:rPr>
              <w:t xml:space="preserve">Calculated column</w:t>
            </w:r>
          </w:p>
        </w:tc>
        <w:tc>
          <w:tcPr>
            <w:tcW w:type="dxa" w:w="3500"/>
            <w:shd w:fill="FFFFFF" w:val="clear"/>
            <w:tcMar>
              <w:top w:type="dxa" w:w="80"/>
              <w:left w:type="dxa" w:w="120"/>
              <w:bottom w:type="dxa" w:w="80"/>
              <w:right w:type="dxa" w:w="120"/>
            </w:tcMar>
          </w:tcPr>
          <w:p>
            <w:pPr>
              <w:jc w:val="left"/>
            </w:pPr>
            <w:r>
              <w:rPr>
                <w:b w:val="false"/>
                <w:bCs w:val="false"/>
                <w:color w:val="202020"/>
                <w:sz w:val="19"/>
                <w:szCs w:val="19"/>
              </w:rPr>
              <w:t xml:space="preserve">Number of skills listed per course</w:t>
            </w:r>
          </w:p>
        </w:tc>
      </w:tr>
      <w:tr>
        <w:tc>
          <w:tcPr>
            <w:tcW w:type="dxa" w:w="3200"/>
            <w:shd w:fill="F4F6FB" w:val="clear"/>
            <w:tcMar>
              <w:top w:type="dxa" w:w="80"/>
              <w:left w:type="dxa" w:w="120"/>
              <w:bottom w:type="dxa" w:w="80"/>
              <w:right w:type="dxa" w:w="120"/>
            </w:tcMar>
          </w:tcPr>
          <w:p>
            <w:pPr>
              <w:jc w:val="left"/>
            </w:pPr>
            <w:r>
              <w:rPr>
                <w:b w:val="false"/>
                <w:bCs w:val="false"/>
                <w:color w:val="202020"/>
                <w:sz w:val="19"/>
                <w:szCs w:val="19"/>
              </w:rPr>
              <w:t xml:space="preserve">Rank_category_by_avg_views</w:t>
            </w:r>
          </w:p>
        </w:tc>
        <w:tc>
          <w:tcPr>
            <w:tcW w:type="dxa" w:w="2800"/>
            <w:shd w:fill="F4F6FB" w:val="clear"/>
            <w:tcMar>
              <w:top w:type="dxa" w:w="80"/>
              <w:left w:type="dxa" w:w="120"/>
              <w:bottom w:type="dxa" w:w="80"/>
              <w:right w:type="dxa" w:w="120"/>
            </w:tcMar>
          </w:tcPr>
          <w:p>
            <w:pPr>
              <w:jc w:val="left"/>
            </w:pPr>
            <w:r>
              <w:rPr>
                <w:b w:val="false"/>
                <w:bCs w:val="false"/>
                <w:color w:val="202020"/>
                <w:sz w:val="19"/>
                <w:szCs w:val="19"/>
              </w:rPr>
              <w:t xml:space="preserve">Calculated column / measure</w:t>
            </w:r>
          </w:p>
        </w:tc>
        <w:tc>
          <w:tcPr>
            <w:tcW w:type="dxa" w:w="3500"/>
            <w:shd w:fill="F4F6FB" w:val="clear"/>
            <w:tcMar>
              <w:top w:type="dxa" w:w="80"/>
              <w:left w:type="dxa" w:w="120"/>
              <w:bottom w:type="dxa" w:w="80"/>
              <w:right w:type="dxa" w:w="120"/>
            </w:tcMar>
          </w:tcPr>
          <w:p>
            <w:pPr>
              <w:jc w:val="left"/>
            </w:pPr>
            <w:r>
              <w:rPr>
                <w:b w:val="false"/>
                <w:bCs w:val="false"/>
                <w:color w:val="202020"/>
                <w:sz w:val="19"/>
                <w:szCs w:val="19"/>
              </w:rPr>
              <w:t xml:space="preserve">Ranks each category by its average viewer count</w:t>
            </w:r>
          </w:p>
        </w:tc>
      </w:tr>
      <w:tr>
        <w:tc>
          <w:tcPr>
            <w:tcW w:type="dxa" w:w="3200"/>
            <w:shd w:fill="FFFFFF" w:val="clear"/>
            <w:tcMar>
              <w:top w:type="dxa" w:w="80"/>
              <w:left w:type="dxa" w:w="120"/>
              <w:bottom w:type="dxa" w:w="80"/>
              <w:right w:type="dxa" w:w="120"/>
            </w:tcMar>
          </w:tcPr>
          <w:p>
            <w:pPr>
              <w:jc w:val="left"/>
            </w:pPr>
            <w:r>
              <w:rPr>
                <w:b w:val="false"/>
                <w:bCs w:val="false"/>
                <w:color w:val="202020"/>
                <w:sz w:val="19"/>
                <w:szCs w:val="19"/>
              </w:rPr>
              <w:t xml:space="preserve">Instructor_rating</w:t>
            </w:r>
          </w:p>
        </w:tc>
        <w:tc>
          <w:tcPr>
            <w:tcW w:type="dxa" w:w="2800"/>
            <w:shd w:fill="FFFFFF" w:val="clear"/>
            <w:tcMar>
              <w:top w:type="dxa" w:w="80"/>
              <w:left w:type="dxa" w:w="120"/>
              <w:bottom w:type="dxa" w:w="80"/>
              <w:right w:type="dxa" w:w="120"/>
            </w:tcMar>
          </w:tcPr>
          <w:p>
            <w:pPr>
              <w:jc w:val="left"/>
            </w:pPr>
            <w:r>
              <w:rPr>
                <w:b w:val="false"/>
                <w:bCs w:val="false"/>
                <w:color w:val="202020"/>
                <w:sz w:val="19"/>
                <w:szCs w:val="19"/>
              </w:rPr>
              <w:t xml:space="preserve">Calculated column (Teachers table)</w:t>
            </w:r>
          </w:p>
        </w:tc>
        <w:tc>
          <w:tcPr>
            <w:tcW w:type="dxa" w:w="3500"/>
            <w:shd w:fill="FFFFFF" w:val="clear"/>
            <w:tcMar>
              <w:top w:type="dxa" w:w="80"/>
              <w:left w:type="dxa" w:w="120"/>
              <w:bottom w:type="dxa" w:w="80"/>
              <w:right w:type="dxa" w:w="120"/>
            </w:tcMar>
          </w:tcPr>
          <w:p>
            <w:pPr>
              <w:jc w:val="left"/>
            </w:pPr>
            <w:r>
              <w:rPr>
                <w:b w:val="false"/>
                <w:bCs w:val="false"/>
                <w:color w:val="202020"/>
                <w:sz w:val="19"/>
                <w:szCs w:val="19"/>
              </w:rPr>
              <w:t xml:space="preserve">Rolls up average rating per instructor</w:t>
            </w:r>
          </w:p>
        </w:tc>
      </w:tr>
    </w:tbl>
    <w:p>
      <w:pPr>
        <w:spacing w:after="240"/>
        <w:jc w:val="center"/>
      </w:pPr>
      <w:r>
        <w:rPr>
          <w:i/>
          <w:iCs/>
          <w:color w:val="595959"/>
          <w:sz w:val="18"/>
          <w:szCs w:val="18"/>
        </w:rPr>
        <w:t xml:space="preserve">Table 6.1 — Custom calculated fields used in the data model</w:t>
      </w:r>
    </w:p>
    <w:p>
      <w:pPr>
        <w:pStyle w:val="Heading2"/>
        <w:spacing w:after="120" w:before="280"/>
      </w:pPr>
      <w:r>
        <w:rPr>
          <w:b/>
          <w:bCs/>
          <w:color w:val="1E2761"/>
          <w:sz w:val="24"/>
          <w:szCs w:val="24"/>
        </w:rPr>
        <w:t xml:space="preserve">6.2 Page Layout &amp; Visuals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700"/>
      </w:tblGrid>
      <w:tr>
        <w:trPr>
          <w:tblHeader/>
        </w:trPr>
        <w:tc>
          <w:tcPr>
            <w:tcW w:type="dxa" w:w="2400"/>
            <w:shd w:fill="1E2761" w:val="clear"/>
            <w:tcMar>
              <w:top w:type="dxa" w:w="80"/>
              <w:left w:type="dxa" w:w="120"/>
              <w:bottom w:type="dxa" w:w="80"/>
              <w:right w:type="dxa" w:w="120"/>
            </w:tcMar>
          </w:tcPr>
          <w:p>
            <w:pPr>
              <w:jc w:val="left"/>
            </w:pPr>
            <w:r>
              <w:rPr>
                <w:b/>
                <w:bCs/>
                <w:color w:val="FFFFFF"/>
                <w:sz w:val="19"/>
                <w:szCs w:val="19"/>
              </w:rPr>
              <w:t xml:space="preserve">Visual</w:t>
            </w:r>
          </w:p>
        </w:tc>
        <w:tc>
          <w:tcPr>
            <w:tcW w:type="dxa" w:w="3400"/>
            <w:shd w:fill="1E2761" w:val="clear"/>
            <w:tcMar>
              <w:top w:type="dxa" w:w="80"/>
              <w:left w:type="dxa" w:w="120"/>
              <w:bottom w:type="dxa" w:w="80"/>
              <w:right w:type="dxa" w:w="120"/>
            </w:tcMar>
          </w:tcPr>
          <w:p>
            <w:pPr>
              <w:jc w:val="left"/>
            </w:pPr>
            <w:r>
              <w:rPr>
                <w:b/>
                <w:bCs/>
                <w:color w:val="FFFFFF"/>
                <w:sz w:val="19"/>
                <w:szCs w:val="19"/>
              </w:rPr>
              <w:t xml:space="preserve">Fields used</w:t>
            </w:r>
          </w:p>
        </w:tc>
        <w:tc>
          <w:tcPr>
            <w:tcW w:type="dxa" w:w="3700"/>
            <w:shd w:fill="1E2761" w:val="clear"/>
            <w:tcMar>
              <w:top w:type="dxa" w:w="80"/>
              <w:left w:type="dxa" w:w="120"/>
              <w:bottom w:type="dxa" w:w="80"/>
              <w:right w:type="dxa" w:w="120"/>
            </w:tcMar>
          </w:tcPr>
          <w:p>
            <w:pPr>
              <w:jc w:val="left"/>
            </w:pPr>
            <w:r>
              <w:rPr>
                <w:b/>
                <w:bCs/>
                <w:color w:val="FFFFFF"/>
                <w:sz w:val="19"/>
                <w:szCs w:val="19"/>
              </w:rPr>
              <w:t xml:space="preserve">Business question answered</w:t>
            </w:r>
          </w:p>
        </w:tc>
      </w:tr>
      <w:tr>
        <w:tc>
          <w:tcPr>
            <w:tcW w:type="dxa" w:w="2400"/>
            <w:shd w:fill="F4F6FB" w:val="clear"/>
            <w:tcMar>
              <w:top w:type="dxa" w:w="80"/>
              <w:left w:type="dxa" w:w="120"/>
              <w:bottom w:type="dxa" w:w="80"/>
              <w:right w:type="dxa" w:w="120"/>
            </w:tcMar>
          </w:tcPr>
          <w:p>
            <w:pPr>
              <w:jc w:val="left"/>
            </w:pPr>
            <w:r>
              <w:rPr>
                <w:b w:val="false"/>
                <w:bCs w:val="false"/>
                <w:color w:val="202020"/>
                <w:sz w:val="19"/>
                <w:szCs w:val="19"/>
              </w:rPr>
              <w:t xml:space="preserve">Category slicer</w:t>
            </w:r>
          </w:p>
        </w:tc>
        <w:tc>
          <w:tcPr>
            <w:tcW w:type="dxa" w:w="3400"/>
            <w:shd w:fill="F4F6FB" w:val="clear"/>
            <w:tcMar>
              <w:top w:type="dxa" w:w="80"/>
              <w:left w:type="dxa" w:w="120"/>
              <w:bottom w:type="dxa" w:w="80"/>
              <w:right w:type="dxa" w:w="120"/>
            </w:tcMar>
          </w:tcPr>
          <w:p>
            <w:pPr>
              <w:jc w:val="left"/>
            </w:pPr>
            <w:r>
              <w:rPr>
                <w:b w:val="false"/>
                <w:bCs w:val="false"/>
                <w:color w:val="202020"/>
                <w:sz w:val="19"/>
                <w:szCs w:val="19"/>
              </w:rPr>
              <w:t xml:space="preserve">Category</w:t>
            </w:r>
          </w:p>
        </w:tc>
        <w:tc>
          <w:tcPr>
            <w:tcW w:type="dxa" w:w="3700"/>
            <w:shd w:fill="F4F6FB" w:val="clear"/>
            <w:tcMar>
              <w:top w:type="dxa" w:w="80"/>
              <w:left w:type="dxa" w:w="120"/>
              <w:bottom w:type="dxa" w:w="80"/>
              <w:right w:type="dxa" w:w="120"/>
            </w:tcMar>
          </w:tcPr>
          <w:p>
            <w:pPr>
              <w:jc w:val="left"/>
            </w:pPr>
            <w:r>
              <w:rPr>
                <w:b w:val="false"/>
                <w:bCs w:val="false"/>
                <w:color w:val="202020"/>
                <w:sz w:val="19"/>
                <w:szCs w:val="19"/>
              </w:rPr>
              <w:t xml:space="preserve">Filter the whole page to one subject area</w:t>
            </w:r>
          </w:p>
        </w:tc>
      </w:tr>
      <w:tr>
        <w:tc>
          <w:tcPr>
            <w:tcW w:type="dxa" w:w="2400"/>
            <w:shd w:fill="FFFFFF" w:val="clear"/>
            <w:tcMar>
              <w:top w:type="dxa" w:w="80"/>
              <w:left w:type="dxa" w:w="120"/>
              <w:bottom w:type="dxa" w:w="80"/>
              <w:right w:type="dxa" w:w="120"/>
            </w:tcMar>
          </w:tcPr>
          <w:p>
            <w:pPr>
              <w:jc w:val="left"/>
            </w:pPr>
            <w:r>
              <w:rPr>
                <w:b w:val="false"/>
                <w:bCs w:val="false"/>
                <w:color w:val="202020"/>
                <w:sz w:val="19"/>
                <w:szCs w:val="19"/>
              </w:rPr>
              <w:t xml:space="preserve">Bar chart</w:t>
            </w:r>
          </w:p>
        </w:tc>
        <w:tc>
          <w:tcPr>
            <w:tcW w:type="dxa" w:w="3400"/>
            <w:shd w:fill="FFFFFF" w:val="clear"/>
            <w:tcMar>
              <w:top w:type="dxa" w:w="80"/>
              <w:left w:type="dxa" w:w="120"/>
              <w:bottom w:type="dxa" w:w="80"/>
              <w:right w:type="dxa" w:w="120"/>
            </w:tcMar>
          </w:tcPr>
          <w:p>
            <w:pPr>
              <w:jc w:val="left"/>
            </w:pPr>
            <w:r>
              <w:rPr>
                <w:b w:val="false"/>
                <w:bCs w:val="false"/>
                <w:color w:val="202020"/>
                <w:sz w:val="19"/>
                <w:szCs w:val="19"/>
              </w:rPr>
              <w:t xml:space="preserve">Course Type × count of course id</w:t>
            </w:r>
          </w:p>
        </w:tc>
        <w:tc>
          <w:tcPr>
            <w:tcW w:type="dxa" w:w="3700"/>
            <w:shd w:fill="FFFFFF" w:val="clear"/>
            <w:tcMar>
              <w:top w:type="dxa" w:w="80"/>
              <w:left w:type="dxa" w:w="120"/>
              <w:bottom w:type="dxa" w:w="80"/>
              <w:right w:type="dxa" w:w="120"/>
            </w:tcMar>
          </w:tcPr>
          <w:p>
            <w:pPr>
              <w:jc w:val="left"/>
            </w:pPr>
            <w:r>
              <w:rPr>
                <w:b w:val="false"/>
                <w:bCs w:val="false"/>
                <w:color w:val="202020"/>
                <w:sz w:val="19"/>
                <w:szCs w:val="19"/>
              </w:rPr>
              <w:t xml:space="preserve">How is the catalog split across Course / Specialization / Certificate / Project</w:t>
            </w:r>
          </w:p>
        </w:tc>
      </w:tr>
      <w:tr>
        <w:tc>
          <w:tcPr>
            <w:tcW w:type="dxa" w:w="2400"/>
            <w:shd w:fill="F4F6FB" w:val="clear"/>
            <w:tcMar>
              <w:top w:type="dxa" w:w="80"/>
              <w:left w:type="dxa" w:w="120"/>
              <w:bottom w:type="dxa" w:w="80"/>
              <w:right w:type="dxa" w:w="120"/>
            </w:tcMar>
          </w:tcPr>
          <w:p>
            <w:pPr>
              <w:jc w:val="left"/>
            </w:pPr>
            <w:r>
              <w:rPr>
                <w:b w:val="false"/>
                <w:bCs w:val="false"/>
                <w:color w:val="202020"/>
                <w:sz w:val="19"/>
                <w:szCs w:val="19"/>
              </w:rPr>
              <w:t xml:space="preserve">Column chart</w:t>
            </w:r>
          </w:p>
        </w:tc>
        <w:tc>
          <w:tcPr>
            <w:tcW w:type="dxa" w:w="3400"/>
            <w:shd w:fill="F4F6FB" w:val="clear"/>
            <w:tcMar>
              <w:top w:type="dxa" w:w="80"/>
              <w:left w:type="dxa" w:w="120"/>
              <w:bottom w:type="dxa" w:w="80"/>
              <w:right w:type="dxa" w:w="120"/>
            </w:tcMar>
          </w:tcPr>
          <w:p>
            <w:pPr>
              <w:jc w:val="left"/>
            </w:pPr>
            <w:r>
              <w:rPr>
                <w:b w:val="false"/>
                <w:bCs w:val="false"/>
                <w:color w:val="202020"/>
                <w:sz w:val="19"/>
                <w:szCs w:val="19"/>
              </w:rPr>
              <w:t xml:space="preserve">Sub-Category, Language × sum of viewers</w:t>
            </w:r>
          </w:p>
        </w:tc>
        <w:tc>
          <w:tcPr>
            <w:tcW w:type="dxa" w:w="3700"/>
            <w:shd w:fill="F4F6FB" w:val="clear"/>
            <w:tcMar>
              <w:top w:type="dxa" w:w="80"/>
              <w:left w:type="dxa" w:w="120"/>
              <w:bottom w:type="dxa" w:w="80"/>
              <w:right w:type="dxa" w:w="120"/>
            </w:tcMar>
          </w:tcPr>
          <w:p>
            <w:pPr>
              <w:jc w:val="left"/>
            </w:pPr>
            <w:r>
              <w:rPr>
                <w:b w:val="false"/>
                <w:bCs w:val="false"/>
                <w:color w:val="202020"/>
                <w:sz w:val="19"/>
                <w:szCs w:val="19"/>
              </w:rPr>
              <w:t xml:space="preserve">Which sub-categories and languages drive the most engagement</w:t>
            </w:r>
          </w:p>
        </w:tc>
      </w:tr>
      <w:tr>
        <w:tc>
          <w:tcPr>
            <w:tcW w:type="dxa" w:w="2400"/>
            <w:shd w:fill="FFFFFF" w:val="clear"/>
            <w:tcMar>
              <w:top w:type="dxa" w:w="80"/>
              <w:left w:type="dxa" w:w="120"/>
              <w:bottom w:type="dxa" w:w="80"/>
              <w:right w:type="dxa" w:w="120"/>
            </w:tcMar>
          </w:tcPr>
          <w:p>
            <w:pPr>
              <w:jc w:val="left"/>
            </w:pPr>
            <w:r>
              <w:rPr>
                <w:b w:val="false"/>
                <w:bCs w:val="false"/>
                <w:color w:val="202020"/>
                <w:sz w:val="19"/>
                <w:szCs w:val="19"/>
              </w:rPr>
              <w:t xml:space="preserve">Word cloud</w:t>
            </w:r>
          </w:p>
        </w:tc>
        <w:tc>
          <w:tcPr>
            <w:tcW w:type="dxa" w:w="3400"/>
            <w:shd w:fill="FFFFFF" w:val="clear"/>
            <w:tcMar>
              <w:top w:type="dxa" w:w="80"/>
              <w:left w:type="dxa" w:w="120"/>
              <w:bottom w:type="dxa" w:w="80"/>
              <w:right w:type="dxa" w:w="120"/>
            </w:tcMar>
          </w:tcPr>
          <w:p>
            <w:pPr>
              <w:jc w:val="left"/>
            </w:pPr>
            <w:r>
              <w:rPr>
                <w:b w:val="false"/>
                <w:bCs w:val="false"/>
                <w:color w:val="202020"/>
                <w:sz w:val="19"/>
                <w:szCs w:val="19"/>
              </w:rPr>
              <w:t xml:space="preserve">Skills</w:t>
            </w:r>
          </w:p>
        </w:tc>
        <w:tc>
          <w:tcPr>
            <w:tcW w:type="dxa" w:w="3700"/>
            <w:shd w:fill="FFFFFF" w:val="clear"/>
            <w:tcMar>
              <w:top w:type="dxa" w:w="80"/>
              <w:left w:type="dxa" w:w="120"/>
              <w:bottom w:type="dxa" w:w="80"/>
              <w:right w:type="dxa" w:w="120"/>
            </w:tcMar>
          </w:tcPr>
          <w:p>
            <w:pPr>
              <w:jc w:val="left"/>
            </w:pPr>
            <w:r>
              <w:rPr>
                <w:b w:val="false"/>
                <w:bCs w:val="false"/>
                <w:color w:val="202020"/>
                <w:sz w:val="19"/>
                <w:szCs w:val="19"/>
              </w:rPr>
              <w:t xml:space="preserve">What are the most in-demand skills across the catalog</w:t>
            </w:r>
          </w:p>
        </w:tc>
      </w:tr>
      <w:tr>
        <w:tc>
          <w:tcPr>
            <w:tcW w:type="dxa" w:w="2400"/>
            <w:shd w:fill="F4F6FB" w:val="clear"/>
            <w:tcMar>
              <w:top w:type="dxa" w:w="80"/>
              <w:left w:type="dxa" w:w="120"/>
              <w:bottom w:type="dxa" w:w="80"/>
              <w:right w:type="dxa" w:w="120"/>
            </w:tcMar>
          </w:tcPr>
          <w:p>
            <w:pPr>
              <w:jc w:val="left"/>
            </w:pPr>
            <w:r>
              <w:rPr>
                <w:b w:val="false"/>
                <w:bCs w:val="false"/>
                <w:color w:val="202020"/>
                <w:sz w:val="19"/>
                <w:szCs w:val="19"/>
              </w:rPr>
              <w:t xml:space="preserve">Pie chart</w:t>
            </w:r>
          </w:p>
        </w:tc>
        <w:tc>
          <w:tcPr>
            <w:tcW w:type="dxa" w:w="3400"/>
            <w:shd w:fill="F4F6FB" w:val="clear"/>
            <w:tcMar>
              <w:top w:type="dxa" w:w="80"/>
              <w:left w:type="dxa" w:w="120"/>
              <w:bottom w:type="dxa" w:w="80"/>
              <w:right w:type="dxa" w:w="120"/>
            </w:tcMar>
          </w:tcPr>
          <w:p>
            <w:pPr>
              <w:jc w:val="left"/>
            </w:pPr>
            <w:r>
              <w:rPr>
                <w:b w:val="false"/>
                <w:bCs w:val="false"/>
                <w:color w:val="202020"/>
                <w:sz w:val="19"/>
                <w:szCs w:val="19"/>
              </w:rPr>
              <w:t xml:space="preserve">Language × count of course id</w:t>
            </w:r>
          </w:p>
        </w:tc>
        <w:tc>
          <w:tcPr>
            <w:tcW w:type="dxa" w:w="3700"/>
            <w:shd w:fill="F4F6FB" w:val="clear"/>
            <w:tcMar>
              <w:top w:type="dxa" w:w="80"/>
              <w:left w:type="dxa" w:w="120"/>
              <w:bottom w:type="dxa" w:w="80"/>
              <w:right w:type="dxa" w:w="120"/>
            </w:tcMar>
          </w:tcPr>
          <w:p>
            <w:pPr>
              <w:jc w:val="left"/>
            </w:pPr>
            <w:r>
              <w:rPr>
                <w:b w:val="false"/>
                <w:bCs w:val="false"/>
                <w:color w:val="202020"/>
                <w:sz w:val="19"/>
                <w:szCs w:val="19"/>
              </w:rPr>
              <w:t xml:space="preserve">What is the language mix of the catalog</w:t>
            </w:r>
          </w:p>
        </w:tc>
      </w:tr>
      <w:tr>
        <w:tc>
          <w:tcPr>
            <w:tcW w:type="dxa" w:w="2400"/>
            <w:shd w:fill="FFFFFF" w:val="clear"/>
            <w:tcMar>
              <w:top w:type="dxa" w:w="80"/>
              <w:left w:type="dxa" w:w="120"/>
              <w:bottom w:type="dxa" w:w="80"/>
              <w:right w:type="dxa" w:w="120"/>
            </w:tcMar>
          </w:tcPr>
          <w:p>
            <w:pPr>
              <w:jc w:val="left"/>
            </w:pPr>
            <w:r>
              <w:rPr>
                <w:b w:val="false"/>
                <w:bCs w:val="false"/>
                <w:color w:val="202020"/>
                <w:sz w:val="19"/>
                <w:szCs w:val="19"/>
              </w:rPr>
              <w:t xml:space="preserve">Pivot table</w:t>
            </w:r>
          </w:p>
        </w:tc>
        <w:tc>
          <w:tcPr>
            <w:tcW w:type="dxa" w:w="3400"/>
            <w:shd w:fill="FFFFFF" w:val="clear"/>
            <w:tcMar>
              <w:top w:type="dxa" w:w="80"/>
              <w:left w:type="dxa" w:w="120"/>
              <w:bottom w:type="dxa" w:w="80"/>
              <w:right w:type="dxa" w:w="120"/>
            </w:tcMar>
          </w:tcPr>
          <w:p>
            <w:pPr>
              <w:jc w:val="left"/>
            </w:pPr>
            <w:r>
              <w:rPr>
                <w:b w:val="false"/>
                <w:bCs w:val="false"/>
                <w:color w:val="202020"/>
                <w:sz w:val="19"/>
                <w:szCs w:val="19"/>
              </w:rPr>
              <w:t xml:space="preserve">Category, Language × Rank_category_by_avg_views</w:t>
            </w:r>
          </w:p>
        </w:tc>
        <w:tc>
          <w:tcPr>
            <w:tcW w:type="dxa" w:w="3700"/>
            <w:shd w:fill="FFFFFF" w:val="clear"/>
            <w:tcMar>
              <w:top w:type="dxa" w:w="80"/>
              <w:left w:type="dxa" w:w="120"/>
              <w:bottom w:type="dxa" w:w="80"/>
              <w:right w:type="dxa" w:w="120"/>
            </w:tcMar>
          </w:tcPr>
          <w:p>
            <w:pPr>
              <w:jc w:val="left"/>
            </w:pPr>
            <w:r>
              <w:rPr>
                <w:b w:val="false"/>
                <w:bCs w:val="false"/>
                <w:color w:val="202020"/>
                <w:sz w:val="19"/>
                <w:szCs w:val="19"/>
              </w:rPr>
              <w:t xml:space="preserve">Which category/language combinations perform best by average views</w:t>
            </w:r>
          </w:p>
        </w:tc>
      </w:tr>
      <w:tr>
        <w:tc>
          <w:tcPr>
            <w:tcW w:type="dxa" w:w="2400"/>
            <w:shd w:fill="F4F6FB" w:val="clear"/>
            <w:tcMar>
              <w:top w:type="dxa" w:w="80"/>
              <w:left w:type="dxa" w:w="120"/>
              <w:bottom w:type="dxa" w:w="80"/>
              <w:right w:type="dxa" w:w="120"/>
            </w:tcMar>
          </w:tcPr>
          <w:p>
            <w:pPr>
              <w:jc w:val="left"/>
            </w:pPr>
            <w:r>
              <w:rPr>
                <w:b w:val="false"/>
                <w:bCs w:val="false"/>
                <w:color w:val="202020"/>
                <w:sz w:val="19"/>
                <w:szCs w:val="19"/>
              </w:rPr>
              <w:t xml:space="preserve">Line chart</w:t>
            </w:r>
          </w:p>
        </w:tc>
        <w:tc>
          <w:tcPr>
            <w:tcW w:type="dxa" w:w="3400"/>
            <w:shd w:fill="F4F6FB" w:val="clear"/>
            <w:tcMar>
              <w:top w:type="dxa" w:w="80"/>
              <w:left w:type="dxa" w:w="120"/>
              <w:bottom w:type="dxa" w:w="80"/>
              <w:right w:type="dxa" w:w="120"/>
            </w:tcMar>
          </w:tcPr>
          <w:p>
            <w:pPr>
              <w:jc w:val="left"/>
            </w:pPr>
            <w:r>
              <w:rPr>
                <w:b w:val="false"/>
                <w:bCs w:val="false"/>
                <w:color w:val="202020"/>
                <w:sz w:val="19"/>
                <w:szCs w:val="19"/>
              </w:rPr>
              <w:t xml:space="preserve">Subtitle_lang_count × sum of viewers</w:t>
            </w:r>
          </w:p>
        </w:tc>
        <w:tc>
          <w:tcPr>
            <w:tcW w:type="dxa" w:w="3700"/>
            <w:shd w:fill="F4F6FB" w:val="clear"/>
            <w:tcMar>
              <w:top w:type="dxa" w:w="80"/>
              <w:left w:type="dxa" w:w="120"/>
              <w:bottom w:type="dxa" w:w="80"/>
              <w:right w:type="dxa" w:w="120"/>
            </w:tcMar>
          </w:tcPr>
          <w:p>
            <w:pPr>
              <w:jc w:val="left"/>
            </w:pPr>
            <w:r>
              <w:rPr>
                <w:b w:val="false"/>
                <w:bCs w:val="false"/>
                <w:color w:val="202020"/>
                <w:sz w:val="19"/>
                <w:szCs w:val="19"/>
              </w:rPr>
              <w:t xml:space="preserve">Does broader subtitle coverage relate to higher viewership</w:t>
            </w:r>
          </w:p>
        </w:tc>
      </w:tr>
      <w:tr>
        <w:tc>
          <w:tcPr>
            <w:tcW w:type="dxa" w:w="2400"/>
            <w:shd w:fill="FFFFFF" w:val="clear"/>
            <w:tcMar>
              <w:top w:type="dxa" w:w="80"/>
              <w:left w:type="dxa" w:w="120"/>
              <w:bottom w:type="dxa" w:w="80"/>
              <w:right w:type="dxa" w:w="120"/>
            </w:tcMar>
          </w:tcPr>
          <w:p>
            <w:pPr>
              <w:jc w:val="left"/>
            </w:pPr>
            <w:r>
              <w:rPr>
                <w:b w:val="false"/>
                <w:bCs w:val="false"/>
                <w:color w:val="202020"/>
                <w:sz w:val="19"/>
                <w:szCs w:val="19"/>
              </w:rPr>
              <w:t xml:space="preserve">Clustered column</w:t>
            </w:r>
          </w:p>
        </w:tc>
        <w:tc>
          <w:tcPr>
            <w:tcW w:type="dxa" w:w="3400"/>
            <w:shd w:fill="FFFFFF" w:val="clear"/>
            <w:tcMar>
              <w:top w:type="dxa" w:w="80"/>
              <w:left w:type="dxa" w:w="120"/>
              <w:bottom w:type="dxa" w:w="80"/>
              <w:right w:type="dxa" w:w="120"/>
            </w:tcMar>
          </w:tcPr>
          <w:p>
            <w:pPr>
              <w:jc w:val="left"/>
            </w:pPr>
            <w:r>
              <w:rPr>
                <w:b w:val="false"/>
                <w:bCs w:val="false"/>
                <w:color w:val="202020"/>
                <w:sz w:val="19"/>
                <w:szCs w:val="19"/>
              </w:rPr>
              <w:t xml:space="preserve">Instructor × Instructor_rating</w:t>
            </w:r>
          </w:p>
        </w:tc>
        <w:tc>
          <w:tcPr>
            <w:tcW w:type="dxa" w:w="3700"/>
            <w:shd w:fill="FFFFFF" w:val="clear"/>
            <w:tcMar>
              <w:top w:type="dxa" w:w="80"/>
              <w:left w:type="dxa" w:w="120"/>
              <w:bottom w:type="dxa" w:w="80"/>
              <w:right w:type="dxa" w:w="120"/>
            </w:tcMar>
          </w:tcPr>
          <w:p>
            <w:pPr>
              <w:jc w:val="left"/>
            </w:pPr>
            <w:r>
              <w:rPr>
                <w:b w:val="false"/>
                <w:bCs w:val="false"/>
                <w:color w:val="202020"/>
                <w:sz w:val="19"/>
                <w:szCs w:val="19"/>
              </w:rPr>
              <w:t xml:space="preserve">Who are the top and bottom-rated instructors</w:t>
            </w:r>
          </w:p>
        </w:tc>
      </w:tr>
      <w:tr>
        <w:tc>
          <w:tcPr>
            <w:tcW w:type="dxa" w:w="2400"/>
            <w:shd w:fill="F4F6FB" w:val="clear"/>
            <w:tcMar>
              <w:top w:type="dxa" w:w="80"/>
              <w:left w:type="dxa" w:w="120"/>
              <w:bottom w:type="dxa" w:w="80"/>
              <w:right w:type="dxa" w:w="120"/>
            </w:tcMar>
          </w:tcPr>
          <w:p>
            <w:pPr>
              <w:jc w:val="left"/>
            </w:pPr>
            <w:r>
              <w:rPr>
                <w:b w:val="false"/>
                <w:bCs w:val="false"/>
                <w:color w:val="202020"/>
                <w:sz w:val="19"/>
                <w:szCs w:val="19"/>
              </w:rPr>
              <w:t xml:space="preserve">Sub-Category slicer (Teachers)</w:t>
            </w:r>
          </w:p>
        </w:tc>
        <w:tc>
          <w:tcPr>
            <w:tcW w:type="dxa" w:w="3400"/>
            <w:shd w:fill="F4F6FB" w:val="clear"/>
            <w:tcMar>
              <w:top w:type="dxa" w:w="80"/>
              <w:left w:type="dxa" w:w="120"/>
              <w:bottom w:type="dxa" w:w="80"/>
              <w:right w:type="dxa" w:w="120"/>
            </w:tcMar>
          </w:tcPr>
          <w:p>
            <w:pPr>
              <w:jc w:val="left"/>
            </w:pPr>
            <w:r>
              <w:rPr>
                <w:b w:val="false"/>
                <w:bCs w:val="false"/>
                <w:color w:val="202020"/>
                <w:sz w:val="19"/>
                <w:szCs w:val="19"/>
              </w:rPr>
              <w:t xml:space="preserve">Sub-Category</w:t>
            </w:r>
          </w:p>
        </w:tc>
        <w:tc>
          <w:tcPr>
            <w:tcW w:type="dxa" w:w="3700"/>
            <w:shd w:fill="F4F6FB" w:val="clear"/>
            <w:tcMar>
              <w:top w:type="dxa" w:w="80"/>
              <w:left w:type="dxa" w:w="120"/>
              <w:bottom w:type="dxa" w:w="80"/>
              <w:right w:type="dxa" w:w="120"/>
            </w:tcMar>
          </w:tcPr>
          <w:p>
            <w:pPr>
              <w:jc w:val="left"/>
            </w:pPr>
            <w:r>
              <w:rPr>
                <w:b w:val="false"/>
                <w:bCs w:val="false"/>
                <w:color w:val="202020"/>
                <w:sz w:val="19"/>
                <w:szCs w:val="19"/>
              </w:rPr>
              <w:t xml:space="preserve">Filter the instructor view by subject</w:t>
            </w:r>
          </w:p>
        </w:tc>
      </w:tr>
      <w:tr>
        <w:tc>
          <w:tcPr>
            <w:tcW w:type="dxa" w:w="2400"/>
            <w:shd w:fill="FFFFFF" w:val="clear"/>
            <w:tcMar>
              <w:top w:type="dxa" w:w="80"/>
              <w:left w:type="dxa" w:w="120"/>
              <w:bottom w:type="dxa" w:w="80"/>
              <w:right w:type="dxa" w:w="120"/>
            </w:tcMar>
          </w:tcPr>
          <w:p>
            <w:pPr>
              <w:jc w:val="left"/>
            </w:pPr>
            <w:r>
              <w:rPr>
                <w:b w:val="false"/>
                <w:bCs w:val="false"/>
                <w:color w:val="202020"/>
                <w:sz w:val="19"/>
                <w:szCs w:val="19"/>
              </w:rPr>
              <w:t xml:space="preserve">Line chart</w:t>
            </w:r>
          </w:p>
        </w:tc>
        <w:tc>
          <w:tcPr>
            <w:tcW w:type="dxa" w:w="3400"/>
            <w:shd w:fill="FFFFFF" w:val="clear"/>
            <w:tcMar>
              <w:top w:type="dxa" w:w="80"/>
              <w:left w:type="dxa" w:w="120"/>
              <w:bottom w:type="dxa" w:w="80"/>
              <w:right w:type="dxa" w:w="120"/>
            </w:tcMar>
          </w:tcPr>
          <w:p>
            <w:pPr>
              <w:jc w:val="left"/>
            </w:pPr>
            <w:r>
              <w:rPr>
                <w:b w:val="false"/>
                <w:bCs w:val="false"/>
                <w:color w:val="202020"/>
                <w:sz w:val="19"/>
                <w:szCs w:val="19"/>
              </w:rPr>
              <w:t xml:space="preserve">Duration in hours × count of non-null viewers</w:t>
            </w:r>
          </w:p>
        </w:tc>
        <w:tc>
          <w:tcPr>
            <w:tcW w:type="dxa" w:w="3700"/>
            <w:shd w:fill="FFFFFF" w:val="clear"/>
            <w:tcMar>
              <w:top w:type="dxa" w:w="80"/>
              <w:left w:type="dxa" w:w="120"/>
              <w:bottom w:type="dxa" w:w="80"/>
              <w:right w:type="dxa" w:w="120"/>
            </w:tcMar>
          </w:tcPr>
          <w:p>
            <w:pPr>
              <w:jc w:val="left"/>
            </w:pPr>
            <w:r>
              <w:rPr>
                <w:b w:val="false"/>
                <w:bCs w:val="false"/>
                <w:color w:val="202020"/>
                <w:sz w:val="19"/>
                <w:szCs w:val="19"/>
              </w:rPr>
              <w:t xml:space="preserve">Does course length relate to viewership</w:t>
            </w:r>
          </w:p>
        </w:tc>
      </w:tr>
      <w:tr>
        <w:tc>
          <w:tcPr>
            <w:tcW w:type="dxa" w:w="2400"/>
            <w:shd w:fill="F4F6FB" w:val="clear"/>
            <w:tcMar>
              <w:top w:type="dxa" w:w="80"/>
              <w:left w:type="dxa" w:w="120"/>
              <w:bottom w:type="dxa" w:w="80"/>
              <w:right w:type="dxa" w:w="120"/>
            </w:tcMar>
          </w:tcPr>
          <w:p>
            <w:pPr>
              <w:jc w:val="left"/>
            </w:pPr>
            <w:r>
              <w:rPr>
                <w:b w:val="false"/>
                <w:bCs w:val="false"/>
                <w:color w:val="202020"/>
                <w:sz w:val="19"/>
                <w:szCs w:val="19"/>
              </w:rPr>
              <w:t xml:space="preserve">Pivot table</w:t>
            </w:r>
          </w:p>
        </w:tc>
        <w:tc>
          <w:tcPr>
            <w:tcW w:type="dxa" w:w="3400"/>
            <w:shd w:fill="F4F6FB" w:val="clear"/>
            <w:tcMar>
              <w:top w:type="dxa" w:w="80"/>
              <w:left w:type="dxa" w:w="120"/>
              <w:bottom w:type="dxa" w:w="80"/>
              <w:right w:type="dxa" w:w="120"/>
            </w:tcMar>
          </w:tcPr>
          <w:p>
            <w:pPr>
              <w:jc w:val="left"/>
            </w:pPr>
            <w:r>
              <w:rPr>
                <w:b w:val="false"/>
                <w:bCs w:val="false"/>
                <w:color w:val="202020"/>
                <w:sz w:val="19"/>
                <w:szCs w:val="19"/>
              </w:rPr>
              <w:t xml:space="preserve">Category, Sub-Category × Count of skills Provided</w:t>
            </w:r>
          </w:p>
        </w:tc>
        <w:tc>
          <w:tcPr>
            <w:tcW w:type="dxa" w:w="3700"/>
            <w:shd w:fill="F4F6FB" w:val="clear"/>
            <w:tcMar>
              <w:top w:type="dxa" w:w="80"/>
              <w:left w:type="dxa" w:w="120"/>
              <w:bottom w:type="dxa" w:w="80"/>
              <w:right w:type="dxa" w:w="120"/>
            </w:tcMar>
          </w:tcPr>
          <w:p>
            <w:pPr>
              <w:jc w:val="left"/>
            </w:pPr>
            <w:r>
              <w:rPr>
                <w:b w:val="false"/>
                <w:bCs w:val="false"/>
                <w:color w:val="202020"/>
                <w:sz w:val="19"/>
                <w:szCs w:val="19"/>
              </w:rPr>
              <w:t xml:space="preserve">How skill density varies by subject area</w:t>
            </w:r>
          </w:p>
        </w:tc>
      </w:tr>
    </w:tbl>
    <w:p>
      <w:pPr>
        <w:spacing w:after="240"/>
        <w:jc w:val="center"/>
      </w:pPr>
      <w:r>
        <w:rPr>
          <w:i/>
          <w:iCs/>
          <w:color w:val="595959"/>
          <w:sz w:val="18"/>
          <w:szCs w:val="18"/>
        </w:rPr>
        <w:t xml:space="preserve">Table 6.2 — Visual-by-visual breakdown of the dashboard page</w:t>
      </w:r>
    </w:p>
    <w:p>
      <w:pPr>
        <w:spacing w:after="160" w:line="300"/>
      </w:pPr>
      <w:r>
        <w:rPr>
          <w:color w:val="202020"/>
          <w:sz w:val="21"/>
          <w:szCs w:val="21"/>
        </w:rPr>
        <w:t xml:space="preserve">The page uses a dark plum/magenta theme (background #50005c, title accent #b50877) with rounded-card containers, giving the dashboard a distinct visual identity rather than default Power BI styling.</w:t>
      </w:r>
    </w:p>
    <w:p>
      <w:pPr>
        <w:pStyle w:val="Heading1"/>
        <w:spacing w:after="160" w:before="360"/>
      </w:pPr>
      <w:r>
        <w:rPr>
          <w:b/>
          <w:bCs/>
          <w:color w:val="1E2761"/>
          <w:sz w:val="30"/>
          <w:szCs w:val="30"/>
        </w:rPr>
        <w:t xml:space="preserve">7. Key Insights &amp; Findings</w:t>
      </w:r>
    </w:p>
    <w:p>
      <w:pPr>
        <w:pStyle w:val="ListParagraph"/>
        <w:numPr>
          <w:ilvl w:val="0"/>
          <w:numId w:val="2"/>
        </w:numPr>
        <w:spacing w:after="90" w:line="290"/>
      </w:pPr>
      <w:r>
        <w:rPr>
          <w:color w:val="202020"/>
          <w:sz w:val="21"/>
          <w:szCs w:val="21"/>
        </w:rPr>
        <w:t xml:space="preserve">Future Learn supplies the most rows (60%), but Coursera supplies almost all of the analytically rich fields (category, rating, skills, viewership) — any KPI built on those fields is implicitly Coursera-scoped.</w:t>
      </w:r>
    </w:p>
    <w:p>
      <w:pPr>
        <w:pStyle w:val="ListParagraph"/>
        <w:numPr>
          <w:ilvl w:val="0"/>
          <w:numId w:val="2"/>
        </w:numPr>
        <w:spacing w:after="90" w:line="290"/>
      </w:pPr>
      <w:r>
        <w:rPr>
          <w:color w:val="202020"/>
          <w:sz w:val="21"/>
          <w:szCs w:val="21"/>
        </w:rPr>
        <w:t xml:space="preserve">The Coursera catalog is dominated by Business, Computer Science and Data Science content, together accounting for roughly two-thirds of categorized courses.</w:t>
      </w:r>
    </w:p>
    <w:p>
      <w:pPr>
        <w:pStyle w:val="ListParagraph"/>
        <w:numPr>
          <w:ilvl w:val="0"/>
          <w:numId w:val="2"/>
        </w:numPr>
        <w:spacing w:after="90" w:line="290"/>
      </w:pPr>
      <w:r>
        <w:rPr>
          <w:color w:val="202020"/>
          <w:sz w:val="21"/>
          <w:szCs w:val="21"/>
        </w:rPr>
        <w:t xml:space="preserve">Average rating (4.66/5) is high and narrowly distributed — ratings alone are not a reliable way to separate 'good' from 'great' courses on this platform.</w:t>
      </w:r>
    </w:p>
    <w:p>
      <w:pPr>
        <w:pStyle w:val="ListParagraph"/>
        <w:numPr>
          <w:ilvl w:val="0"/>
          <w:numId w:val="2"/>
        </w:numPr>
        <w:spacing w:after="90" w:line="290"/>
      </w:pPr>
      <w:r>
        <w:rPr>
          <w:color w:val="202020"/>
          <w:sz w:val="21"/>
          <w:szCs w:val="21"/>
        </w:rPr>
        <w:t xml:space="preserve">Rating and viewership are only weakly correlated (r ≈ 0.11) — popularity is driven by factors other than star rating (topic demand, instructor recognition, platform promotion).</w:t>
      </w:r>
    </w:p>
    <w:p>
      <w:pPr>
        <w:pStyle w:val="ListParagraph"/>
        <w:numPr>
          <w:ilvl w:val="0"/>
          <w:numId w:val="2"/>
        </w:numPr>
        <w:spacing w:after="90" w:line="290"/>
      </w:pPr>
      <w:r>
        <w:rPr>
          <w:color w:val="202020"/>
          <w:sz w:val="21"/>
          <w:szCs w:val="21"/>
        </w:rPr>
        <w:t xml:space="preserve">Data Analysis, Python Programming and Machine Learning are the dominant taught skills, reinforcing the platform's data/tech leaning even outside the 'Data Science' category label.</w:t>
      </w:r>
    </w:p>
    <w:p>
      <w:pPr>
        <w:pStyle w:val="ListParagraph"/>
        <w:numPr>
          <w:ilvl w:val="0"/>
          <w:numId w:val="2"/>
        </w:numPr>
        <w:spacing w:after="90" w:line="290"/>
      </w:pPr>
      <w:r>
        <w:rPr>
          <w:color w:val="202020"/>
          <w:sz w:val="21"/>
          <w:szCs w:val="21"/>
        </w:rPr>
        <w:t xml:space="preserve">The Instructors field requires cleanup before it can be trusted as a true instructor dimension, since credentials and organization names are currently mixed in with individual names.</w:t>
      </w:r>
    </w:p>
    <w:p>
      <w:pPr>
        <w:pStyle w:val="ListParagraph"/>
        <w:numPr>
          <w:ilvl w:val="0"/>
          <w:numId w:val="2"/>
        </w:numPr>
        <w:spacing w:after="90" w:line="290"/>
      </w:pPr>
      <w:r>
        <w:rPr>
          <w:color w:val="202020"/>
          <w:sz w:val="21"/>
          <w:szCs w:val="21"/>
        </w:rPr>
        <w:t xml:space="preserve">Future Learn courses are designed as light, part-time commitments (2–4 hours/week for the vast majority), a structurally different product from Coursera's specialization-heavy catalog.</w:t>
      </w:r>
    </w:p>
    <w:p>
      <w:pPr>
        <w:pStyle w:val="Heading1"/>
        <w:spacing w:after="160" w:before="360"/>
      </w:pPr>
      <w:r>
        <w:rPr>
          <w:b/>
          <w:bCs/>
          <w:color w:val="1E2761"/>
          <w:sz w:val="30"/>
          <w:szCs w:val="30"/>
        </w:rPr>
        <w:t xml:space="preserve">8. Recommendations &amp; Future Work</w:t>
      </w:r>
    </w:p>
    <w:p>
      <w:pPr>
        <w:pStyle w:val="ListParagraph"/>
        <w:numPr>
          <w:ilvl w:val="0"/>
          <w:numId w:val="2"/>
        </w:numPr>
        <w:spacing w:after="90" w:line="290"/>
      </w:pPr>
      <w:r>
        <w:rPr>
          <w:color w:val="202020"/>
          <w:sz w:val="21"/>
          <w:szCs w:val="21"/>
        </w:rPr>
        <w:t xml:space="preserve">Clean the Instructors field with named-entity recognition or a manual lookup table to separate real instructor names from credentials/organizations before building instructor-level KPIs.</w:t>
      </w:r>
    </w:p>
    <w:p>
      <w:pPr>
        <w:pStyle w:val="ListParagraph"/>
        <w:numPr>
          <w:ilvl w:val="0"/>
          <w:numId w:val="2"/>
        </w:numPr>
        <w:spacing w:after="90" w:line="290"/>
      </w:pPr>
      <w:r>
        <w:rPr>
          <w:color w:val="202020"/>
          <w:sz w:val="21"/>
          <w:szCs w:val="21"/>
        </w:rPr>
        <w:t xml:space="preserve">Extend the Power BI model with a platform-aware 'Duration in hours' fallback for Udacity and Simplilearn (currently only Coursera and Future Learn are well normalized).</w:t>
      </w:r>
    </w:p>
    <w:p>
      <w:pPr>
        <w:pStyle w:val="ListParagraph"/>
        <w:numPr>
          <w:ilvl w:val="0"/>
          <w:numId w:val="2"/>
        </w:numPr>
        <w:spacing w:after="90" w:line="290"/>
      </w:pPr>
      <w:r>
        <w:rPr>
          <w:color w:val="202020"/>
          <w:sz w:val="21"/>
          <w:szCs w:val="21"/>
        </w:rPr>
        <w:t xml:space="preserve">Introduce a de-duplication key (e.g., normalized Title + Site) so 'course count' visuals can optionally report unique offerings alongside total listings.</w:t>
      </w:r>
    </w:p>
    <w:p>
      <w:pPr>
        <w:pStyle w:val="ListParagraph"/>
        <w:numPr>
          <w:ilvl w:val="0"/>
          <w:numId w:val="2"/>
        </w:numPr>
        <w:spacing w:after="90" w:line="290"/>
      </w:pPr>
      <w:r>
        <w:rPr>
          <w:color w:val="202020"/>
          <w:sz w:val="21"/>
          <w:szCs w:val="21"/>
        </w:rPr>
        <w:t xml:space="preserve">If pricing insight becomes a priority, scope a follow-up scrape or enrichment pass targeting Coursera/Udacity list prices, since the current Price field only covers Simplilearn (0.8% of rows).</w:t>
      </w:r>
    </w:p>
    <w:p>
      <w:pPr>
        <w:pStyle w:val="ListParagraph"/>
        <w:numPr>
          <w:ilvl w:val="0"/>
          <w:numId w:val="2"/>
        </w:numPr>
        <w:spacing w:after="90" w:line="290"/>
      </w:pPr>
      <w:r>
        <w:rPr>
          <w:color w:val="202020"/>
          <w:sz w:val="21"/>
          <w:szCs w:val="21"/>
        </w:rPr>
        <w:t xml:space="preserve">Add a bookmark-based platform toggle to the dashboard so users can switch between an 'all platforms, universal fields only' view and a 'Coursera deep-dive' view without confusing the two scopes.</w:t>
      </w:r>
    </w:p>
    <w:p>
      <w:pPr>
        <w:pStyle w:val="Heading1"/>
        <w:spacing w:after="160" w:before="360"/>
      </w:pPr>
      <w:r>
        <w:rPr>
          <w:b/>
          <w:bCs/>
          <w:color w:val="1E2761"/>
          <w:sz w:val="30"/>
          <w:szCs w:val="30"/>
        </w:rPr>
        <w:t xml:space="preserve">9. Conclusion</w:t>
      </w:r>
    </w:p>
    <w:p>
      <w:pPr>
        <w:spacing w:after="160" w:line="300"/>
      </w:pPr>
      <w:r>
        <w:rPr>
          <w:color w:val="202020"/>
          <w:sz w:val="21"/>
          <w:szCs w:val="21"/>
        </w:rPr>
        <w:t xml:space="preserve">This project turned a genuinely messy, four-platform union dataset into a documented, cleaned data model and a working Power BI dashboard. The most important analytical decision was recognizing early that the 45 columns are not one schema but four overlapping schemas — every subsequent cleaning, modeling, and visualization choice follows directly from that finding. The resulting dashboard surfaces category, skill, rating, and viewership patterns for Coursera (the platform with the richest fields), while the wider dataset still supports platform-level comparisons on the handful of fields every source shares.</w:t>
      </w:r>
    </w:p>
    <w:p>
      <w:pPr>
        <w:pStyle w:val="Heading1"/>
        <w:spacing w:after="160" w:before="360"/>
      </w:pPr>
      <w:r>
        <w:rPr>
          <w:b/>
          <w:bCs/>
          <w:color w:val="1E2761"/>
          <w:sz w:val="30"/>
          <w:szCs w:val="30"/>
        </w:rPr>
        <w:t xml:space="preserve">Appendix A — Full Data Dictionary</w:t>
      </w:r>
    </w:p>
    <w:p>
      <w:pPr>
        <w:spacing w:after="160" w:line="300"/>
      </w:pPr>
      <w:r>
        <w:rPr>
          <w:color w:val="202020"/>
          <w:sz w:val="21"/>
          <w:szCs w:val="21"/>
        </w:rPr>
        <w:t xml:space="preserve">All 45 raw columns, their data type, missing-value percentage, and a short description of what each field represents and which platform(s) populate it.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00"/>
      </w:tblGrid>
      <w:tr>
        <w:trPr>
          <w:tblHeader/>
        </w:trPr>
        <w:tc>
          <w:tcPr>
            <w:tcW w:type="dxa" w:w="2200"/>
            <w:shd w:fill="1E2761" w:val="clear"/>
            <w:tcMar>
              <w:top w:type="dxa" w:w="80"/>
              <w:left w:type="dxa" w:w="120"/>
              <w:bottom w:type="dxa" w:w="80"/>
              <w:right w:type="dxa" w:w="120"/>
            </w:tcMar>
          </w:tcPr>
          <w:p>
            <w:pPr>
              <w:jc w:val="left"/>
            </w:pPr>
            <w:r>
              <w:rPr>
                <w:b/>
                <w:bCs/>
                <w:color w:val="FFFFFF"/>
                <w:sz w:val="19"/>
                <w:szCs w:val="19"/>
              </w:rPr>
              <w:t xml:space="preserve">Column</w:t>
            </w:r>
          </w:p>
        </w:tc>
        <w:tc>
          <w:tcPr>
            <w:tcW w:type="dxa" w:w="1200"/>
            <w:shd w:fill="1E2761" w:val="clear"/>
            <w:tcMar>
              <w:top w:type="dxa" w:w="80"/>
              <w:left w:type="dxa" w:w="120"/>
              <w:bottom w:type="dxa" w:w="80"/>
              <w:right w:type="dxa" w:w="120"/>
            </w:tcMar>
          </w:tcPr>
          <w:p>
            <w:pPr>
              <w:jc w:val="left"/>
            </w:pPr>
            <w:r>
              <w:rPr>
                <w:b/>
                <w:bCs/>
                <w:color w:val="FFFFFF"/>
                <w:sz w:val="19"/>
                <w:szCs w:val="19"/>
              </w:rPr>
              <w:t xml:space="preserve">Type</w:t>
            </w:r>
          </w:p>
        </w:tc>
        <w:tc>
          <w:tcPr>
            <w:tcW w:type="dxa" w:w="1200"/>
            <w:shd w:fill="1E2761" w:val="clear"/>
            <w:tcMar>
              <w:top w:type="dxa" w:w="80"/>
              <w:left w:type="dxa" w:w="120"/>
              <w:bottom w:type="dxa" w:w="80"/>
              <w:right w:type="dxa" w:w="120"/>
            </w:tcMar>
          </w:tcPr>
          <w:p>
            <w:pPr>
              <w:jc w:val="left"/>
            </w:pPr>
            <w:r>
              <w:rPr>
                <w:b/>
                <w:bCs/>
                <w:color w:val="FFFFFF"/>
                <w:sz w:val="19"/>
                <w:szCs w:val="19"/>
              </w:rPr>
              <w:t xml:space="preserve">Missing %</w:t>
            </w:r>
          </w:p>
        </w:tc>
        <w:tc>
          <w:tcPr>
            <w:tcW w:type="dxa" w:w="4700"/>
            <w:shd w:fill="1E2761" w:val="clear"/>
            <w:tcMar>
              <w:top w:type="dxa" w:w="80"/>
              <w:left w:type="dxa" w:w="120"/>
              <w:bottom w:type="dxa" w:w="80"/>
              <w:right w:type="dxa" w:w="120"/>
            </w:tcMar>
          </w:tcPr>
          <w:p>
            <w:pPr>
              <w:jc w:val="left"/>
            </w:pPr>
            <w:r>
              <w:rPr>
                <w:b/>
                <w:bCs/>
                <w:color w:val="FFFFFF"/>
                <w:sz w:val="19"/>
                <w:szCs w:val="19"/>
              </w:rPr>
              <w:t xml:space="preserve">Description</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Unnamed: 0</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int64</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0%</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Row index carried over from the scrape / export</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Title</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0%</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Course or program title (universal field, all platforms)</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URL</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0%</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Course listing URL (universal field, all platforms)</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Short Intro</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0.6%</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One-line course description/tagline</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Category</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65.2%</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Top-level subject area (Coursera only)</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Sub-Category</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65.2%</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Secondary subject classification (Coursera only)</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Course Type</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65.2%</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Course / Specialization / Professional Certificate / Project (Coursera only)</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Language</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65.2%</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Primary teaching language (Coursera only)</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Subtitle Languages</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65.4%</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List of languages subtitles are available in (Coursera only)</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Skills</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74.1%</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Comma-separated list of skills taught (Coursera only)</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Instructors</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65.3%</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Comma-separated instructor names / credentials (Coursera only)</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Rating</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66.1%</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Course star rating as text, e.g. '4.9stars' (Coursera only)</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Number of viewers</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66.7%</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Learner/viewer count, mixed numeric/text format (Coursera only)</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Duration</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1.8%</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Course length in free text, format varies by platform</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Site</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0%</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Source platform: Coursera, Future Learn, Udacity, Simplilearn</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Program Type</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96.5%</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Program classification (Udacity only)</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Courses</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38.9%</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Sub-course listing text (Future Learn only)</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Level</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97.8%</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Difficulty level: Beginner/Intermediate/Advanced (Udacity only)</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Number of Reviews</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99.4%</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Count of learner reviews (sparse, mixed platforms)</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Unique Projects</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float64</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100%</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Numeric field, 100% empty in this extract</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Prequisites</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96.5%</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Prerequisite knowledge needed (Udacity only)</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What you learn</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96.6%</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Learning outcomes list (Udacity only)</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Related Programs</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98.9%</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Cross-linked related programs (sparse)</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Monthly access</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98.8%</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Subscription pricing tier (sparse)</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6-Month access</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100%</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Subscription pricing tier, 100% empty in this extract</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4-Month access</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99.5%</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Subscription pricing tier (sparse)</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3-Month access</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99.7%</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Subscription pricing tier (sparse)</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5-Month access</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100%</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Subscription pricing tier, 100% empty in this extract</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2-Month access</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99.9%</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Subscription pricing tier (sparse)</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School</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96.7%</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Udacity 'school'/domain the program belongs to (Udacity only)</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Topics related to CRM</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42.3%</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Related-topic tags (Future Learn only)</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ExpertTracks</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40.2%</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Related expert-track program links (Future Learn only)</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FAQs</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86.6%</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Frequently asked questions text block (sparse)</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Course Title</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40.2%</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Secondary title field used by Future Learn's schema</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Course URL</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40.2%</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Secondary URL field used by Future Learn's schema</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Course Short Intro</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40.2%</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Secondary intro field used by Future Learn's schema</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Weekly study</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40.2%</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Expected weekly study time, e.g. '3 hours' (Future Learn only)</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Premium course</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80%</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Flag/text noting premium/paid status (sparse)</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What's include</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94.8%</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What's included in the course package (sparse)</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Rank</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99.5%</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Platform ranking field (sparse)</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Created by</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99.5%</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Course creator/organization (sparse)</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Program</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98.2%</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Program name (Simplilearn only)</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Number of ratings</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98.4%</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Count of ratings received (sparse)</w:t>
            </w:r>
          </w:p>
        </w:tc>
      </w:tr>
      <w:tr>
        <w:tc>
          <w:tcPr>
            <w:tcW w:type="dxa" w:w="2200"/>
            <w:shd w:fill="FFFFFF" w:val="clear"/>
            <w:tcMar>
              <w:top w:type="dxa" w:w="80"/>
              <w:left w:type="dxa" w:w="120"/>
              <w:bottom w:type="dxa" w:w="80"/>
              <w:right w:type="dxa" w:w="120"/>
            </w:tcMar>
          </w:tcPr>
          <w:p>
            <w:pPr>
              <w:jc w:val="left"/>
            </w:pPr>
            <w:r>
              <w:rPr>
                <w:b w:val="false"/>
                <w:bCs w:val="false"/>
                <w:color w:val="202020"/>
                <w:sz w:val="19"/>
                <w:szCs w:val="19"/>
              </w:rPr>
              <w:t xml:space="preserve">Price</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float64</w:t>
            </w:r>
          </w:p>
        </w:tc>
        <w:tc>
          <w:tcPr>
            <w:tcW w:type="dxa" w:w="1200"/>
            <w:shd w:fill="FFFFFF" w:val="clear"/>
            <w:tcMar>
              <w:top w:type="dxa" w:w="80"/>
              <w:left w:type="dxa" w:w="120"/>
              <w:bottom w:type="dxa" w:w="80"/>
              <w:right w:type="dxa" w:w="120"/>
            </w:tcMar>
          </w:tcPr>
          <w:p>
            <w:pPr>
              <w:jc w:val="left"/>
            </w:pPr>
            <w:r>
              <w:rPr>
                <w:b w:val="false"/>
                <w:bCs w:val="false"/>
                <w:color w:val="202020"/>
                <w:sz w:val="19"/>
                <w:szCs w:val="19"/>
              </w:rPr>
              <w:t xml:space="preserve">99.2%</w:t>
            </w:r>
          </w:p>
        </w:tc>
        <w:tc>
          <w:tcPr>
            <w:tcW w:type="dxa" w:w="4700"/>
            <w:shd w:fill="FFFFFF" w:val="clear"/>
            <w:tcMar>
              <w:top w:type="dxa" w:w="80"/>
              <w:left w:type="dxa" w:w="120"/>
              <w:bottom w:type="dxa" w:w="80"/>
              <w:right w:type="dxa" w:w="120"/>
            </w:tcMar>
          </w:tcPr>
          <w:p>
            <w:pPr>
              <w:jc w:val="left"/>
            </w:pPr>
            <w:r>
              <w:rPr>
                <w:b w:val="false"/>
                <w:bCs w:val="false"/>
                <w:color w:val="202020"/>
                <w:sz w:val="19"/>
                <w:szCs w:val="19"/>
              </w:rPr>
              <w:t xml:space="preserve">Course price in local currency (Simplilearn only, 65 rows)</w:t>
            </w:r>
          </w:p>
        </w:tc>
      </w:tr>
      <w:tr>
        <w:tc>
          <w:tcPr>
            <w:tcW w:type="dxa" w:w="2200"/>
            <w:shd w:fill="F4F6FB" w:val="clear"/>
            <w:tcMar>
              <w:top w:type="dxa" w:w="80"/>
              <w:left w:type="dxa" w:w="120"/>
              <w:bottom w:type="dxa" w:w="80"/>
              <w:right w:type="dxa" w:w="120"/>
            </w:tcMar>
          </w:tcPr>
          <w:p>
            <w:pPr>
              <w:jc w:val="left"/>
            </w:pPr>
            <w:r>
              <w:rPr>
                <w:b w:val="false"/>
                <w:bCs w:val="false"/>
                <w:color w:val="202020"/>
                <w:sz w:val="19"/>
                <w:szCs w:val="19"/>
              </w:rPr>
              <w:t xml:space="preserve">COURSE CATEGORIES</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str</w:t>
            </w:r>
          </w:p>
        </w:tc>
        <w:tc>
          <w:tcPr>
            <w:tcW w:type="dxa" w:w="1200"/>
            <w:shd w:fill="F4F6FB" w:val="clear"/>
            <w:tcMar>
              <w:top w:type="dxa" w:w="80"/>
              <w:left w:type="dxa" w:w="120"/>
              <w:bottom w:type="dxa" w:w="80"/>
              <w:right w:type="dxa" w:w="120"/>
            </w:tcMar>
          </w:tcPr>
          <w:p>
            <w:pPr>
              <w:jc w:val="left"/>
            </w:pPr>
            <w:r>
              <w:rPr>
                <w:b w:val="false"/>
                <w:bCs w:val="false"/>
                <w:color w:val="202020"/>
                <w:sz w:val="19"/>
                <w:szCs w:val="19"/>
              </w:rPr>
              <w:t xml:space="preserve">98.2%</w:t>
            </w:r>
          </w:p>
        </w:tc>
        <w:tc>
          <w:tcPr>
            <w:tcW w:type="dxa" w:w="4700"/>
            <w:shd w:fill="F4F6FB" w:val="clear"/>
            <w:tcMar>
              <w:top w:type="dxa" w:w="80"/>
              <w:left w:type="dxa" w:w="120"/>
              <w:bottom w:type="dxa" w:w="80"/>
              <w:right w:type="dxa" w:w="120"/>
            </w:tcMar>
          </w:tcPr>
          <w:p>
            <w:pPr>
              <w:jc w:val="left"/>
            </w:pPr>
            <w:r>
              <w:rPr>
                <w:b w:val="false"/>
                <w:bCs w:val="false"/>
                <w:color w:val="202020"/>
                <w:sz w:val="19"/>
                <w:szCs w:val="19"/>
              </w:rPr>
              <w:t xml:space="preserve">Subject category (Simplilearn only)</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Online Courses EDA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fe5adca16632020d94f5cfb1fd66146eda7395.png"/><Relationship Id="rId10" Type="http://schemas.openxmlformats.org/officeDocument/2006/relationships/image" Target="media/9c78f90556ae2b890de65f8597cdfeb064cc0414.png"/><Relationship Id="rId11" Type="http://schemas.openxmlformats.org/officeDocument/2006/relationships/image" Target="media/4487bc2771dd949ec5b41b6e3ed6d3e497fd2037.png"/><Relationship Id="rId12" Type="http://schemas.openxmlformats.org/officeDocument/2006/relationships/image" Target="media/c656505b9d87ed2df5e201166caa0c86f467a1dc.png"/><Relationship Id="rId13" Type="http://schemas.openxmlformats.org/officeDocument/2006/relationships/image" Target="media/b40af21ae119669b2e5451a87424a97a8e845de7.png"/><Relationship Id="rId14" Type="http://schemas.openxmlformats.org/officeDocument/2006/relationships/image" Target="media/90a98a2c0b549edaf1e530b85dd36a040dd7dff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2026-09-29T06:10:21.591Z</dcterms:created>
  <dcterms:modified xsi:type="dcterms:W3CDTF">2026-09-29T06:10:21.592Z</dcterms:modified>
</cp:coreProperties>
</file>

<file path=docProps/custom.xml><?xml version="1.0" encoding="utf-8"?>
<Properties xmlns="http://schemas.openxmlformats.org/officeDocument/2006/custom-properties" xmlns:vt="http://schemas.openxmlformats.org/officeDocument/2006/docPropsVTypes"/>
</file>