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4E79"/>
          <w:sz w:val="30"/>
          <w:szCs w:val="30"/>
        </w:rPr>
        <w:t xml:space="preserve">Exploratory Data Analysis (EDA) Project</w:t>
      </w:r>
    </w:p>
    <w:p>
      <w:pPr>
        <w:spacing w:after="140"/>
        <w:jc w:val="center"/>
      </w:pPr>
      <w:r>
        <w:rPr>
          <w:i/>
          <w:iCs/>
          <w:color w:val="444444"/>
          <w:sz w:val="20"/>
          <w:szCs w:val="20"/>
        </w:rPr>
        <w:t xml:space="preserve">Weekly U.S. Gasoline Product Supplied — Fiscal Years 2020–2026</w:t>
      </w:r>
    </w:p>
    <w:p>
      <w:pPr>
        <w:pStyle w:val="Heading2"/>
        <w:spacing w:after="60" w:before="120"/>
      </w:pPr>
      <w:r>
        <w:rPr>
          <w:b/>
          <w:bCs/>
          <w:color w:val="1F4E79"/>
          <w:sz w:val="22"/>
          <w:szCs w:val="22"/>
        </w:rPr>
        <w:t xml:space="preserve">Objective</w:t>
      </w:r>
    </w:p>
    <w:p>
      <w:pPr>
        <w:spacing w:after="60" w:line="235"/>
      </w:pPr>
      <w:r>
        <w:rPr>
          <w:b w:val="false"/>
          <w:bCs w:val="false"/>
          <w:sz w:val="18"/>
          <w:szCs w:val="18"/>
        </w:rPr>
        <w:t xml:space="preserve">Perform an in-depth Exploratory Data Analysis on a real-world weekly production dataset to clean, preprocess, and visualize the data in order to uncover trends, seasonality, and year-over-year patterns.</w:t>
      </w:r>
    </w:p>
    <w:p>
      <w:pPr>
        <w:pStyle w:val="Heading2"/>
        <w:spacing w:after="60" w:before="120"/>
      </w:pPr>
      <w:r>
        <w:rPr>
          <w:b/>
          <w:bCs/>
          <w:color w:val="1F4E79"/>
          <w:sz w:val="22"/>
          <w:szCs w:val="22"/>
        </w:rPr>
        <w:t xml:space="preserve">Dataset Description</w:t>
      </w:r>
    </w:p>
    <w:p>
      <w:pPr>
        <w:spacing w:after="60" w:line="235"/>
      </w:pPr>
      <w:r>
        <w:rPr>
          <w:b w:val="false"/>
          <w:bCs w:val="false"/>
          <w:sz w:val="18"/>
          <w:szCs w:val="18"/>
        </w:rPr>
        <w:t xml:space="preserve">Weekly volume (gallons) of finished motor gasoline supplied to the U.S. market, compiled by the DOT Federal Highway Administration from EIA weekly petroleum supply data. 356 weekly records (FY2020–FY2026, partial), 7 raw fields: fiscal year, fiscal week, current- and previous-year production, YoY difference, and current-year cumulative production / cumulative difference.</w:t>
      </w:r>
    </w:p>
    <w:p>
      <w:pPr>
        <w:pStyle w:val="Heading2"/>
        <w:spacing w:after="60" w:before="120"/>
      </w:pPr>
      <w:r>
        <w:rPr>
          <w:b/>
          <w:bCs/>
          <w:color w:val="1F4E79"/>
          <w:sz w:val="22"/>
          <w:szCs w:val="22"/>
        </w:rPr>
        <w:t xml:space="preserve">Tools and Libraries Used</w:t>
      </w:r>
    </w:p>
    <w:p>
      <w:pPr>
        <w:spacing w:after="60" w:line="235"/>
      </w:pPr>
      <w:r>
        <w:rPr>
          <w:b w:val="false"/>
          <w:bCs w:val="false"/>
          <w:sz w:val="18"/>
          <w:szCs w:val="18"/>
        </w:rPr>
        <w:t xml:space="preserve">Python (Jupyter Notebook) · Pandas · NumPy · Matplotlib · Seaborn</w:t>
      </w:r>
    </w:p>
    <w:p>
      <w:pPr>
        <w:pStyle w:val="Heading2"/>
        <w:spacing w:after="60" w:before="120"/>
      </w:pPr>
      <w:r>
        <w:rPr>
          <w:b/>
          <w:bCs/>
          <w:color w:val="1F4E79"/>
          <w:sz w:val="22"/>
          <w:szCs w:val="22"/>
        </w:rPr>
        <w:t xml:space="preserve">Screenshots of Key Visualizations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857500" cy="1162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20"/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Weekly production, FY2020–FY2026 (COVID-19 dip flagged)</w:t>
            </w:r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000250" cy="1162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20"/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Total production by fiscal year</w:t>
            </w:r>
          </w:p>
        </w:tc>
      </w:tr>
      <w:tr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409700" cy="1257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700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20"/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Correlation heatmap</w:t>
            </w:r>
          </w:p>
        </w:tc>
        <w:tc>
          <w:tcPr>
            <w:tcW w:type="pct" w:w="6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505200" cy="1219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20"/>
              <w:jc w:val="center"/>
            </w:pPr>
            <w:r>
              <w:rPr>
                <w:i/>
                <w:iCs/>
                <w:color w:val="555555"/>
                <w:sz w:val="14"/>
                <w:szCs w:val="14"/>
              </w:rPr>
              <w:t xml:space="preserve">Top weeks &amp; average production by quarter</w:t>
            </w:r>
          </w:p>
        </w:tc>
      </w:tr>
    </w:tbl>
    <w:p>
      <w:pPr>
        <w:pStyle w:val="Heading2"/>
        <w:spacing w:after="60" w:before="120"/>
      </w:pPr>
      <w:r>
        <w:rPr>
          <w:b/>
          <w:bCs/>
          <w:color w:val="1F4E79"/>
          <w:sz w:val="22"/>
          <w:szCs w:val="22"/>
        </w:rPr>
        <w:t xml:space="preserve">Summary of Insights</w:t>
      </w:r>
    </w:p>
    <w:p>
      <w:pPr>
        <w:pStyle w:val="ListParagraph"/>
        <w:numPr>
          <w:ilvl w:val="0"/>
          <w:numId w:val="1"/>
        </w:numPr>
        <w:spacing w:after="20" w:line="230"/>
      </w:pPr>
      <w:r>
        <w:rPr>
          <w:sz w:val="17"/>
          <w:szCs w:val="17"/>
        </w:rPr>
        <w:t xml:space="preserve">Average weekly production across FY2020–FY2026: ~2,566 million gallons/week.</w:t>
      </w:r>
    </w:p>
    <w:p>
      <w:pPr>
        <w:pStyle w:val="ListParagraph"/>
        <w:numPr>
          <w:ilvl w:val="0"/>
          <w:numId w:val="1"/>
        </w:numPr>
        <w:spacing w:after="20" w:line="230"/>
      </w:pPr>
      <w:r>
        <w:rPr>
          <w:sz w:val="17"/>
          <w:szCs w:val="17"/>
        </w:rPr>
        <w:t xml:space="preserve">FY2022 had the highest average weekly output (2,608 M gal/week); FY2020 had the lowest (2,470 M gal/week) — the COVID-19 year.</w:t>
      </w:r>
    </w:p>
    <w:p>
      <w:pPr>
        <w:pStyle w:val="ListParagraph"/>
        <w:numPr>
          <w:ilvl w:val="0"/>
          <w:numId w:val="1"/>
        </w:numPr>
        <w:spacing w:after="20" w:line="230"/>
      </w:pPr>
      <w:r>
        <w:rPr>
          <w:sz w:val="17"/>
          <w:szCs w:val="17"/>
        </w:rPr>
        <w:t xml:space="preserve">Q4 (summer driving season) is the strongest quarter (avg 2,626 M gal/week); Q2 (winter) is the weakest.</w:t>
      </w:r>
    </w:p>
    <w:p>
      <w:pPr>
        <w:pStyle w:val="ListParagraph"/>
        <w:numPr>
          <w:ilvl w:val="0"/>
          <w:numId w:val="1"/>
        </w:numPr>
        <w:spacing w:after="20" w:line="230"/>
      </w:pPr>
      <w:r>
        <w:rPr>
          <w:sz w:val="17"/>
          <w:szCs w:val="17"/>
        </w:rPr>
        <w:t xml:space="preserve">12 weeks flagged as statistical outliers (IQR method), all clustered in FY2020 — kept and flagged rather than removed, since they reflect the real COVID-19 demand shock.</w:t>
      </w:r>
    </w:p>
    <w:p>
      <w:pPr>
        <w:pStyle w:val="ListParagraph"/>
        <w:numPr>
          <w:ilvl w:val="0"/>
          <w:numId w:val="1"/>
        </w:numPr>
        <w:spacing w:after="20" w:line="230"/>
      </w:pPr>
      <w:r>
        <w:rPr>
          <w:sz w:val="17"/>
          <w:szCs w:val="17"/>
        </w:rPr>
        <w:t xml:space="preserve">Raw weekly current-vs-previous-year correlation is weak (r ≈ -0.06) — week-level noise dominates — while cumulative current-vs-previous-year totals are almost perfectly correlated (r ≈ 0.996), which is why cumulative pace tracking is far more reliable than comparing single weeks.</w:t>
      </w:r>
    </w:p>
    <w:p>
      <w:pPr>
        <w:pStyle w:val="ListParagraph"/>
        <w:numPr>
          <w:ilvl w:val="0"/>
          <w:numId w:val="1"/>
        </w:numPr>
        <w:spacing w:after="20" w:line="230"/>
      </w:pPr>
      <w:r>
        <w:rPr>
          <w:sz w:val="17"/>
          <w:szCs w:val="17"/>
        </w:rPr>
        <w:t xml:space="preserve">FY2026 is running slightly behind FY2025's pace — about 0.60 billion gallons — through week 44 on a cumulative basis.</w:t>
      </w:r>
    </w:p>
    <w:p>
      <w:pPr>
        <w:pStyle w:val="Heading2"/>
        <w:spacing w:after="60" w:before="120"/>
      </w:pPr>
      <w:r>
        <w:rPr>
          <w:b/>
          <w:bCs/>
          <w:color w:val="1F4E79"/>
          <w:sz w:val="22"/>
          <w:szCs w:val="22"/>
        </w:rPr>
        <w:t xml:space="preserve">Challenges Faced and Solutions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6%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Challenge</w:t>
            </w:r>
          </w:p>
        </w:tc>
        <w:tc>
          <w:tcPr>
            <w:tcW w:type="pct" w:w="54%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Solution</w:t>
            </w:r>
          </w:p>
        </w:tc>
      </w:tr>
      <w:tr>
        <w:tc>
          <w:tcPr>
            <w:tcW w:type="pct" w:w="4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</w:pPr>
            <w:r>
              <w:rPr>
                <w:sz w:val="16"/>
                <w:szCs w:val="16"/>
              </w:rPr>
              <w:t xml:space="preserve">Numbers stored as quoted text with commas; some negatives had a stray Excel "force-text" apostrophe</w:t>
            </w:r>
          </w:p>
        </w:tc>
        <w:tc>
          <w:tcPr>
            <w:tcW w:type="pct" w:w="5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</w:pPr>
            <w:r>
              <w:rPr>
                <w:sz w:val="16"/>
                <w:szCs w:val="16"/>
              </w:rPr>
              <w:t xml:space="preserve">Wrote a clean_number() function to strip the apostrophe and commas before casting to float</w:t>
            </w:r>
          </w:p>
        </w:tc>
      </w:tr>
      <w:tr>
        <w:tc>
          <w:tcPr>
            <w:tcW w:type="pct" w:w="4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</w:pPr>
            <w:r>
              <w:rPr>
                <w:sz w:val="16"/>
                <w:szCs w:val="16"/>
              </w:rPr>
              <w:t xml:space="preserve">FY2022 week 53 (leap week) has no comparable prior-year week; source recorded Previous Year Production = 0</w:t>
            </w:r>
          </w:p>
        </w:tc>
        <w:tc>
          <w:tcPr>
            <w:tcW w:type="pct" w:w="5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</w:pPr>
            <w:r>
              <w:rPr>
                <w:sz w:val="16"/>
                <w:szCs w:val="16"/>
              </w:rPr>
              <w:t xml:space="preserve">Treated 0 as not-applicable and set it to NaN instead of a real zero-production week</w:t>
            </w:r>
          </w:p>
        </w:tc>
      </w:tr>
      <w:tr>
        <w:tc>
          <w:tcPr>
            <w:tcW w:type="pct" w:w="4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</w:pPr>
            <w:r>
              <w:rPr>
                <w:sz w:val="16"/>
                <w:szCs w:val="16"/>
              </w:rPr>
              <w:t xml:space="preserve">FY2025 week 11 was missing entirely (whole row absent, not just null)</w:t>
            </w:r>
          </w:p>
        </w:tc>
        <w:tc>
          <w:tcPr>
            <w:tcW w:type="pct" w:w="5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</w:pPr>
            <w:r>
              <w:rPr>
                <w:sz w:val="16"/>
                <w:szCs w:val="16"/>
              </w:rPr>
              <w:t xml:space="preserve">Recovered the exact value from the untouched cumulative column (cum(wk12) - cum(wk10) - production(wk12)) instead of estimating</w:t>
            </w:r>
          </w:p>
        </w:tc>
      </w:tr>
      <w:tr>
        <w:tc>
          <w:tcPr>
            <w:tcW w:type="pct" w:w="4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</w:pPr>
            <w:r>
              <w:rPr>
                <w:sz w:val="16"/>
                <w:szCs w:val="16"/>
              </w:rPr>
              <w:t xml:space="preserve">A cluster of unusually low FY2020 weeks looked like data errors at first</w:t>
            </w:r>
          </w:p>
        </w:tc>
        <w:tc>
          <w:tcPr>
            <w:tcW w:type="pct" w:w="5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20"/>
            </w:pPr>
            <w:r>
              <w:rPr>
                <w:sz w:val="16"/>
                <w:szCs w:val="16"/>
              </w:rPr>
              <w:t xml:space="preserve">Confirmed via IQR outlier detection + date-checking that it reflects the real COVID-19 demand collapse; flagged and kept rather than deleted</w:t>
            </w:r>
          </w:p>
        </w:tc>
      </w:tr>
    </w:tbl>
    <w:sectPr>
      <w:pgSz w:w="12240" w:h="15840" w:orient="portrait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b93adbe10ffbf7145437b6755fa03194897ee89.png"/><Relationship Id="rId8" Type="http://schemas.openxmlformats.org/officeDocument/2006/relationships/image" Target="media/c3fe4b3610c6a1ed8a4e4b56429a853d8d708d1e.png"/><Relationship Id="rId9" Type="http://schemas.openxmlformats.org/officeDocument/2006/relationships/image" Target="media/4b09659e68fe99106e8f52e1e7629d508e042296.png"/><Relationship Id="rId10" Type="http://schemas.openxmlformats.org/officeDocument/2006/relationships/image" Target="media/a438c402c37f49206ae8d26250f0b2a7a124dda9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2026-08-07T12:46:37.870Z</dcterms:created>
  <dcterms:modified xsi:type="dcterms:W3CDTF">2026-08-07T12:46:37.871Z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