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60"/>
      </w:pPr>
      <w:r>
        <w:rPr>
          <w:rFonts w:ascii="Calibri" w:hAnsi="Calibri"/>
          <w:b/>
          <w:color w:val="0A2540"/>
          <w:sz w:val="36"/>
        </w:rPr>
        <w:t>🌐 The Sovereign Privacy Gateway (SPG)</w:t>
      </w:r>
    </w:p>
    <w:p>
      <w:pPr>
        <w:keepNext/>
        <w:spacing w:before="240" w:after="60"/>
      </w:pPr>
      <w:r>
        <w:rPr>
          <w:rFonts w:ascii="Calibri" w:hAnsi="Calibri"/>
          <w:b/>
          <w:color w:val="0A2540"/>
          <w:sz w:val="26"/>
        </w:rPr>
        <w:t>An Open-Source Privacy Shield for Nations, Central Banks, and Public Institutions</w:t>
      </w:r>
    </w:p>
    <w:p>
      <w:pPr>
        <w:spacing w:before="30" w:after="60"/>
      </w:pPr>
      <w:r>
        <w:rPr>
          <w:rFonts w:ascii="Calibri" w:hAnsi="Calibri"/>
          <w:color w:val="1A1F36"/>
          <w:sz w:val="18"/>
        </w:rPr>
        <w:t>*(Powered by the AI Privacy Core Engine)*</w:t>
      </w:r>
    </w:p>
    <w:p>
      <w:pPr>
        <w:spacing w:before="60" w:after="80"/>
        <w:ind w:left="360"/>
      </w:pPr>
      <w:r>
        <w:rPr>
          <w:rFonts w:ascii="Calibri" w:hAnsi="Calibri"/>
          <w:i/>
          <w:color w:val="0284C7"/>
          <w:sz w:val="19"/>
        </w:rPr>
        <w:t>Empowering sovereign governments, central banks, and public institutions to harness frontier Artificial Intelligence—without exposing citizen identities, banking secrets, or national registries to foreign cloud servers.</w:t>
      </w:r>
    </w:p>
    <w:p>
      <w:pPr>
        <w:keepNext/>
        <w:spacing w:before="160" w:after="40"/>
      </w:pPr>
      <w:r>
        <w:rPr>
          <w:rFonts w:ascii="Calibri" w:hAnsi="Calibri"/>
          <w:b/>
          <w:color w:val="475569"/>
          <w:sz w:val="22"/>
        </w:rPr>
        <w:t>🏛️ Executive Summary at a Glance</w:t>
      </w:r>
    </w:p>
    <w:tbl>
      <w:tblPr>
        <w:tblW w:type="auto" w:w="0"/>
        <w:jc w:val="center"/>
        <w:tblLook w:firstColumn="1" w:firstRow="1" w:lastColumn="0" w:lastRow="0" w:noHBand="0" w:noVBand="1" w:val="04A0"/>
      </w:tblPr>
      <w:tblGrid>
        <w:gridCol w:w="5040"/>
        <w:gridCol w:w="5040"/>
      </w:tblGrid>
      <w:tr>
        <w:tc>
          <w:tcPr>
            <w:tcW w:type="dxa" w:w="5040"/>
            <w:tcMar>
              <w:top w:w="60" w:type="dxa"/>
              <w:bottom w:w="60" w:type="dxa"/>
              <w:left w:w="90" w:type="dxa"/>
              <w:right w:w="90" w:type="dxa"/>
            </w:tcMar>
            <w:shd w:fill="0A2540"/>
          </w:tcPr>
          <w:p>
            <w:pPr>
              <w:spacing w:before="20" w:after="20"/>
            </w:pPr>
            <w:r>
              <w:rPr>
                <w:rFonts w:ascii="Calibri" w:hAnsi="Calibri"/>
                <w:b/>
                <w:color w:val="FFFFFF"/>
                <w:sz w:val="18"/>
              </w:rPr>
              <w:t>Dimension</w:t>
            </w:r>
          </w:p>
        </w:tc>
        <w:tc>
          <w:tcPr>
            <w:tcW w:type="dxa" w:w="5040"/>
            <w:tcMar>
              <w:top w:w="60" w:type="dxa"/>
              <w:bottom w:w="60" w:type="dxa"/>
              <w:left w:w="90" w:type="dxa"/>
              <w:right w:w="90" w:type="dxa"/>
            </w:tcMar>
            <w:shd w:fill="0A2540"/>
          </w:tcPr>
          <w:p>
            <w:pPr>
              <w:spacing w:before="20" w:after="20"/>
            </w:pPr>
            <w:r>
              <w:rPr>
                <w:rFonts w:ascii="Calibri" w:hAnsi="Calibri"/>
                <w:b/>
                <w:color w:val="FFFFFF"/>
                <w:sz w:val="18"/>
              </w:rPr>
              <w:t>Sovereign Public Sector Impact</w:t>
            </w:r>
          </w:p>
        </w:tc>
      </w:tr>
      <w:tr>
        <w:tc>
          <w:tcPr>
            <w:tcW w:type="dxa" w:w="5040"/>
            <w:tcMar>
              <w:top w:w="60" w:type="dxa"/>
              <w:bottom w:w="60" w:type="dxa"/>
              <w:left w:w="90" w:type="dxa"/>
              <w:right w:w="90" w:type="dxa"/>
            </w:tcMar>
            <w:shd w:fill="F8FAFC"/>
          </w:tcPr>
          <w:p>
            <w:pPr>
              <w:spacing w:before="20" w:after="20"/>
            </w:pPr>
            <w:r>
              <w:rPr>
                <w:rFonts w:ascii="Calibri" w:hAnsi="Calibri"/>
                <w:color w:val="1A1F36"/>
                <w:sz w:val="17"/>
              </w:rPr>
              <w:t>Core Mission</w:t>
            </w:r>
          </w:p>
        </w:tc>
        <w:tc>
          <w:tcPr>
            <w:tcW w:type="dxa" w:w="5040"/>
            <w:tcMar>
              <w:top w:w="60" w:type="dxa"/>
              <w:bottom w:w="60" w:type="dxa"/>
              <w:left w:w="90" w:type="dxa"/>
              <w:right w:w="90" w:type="dxa"/>
            </w:tcMar>
            <w:shd w:fill="F8FAFC"/>
          </w:tcPr>
          <w:p>
            <w:pPr>
              <w:spacing w:before="20" w:after="20"/>
            </w:pPr>
            <w:r>
              <w:rPr>
                <w:rFonts w:ascii="Calibri" w:hAnsi="Calibri"/>
                <w:color w:val="1A1F36"/>
                <w:sz w:val="17"/>
              </w:rPr>
              <w:t>Autonomous security gateway that intercepts prompts at the institutional boundary, substitutes sensitive citizen data with safe placeholders before transmission to external AI models, and seamlessly restores original values upon return.</w:t>
            </w:r>
          </w:p>
        </w:tc>
      </w:tr>
      <w:tr>
        <w:tc>
          <w:tcPr>
            <w:tcW w:type="dxa" w:w="5040"/>
            <w:tcMar>
              <w:top w:w="60" w:type="dxa"/>
              <w:bottom w:w="60" w:type="dxa"/>
              <w:left w:w="90" w:type="dxa"/>
              <w:right w:w="90" w:type="dxa"/>
            </w:tcMar>
          </w:tcPr>
          <w:p>
            <w:pPr>
              <w:spacing w:before="20" w:after="20"/>
            </w:pPr>
            <w:r>
              <w:rPr>
                <w:rFonts w:ascii="Calibri" w:hAnsi="Calibri"/>
                <w:color w:val="1A1F36"/>
                <w:sz w:val="17"/>
              </w:rPr>
              <w:t>Empirical Scale</w:t>
            </w:r>
          </w:p>
        </w:tc>
        <w:tc>
          <w:tcPr>
            <w:tcW w:type="dxa" w:w="5040"/>
            <w:tcMar>
              <w:top w:w="60" w:type="dxa"/>
              <w:bottom w:w="60" w:type="dxa"/>
              <w:left w:w="90" w:type="dxa"/>
              <w:right w:w="90" w:type="dxa"/>
            </w:tcMar>
          </w:tcPr>
          <w:p>
            <w:pPr>
              <w:spacing w:before="20" w:after="20"/>
            </w:pPr>
            <w:r>
              <w:rPr>
                <w:rFonts w:ascii="Calibri" w:hAnsi="Calibri"/>
                <w:color w:val="1A1F36"/>
                <w:sz w:val="17"/>
              </w:rPr>
              <w:t>Evaluated across ~1.94 Billion tokens (9,334,805 real-world prompts) with 100.0000% exact bit-for-bit reconstruction and 0 mismatches—one of the largest recorded empirical stress tests for open-source privacy infrastructure.</w:t>
            </w:r>
          </w:p>
        </w:tc>
      </w:tr>
      <w:tr>
        <w:tc>
          <w:tcPr>
            <w:tcW w:type="dxa" w:w="5040"/>
            <w:tcMar>
              <w:top w:w="60" w:type="dxa"/>
              <w:bottom w:w="60" w:type="dxa"/>
              <w:left w:w="90" w:type="dxa"/>
              <w:right w:w="90" w:type="dxa"/>
            </w:tcMar>
            <w:shd w:fill="F8FAFC"/>
          </w:tcPr>
          <w:p>
            <w:pPr>
              <w:spacing w:before="20" w:after="20"/>
            </w:pPr>
            <w:r>
              <w:rPr>
                <w:rFonts w:ascii="Calibri" w:hAnsi="Calibri"/>
                <w:color w:val="1A1F36"/>
                <w:sz w:val="17"/>
              </w:rPr>
              <w:t>Global South Parity</w:t>
            </w:r>
          </w:p>
        </w:tc>
        <w:tc>
          <w:tcPr>
            <w:tcW w:type="dxa" w:w="5040"/>
            <w:tcMar>
              <w:top w:w="60" w:type="dxa"/>
              <w:bottom w:w="60" w:type="dxa"/>
              <w:left w:w="90" w:type="dxa"/>
              <w:right w:w="90" w:type="dxa"/>
            </w:tcMar>
            <w:shd w:fill="F8FAFC"/>
          </w:tcPr>
          <w:p>
            <w:pPr>
              <w:spacing w:before="20" w:after="20"/>
            </w:pPr>
            <w:r>
              <w:rPr>
                <w:rFonts w:ascii="Calibri" w:hAnsi="Calibri"/>
                <w:color w:val="1A1F36"/>
                <w:sz w:val="17"/>
              </w:rPr>
              <w:t>Out-of-the-box protection for 109 sovereign jurisdictions, with dedicated coverage across ASEAN, Africa, Latin America, and South Asia.</w:t>
            </w:r>
          </w:p>
        </w:tc>
      </w:tr>
      <w:tr>
        <w:tc>
          <w:tcPr>
            <w:tcW w:type="dxa" w:w="5040"/>
            <w:tcMar>
              <w:top w:w="60" w:type="dxa"/>
              <w:bottom w:w="60" w:type="dxa"/>
              <w:left w:w="90" w:type="dxa"/>
              <w:right w:w="90" w:type="dxa"/>
            </w:tcMar>
          </w:tcPr>
          <w:p>
            <w:pPr>
              <w:spacing w:before="20" w:after="20"/>
            </w:pPr>
            <w:r>
              <w:rPr>
                <w:rFonts w:ascii="Calibri" w:hAnsi="Calibri"/>
                <w:color w:val="1A1F36"/>
                <w:sz w:val="17"/>
              </w:rPr>
              <w:t>Mathematical Certainty</w:t>
            </w:r>
          </w:p>
        </w:tc>
        <w:tc>
          <w:tcPr>
            <w:tcW w:type="dxa" w:w="5040"/>
            <w:tcMar>
              <w:top w:w="60" w:type="dxa"/>
              <w:bottom w:w="60" w:type="dxa"/>
              <w:left w:w="90" w:type="dxa"/>
              <w:right w:w="90" w:type="dxa"/>
            </w:tcMar>
          </w:tcPr>
          <w:p>
            <w:pPr>
              <w:spacing w:before="20" w:after="20"/>
            </w:pPr>
            <w:r>
              <w:rPr>
                <w:rFonts w:ascii="Calibri" w:hAnsi="Calibri"/>
                <w:color w:val="1A1F36"/>
                <w:sz w:val="17"/>
              </w:rPr>
              <w:t>Built on 67 official government checksum algorithms (Thai Modulo 11, South African Luhn, Nigerian NIN, Indian Verhoeff, ISO 7064 IBAN, and payment card Luhn)—delivering zero false alarms.</w:t>
            </w:r>
          </w:p>
        </w:tc>
      </w:tr>
      <w:tr>
        <w:tc>
          <w:tcPr>
            <w:tcW w:type="dxa" w:w="5040"/>
            <w:tcMar>
              <w:top w:w="60" w:type="dxa"/>
              <w:bottom w:w="60" w:type="dxa"/>
              <w:left w:w="90" w:type="dxa"/>
              <w:right w:w="90" w:type="dxa"/>
            </w:tcMar>
            <w:shd w:fill="F8FAFC"/>
          </w:tcPr>
          <w:p>
            <w:pPr>
              <w:spacing w:before="20" w:after="20"/>
            </w:pPr>
            <w:r>
              <w:rPr>
                <w:rFonts w:ascii="Calibri" w:hAnsi="Calibri"/>
                <w:color w:val="1A1F36"/>
                <w:sz w:val="17"/>
              </w:rPr>
              <w:t>Zero Data Retention</w:t>
            </w:r>
          </w:p>
        </w:tc>
        <w:tc>
          <w:tcPr>
            <w:tcW w:type="dxa" w:w="5040"/>
            <w:tcMar>
              <w:top w:w="60" w:type="dxa"/>
              <w:bottom w:w="60" w:type="dxa"/>
              <w:left w:w="90" w:type="dxa"/>
              <w:right w:w="90" w:type="dxa"/>
            </w:tcMar>
            <w:shd w:fill="F8FAFC"/>
          </w:tcPr>
          <w:p>
            <w:pPr>
              <w:spacing w:before="20" w:after="20"/>
            </w:pPr>
            <w:r>
              <w:rPr>
                <w:rFonts w:ascii="Calibri" w:hAnsi="Calibri"/>
                <w:color w:val="1A1F36"/>
                <w:sz w:val="17"/>
              </w:rPr>
              <w:t>True zero-trace ephemeral memory. Operates strictly in volatile RAM; records are cryptographically obliterated the millisecond an answer is returned (`purgeAfterRead: true`).</w:t>
            </w:r>
          </w:p>
        </w:tc>
      </w:tr>
      <w:tr>
        <w:tc>
          <w:tcPr>
            <w:tcW w:type="dxa" w:w="5040"/>
            <w:tcMar>
              <w:top w:w="60" w:type="dxa"/>
              <w:bottom w:w="60" w:type="dxa"/>
              <w:left w:w="90" w:type="dxa"/>
              <w:right w:w="90" w:type="dxa"/>
            </w:tcMar>
          </w:tcPr>
          <w:p>
            <w:pPr>
              <w:spacing w:before="20" w:after="20"/>
            </w:pPr>
            <w:r>
              <w:rPr>
                <w:rFonts w:ascii="Calibri" w:hAnsi="Calibri"/>
                <w:color w:val="1A1F36"/>
                <w:sz w:val="17"/>
              </w:rPr>
              <w:t>High Performance</w:t>
            </w:r>
          </w:p>
        </w:tc>
        <w:tc>
          <w:tcPr>
            <w:tcW w:type="dxa" w:w="5040"/>
            <w:tcMar>
              <w:top w:w="60" w:type="dxa"/>
              <w:bottom w:w="60" w:type="dxa"/>
              <w:left w:w="90" w:type="dxa"/>
              <w:right w:w="90" w:type="dxa"/>
            </w:tcMar>
          </w:tcPr>
          <w:p>
            <w:pPr>
              <w:spacing w:before="20" w:after="20"/>
            </w:pPr>
            <w:r>
              <w:rPr>
                <w:rFonts w:ascii="Calibri" w:hAnsi="Calibri"/>
                <w:color w:val="1A1F36"/>
                <w:sz w:val="17"/>
              </w:rPr>
              <w:t>86\,\mu\text{s} (0.086\,\text{ms}) internal engine latency; sustained 13.3\,\text{ms} socket-to-socket SLA at 2,691.95\,\text{req/s} over encrypted TLS 1.3 public networks.</w:t>
            </w:r>
          </w:p>
        </w:tc>
      </w:tr>
      <w:tr>
        <w:tc>
          <w:tcPr>
            <w:tcW w:type="dxa" w:w="5040"/>
            <w:tcMar>
              <w:top w:w="60" w:type="dxa"/>
              <w:bottom w:w="60" w:type="dxa"/>
              <w:left w:w="90" w:type="dxa"/>
              <w:right w:w="90" w:type="dxa"/>
            </w:tcMar>
            <w:shd w:fill="F8FAFC"/>
          </w:tcPr>
          <w:p>
            <w:pPr>
              <w:spacing w:before="20" w:after="20"/>
            </w:pPr>
            <w:r>
              <w:rPr>
                <w:rFonts w:ascii="Calibri" w:hAnsi="Calibri"/>
                <w:color w:val="1A1F36"/>
                <w:sz w:val="17"/>
              </w:rPr>
              <w:t>Open Governance</w:t>
            </w:r>
          </w:p>
        </w:tc>
        <w:tc>
          <w:tcPr>
            <w:tcW w:type="dxa" w:w="5040"/>
            <w:tcMar>
              <w:top w:w="60" w:type="dxa"/>
              <w:bottom w:w="60" w:type="dxa"/>
              <w:left w:w="90" w:type="dxa"/>
              <w:right w:w="90" w:type="dxa"/>
            </w:tcMar>
            <w:shd w:fill="F8FAFC"/>
          </w:tcPr>
          <w:p>
            <w:pPr>
              <w:spacing w:before="20" w:after="20"/>
            </w:pPr>
            <w:r>
              <w:rPr>
                <w:rFonts w:ascii="Calibri" w:hAnsi="Calibri"/>
                <w:color w:val="1A1F36"/>
                <w:sz w:val="17"/>
              </w:rPr>
              <w:t>100% Permissive Open Source (Apache-2.0). Free to audit, deploy, and own locally with zero vendor lock-in and zero licensing fees.</w:t>
            </w:r>
          </w:p>
        </w:tc>
      </w:tr>
    </w:tbl>
    <w:p>
      <w:pPr>
        <w:spacing w:before="0" w:after="60"/>
      </w:pPr>
    </w:p>
    <w:p>
      <w:pPr>
        <w:keepNext/>
        <w:spacing w:before="240" w:after="60"/>
      </w:pPr>
      <w:r>
        <w:rPr>
          <w:rFonts w:ascii="Calibri" w:hAnsi="Calibri"/>
          <w:b/>
          <w:color w:val="0A2540"/>
          <w:sz w:val="26"/>
        </w:rPr>
        <w:t>1. The Challenge: The Sovereign AI Dilemma</w:t>
      </w:r>
    </w:p>
    <w:p>
      <w:pPr>
        <w:spacing w:before="30" w:after="60"/>
      </w:pPr>
      <w:r>
        <w:rPr>
          <w:rFonts w:ascii="Calibri" w:hAnsi="Calibri"/>
          <w:color w:val="1A1F36"/>
          <w:sz w:val="18"/>
        </w:rPr>
        <w:t>Public institutions and central banks face intense pressure to adopt Artificial Intelligence for fraud detection, macroeconomic analysis, and administrative modernization. However, frontier foundation models (OpenAI, Google Gemini, Anthropic) operate within offshore commercial cloud servers governed by foreign jurisdictions.</w:t>
      </w:r>
    </w:p>
    <w:p>
      <w:pPr>
        <w:spacing w:before="30" w:after="60"/>
      </w:pPr>
      <w:r>
        <w:rPr>
          <w:rFonts w:ascii="Calibri" w:hAnsi="Calibri"/>
          <w:color w:val="1A1F36"/>
          <w:sz w:val="18"/>
        </w:rPr>
        <w:t>This introduces three critical risks:</w:t>
      </w:r>
    </w:p>
    <w:p>
      <w:pPr>
        <w:pStyle w:val="ListBullet"/>
        <w:spacing w:before="20" w:after="30"/>
      </w:pPr>
      <w:r>
        <w:rPr>
          <w:rFonts w:ascii="Calibri" w:hAnsi="Calibri"/>
          <w:color w:val="1A1F36"/>
          <w:sz w:val="18"/>
        </w:rPr>
      </w:r>
      <w:r>
        <w:rPr>
          <w:rFonts w:ascii="Calibri" w:hAnsi="Calibri"/>
          <w:b/>
          <w:color w:val="1A1F36"/>
          <w:sz w:val="18"/>
        </w:rPr>
        <w:t>Cross-Border Data Leaks</w:t>
      </w:r>
      <w:r>
        <w:rPr>
          <w:rFonts w:ascii="Calibri" w:hAnsi="Calibri"/>
          <w:color w:val="1A1F36"/>
          <w:sz w:val="18"/>
        </w:rPr>
        <w:t>: Civil servants querying AI routinely transmit national ID numbers, taxpayer records, bank account details, and confidential memos across international borders.</w:t>
      </w:r>
    </w:p>
    <w:p>
      <w:pPr>
        <w:pStyle w:val="ListBullet"/>
        <w:spacing w:before="20" w:after="30"/>
      </w:pPr>
      <w:r>
        <w:rPr>
          <w:rFonts w:ascii="Calibri" w:hAnsi="Calibri"/>
          <w:color w:val="1A1F36"/>
          <w:sz w:val="18"/>
        </w:rPr>
      </w:r>
      <w:r>
        <w:rPr>
          <w:rFonts w:ascii="Calibri" w:hAnsi="Calibri"/>
          <w:b/>
          <w:color w:val="1A1F36"/>
          <w:sz w:val="18"/>
        </w:rPr>
        <w:t>Statutory Violations</w:t>
      </w:r>
      <w:r>
        <w:rPr>
          <w:rFonts w:ascii="Calibri" w:hAnsi="Calibri"/>
          <w:color w:val="1A1F36"/>
          <w:sz w:val="18"/>
        </w:rPr>
        <w:t>: Uncontrolled data transfer directly breaches national banking secrecy, international treaties, and domestic privacy laws (e.g., European GDPR, Thailand PDPA, Singapore PDPA, and African data protection statutes).</w:t>
      </w:r>
    </w:p>
    <w:p>
      <w:pPr>
        <w:pStyle w:val="ListBullet"/>
        <w:spacing w:before="20" w:after="30"/>
      </w:pPr>
      <w:r>
        <w:rPr>
          <w:rFonts w:ascii="Calibri" w:hAnsi="Calibri"/>
          <w:color w:val="1A1F36"/>
          <w:sz w:val="18"/>
        </w:rPr>
      </w:r>
      <w:r>
        <w:rPr>
          <w:rFonts w:ascii="Calibri" w:hAnsi="Calibri"/>
          <w:b/>
          <w:color w:val="1A1F36"/>
          <w:sz w:val="18"/>
        </w:rPr>
        <w:t>The Impasse of "Blackout" Redaction</w:t>
      </w:r>
      <w:r>
        <w:rPr>
          <w:rFonts w:ascii="Calibri" w:hAnsi="Calibri"/>
          <w:color w:val="1A1F36"/>
          <w:sz w:val="18"/>
        </w:rPr>
        <w:t xml:space="preserve">: Simple text blacking-out (`[REDACTED]`) destroys sentence context, preventing AI from drafting legal memos or financial evaluations. Consequently, institutions are trapped between risky </w:t>
      </w:r>
      <w:r>
        <w:rPr>
          <w:rFonts w:ascii="Calibri" w:hAnsi="Calibri"/>
          <w:b/>
          <w:color w:val="1A1F36"/>
          <w:sz w:val="18"/>
        </w:rPr>
        <w:t>"Shadow AI"</w:t>
      </w:r>
      <w:r>
        <w:rPr>
          <w:rFonts w:ascii="Calibri" w:hAnsi="Calibri"/>
          <w:color w:val="1A1F36"/>
          <w:sz w:val="18"/>
        </w:rPr>
        <w:t xml:space="preserve"> and </w:t>
      </w:r>
      <w:r>
        <w:rPr>
          <w:rFonts w:ascii="Calibri" w:hAnsi="Calibri"/>
          <w:b/>
          <w:color w:val="1A1F36"/>
          <w:sz w:val="18"/>
        </w:rPr>
        <w:t>total AI prohibition</w:t>
      </w:r>
      <w:r>
        <w:rPr>
          <w:rFonts w:ascii="Calibri" w:hAnsi="Calibri"/>
          <w:color w:val="1A1F36"/>
          <w:sz w:val="18"/>
        </w:rPr>
        <w:t>.</w:t>
      </w:r>
    </w:p>
    <w:p>
      <w:pPr>
        <w:keepNext/>
        <w:spacing w:before="240" w:after="60"/>
      </w:pPr>
      <w:r>
        <w:rPr>
          <w:rFonts w:ascii="Calibri" w:hAnsi="Calibri"/>
          <w:b/>
          <w:color w:val="0A2540"/>
          <w:sz w:val="26"/>
        </w:rPr>
        <w:t>2. The Solution: How the Sovereign Privacy Gateway (SPG) Works</w:t>
      </w:r>
    </w:p>
    <w:p>
      <w:pPr>
        <w:spacing w:before="30" w:after="60"/>
      </w:pPr>
      <w:r>
        <w:rPr>
          <w:rFonts w:ascii="Calibri" w:hAnsi="Calibri"/>
          <w:color w:val="1A1F36"/>
          <w:sz w:val="18"/>
        </w:rPr>
        <w:t xml:space="preserve">The </w:t>
      </w:r>
      <w:r>
        <w:rPr>
          <w:rFonts w:ascii="Calibri" w:hAnsi="Calibri"/>
          <w:b/>
          <w:color w:val="1A1F36"/>
          <w:sz w:val="18"/>
        </w:rPr>
        <w:t>Sovereign Privacy Gateway (SPG)</w:t>
      </w:r>
      <w:r>
        <w:rPr>
          <w:rFonts w:ascii="Calibri" w:hAnsi="Calibri"/>
          <w:color w:val="1A1F36"/>
          <w:sz w:val="18"/>
        </w:rPr>
        <w:t xml:space="preserve">, powered by the open-source </w:t>
      </w:r>
      <w:r>
        <w:rPr>
          <w:rFonts w:ascii="Calibri" w:hAnsi="Calibri"/>
          <w:b/>
          <w:color w:val="1A1F36"/>
          <w:sz w:val="18"/>
        </w:rPr>
        <w:t>AI Privacy Core</w:t>
      </w:r>
      <w:r>
        <w:rPr>
          <w:rFonts w:ascii="Calibri" w:hAnsi="Calibri"/>
          <w:color w:val="1A1F36"/>
          <w:sz w:val="18"/>
        </w:rPr>
        <w:t xml:space="preserve"> engine, deploys as an autonomous security checkpoint directly at the sovereign network boundary, cleanly decoupling *AI intelligence* from *confidential citizen data*:</w:t>
      </w:r>
    </w:p>
    <w:p>
      <w:pPr>
        <w:spacing w:before="20" w:after="30"/>
        <w:ind w:left="288"/>
      </w:pPr>
      <w:r>
        <w:rPr>
          <w:rFonts w:ascii="Calibri" w:hAnsi="Calibri"/>
          <w:color w:val="1A1F36"/>
          <w:sz w:val="18"/>
        </w:rPr>
        <w:t xml:space="preserve">1. </w:t>
      </w:r>
      <w:r>
        <w:rPr>
          <w:rFonts w:ascii="Calibri" w:hAnsi="Calibri"/>
          <w:b/>
          <w:color w:val="1A1F36"/>
          <w:sz w:val="18"/>
        </w:rPr>
        <w:t>Border Interception</w:t>
      </w:r>
      <w:r>
        <w:rPr>
          <w:rFonts w:ascii="Calibri" w:hAnsi="Calibri"/>
          <w:color w:val="1A1F36"/>
          <w:sz w:val="18"/>
        </w:rPr>
        <w:t>: Intercepts outgoing queries before they leave the domestic or institutional network.</w:t>
      </w:r>
    </w:p>
    <w:p>
      <w:pPr>
        <w:spacing w:before="20" w:after="30"/>
        <w:ind w:left="288"/>
      </w:pPr>
      <w:r>
        <w:rPr>
          <w:rFonts w:ascii="Calibri" w:hAnsi="Calibri"/>
          <w:color w:val="1A1F36"/>
          <w:sz w:val="18"/>
        </w:rPr>
        <w:t xml:space="preserve">2. </w:t>
      </w:r>
      <w:r>
        <w:rPr>
          <w:rFonts w:ascii="Calibri" w:hAnsi="Calibri"/>
          <w:b/>
          <w:color w:val="1A1F36"/>
          <w:sz w:val="18"/>
        </w:rPr>
        <w:t>Mathematical Pseudonymization</w:t>
      </w:r>
      <w:r>
        <w:rPr>
          <w:rFonts w:ascii="Calibri" w:hAnsi="Calibri"/>
          <w:color w:val="1A1F36"/>
          <w:sz w:val="18"/>
        </w:rPr>
        <w:t>: Identifies sensitive records via official mathematical checksums and swaps them with semantically coherent tokens (e.g., Thai National ID \to `&lt;THAI_ID_1&gt;`, South African ID / Nigerian NIN \to `&lt;NATIONAL_ID_1&gt;`, IBAN \to `&lt;BANK_ACCOUNT_1&gt;`).</w:t>
      </w:r>
    </w:p>
    <w:p>
      <w:pPr>
        <w:spacing w:before="20" w:after="30"/>
        <w:ind w:left="288"/>
      </w:pPr>
      <w:r>
        <w:rPr>
          <w:rFonts w:ascii="Calibri" w:hAnsi="Calibri"/>
          <w:color w:val="1A1F36"/>
          <w:sz w:val="18"/>
        </w:rPr>
        <w:t xml:space="preserve">3. </w:t>
      </w:r>
      <w:r>
        <w:rPr>
          <w:rFonts w:ascii="Calibri" w:hAnsi="Calibri"/>
          <w:b/>
          <w:color w:val="1A1F36"/>
          <w:sz w:val="18"/>
        </w:rPr>
        <w:t>Safe Upstream Reasoning</w:t>
      </w:r>
      <w:r>
        <w:rPr>
          <w:rFonts w:ascii="Calibri" w:hAnsi="Calibri"/>
          <w:color w:val="1A1F36"/>
          <w:sz w:val="18"/>
        </w:rPr>
        <w:t>: The external AI model reasons and computes over anonymous placeholders, never seeing or storing citizen data.</w:t>
      </w:r>
    </w:p>
    <w:p>
      <w:pPr>
        <w:spacing w:before="20" w:after="30"/>
        <w:ind w:left="288"/>
      </w:pPr>
      <w:r>
        <w:rPr>
          <w:rFonts w:ascii="Calibri" w:hAnsi="Calibri"/>
          <w:color w:val="1A1F36"/>
          <w:sz w:val="18"/>
        </w:rPr>
        <w:t xml:space="preserve">4. </w:t>
      </w:r>
      <w:r>
        <w:rPr>
          <w:rFonts w:ascii="Calibri" w:hAnsi="Calibri"/>
          <w:b/>
          <w:color w:val="1A1F36"/>
          <w:sz w:val="18"/>
        </w:rPr>
        <w:t>Exact Reconstruction</w:t>
      </w:r>
      <w:r>
        <w:rPr>
          <w:rFonts w:ascii="Calibri" w:hAnsi="Calibri"/>
          <w:color w:val="1A1F36"/>
          <w:sz w:val="18"/>
        </w:rPr>
        <w:t xml:space="preserve">: As the response returns across the boundary, SPG swaps real identifiers back into the text with </w:t>
      </w:r>
      <w:r>
        <w:rPr>
          <w:rFonts w:ascii="Calibri" w:hAnsi="Calibri"/>
          <w:b/>
          <w:color w:val="1A1F36"/>
          <w:sz w:val="18"/>
        </w:rPr>
        <w:t>100.0000% precision</w:t>
      </w:r>
      <w:r>
        <w:rPr>
          <w:rFonts w:ascii="Calibri" w:hAnsi="Calibri"/>
          <w:color w:val="1A1F36"/>
          <w:sz w:val="18"/>
        </w:rPr>
        <w:t>.</w:t>
      </w:r>
    </w:p>
    <w:p>
      <w:pPr>
        <w:spacing w:before="20" w:after="30"/>
        <w:ind w:left="288"/>
      </w:pPr>
      <w:r>
        <w:rPr>
          <w:rFonts w:ascii="Calibri" w:hAnsi="Calibri"/>
          <w:color w:val="1A1F36"/>
          <w:sz w:val="18"/>
        </w:rPr>
        <w:t xml:space="preserve">5. </w:t>
      </w:r>
      <w:r>
        <w:rPr>
          <w:rFonts w:ascii="Calibri" w:hAnsi="Calibri"/>
          <w:b/>
          <w:color w:val="1A1F36"/>
          <w:sz w:val="18"/>
        </w:rPr>
        <w:t>Instant Obliteration</w:t>
      </w:r>
      <w:r>
        <w:rPr>
          <w:rFonts w:ascii="Calibri" w:hAnsi="Calibri"/>
          <w:color w:val="1A1F36"/>
          <w:sz w:val="18"/>
        </w:rPr>
        <w:t>: The translation key is held solely in volatile RAM and immediately wiped from memory. No database is created; no audit trail of citizen data remains.</w:t>
      </w:r>
    </w:p>
    <w:p>
      <w:pPr>
        <w:keepNext/>
        <w:spacing w:before="240" w:after="60"/>
      </w:pPr>
      <w:r>
        <w:rPr>
          <w:rFonts w:ascii="Calibri" w:hAnsi="Calibri"/>
          <w:b/>
          <w:color w:val="0A2540"/>
          <w:sz w:val="26"/>
        </w:rPr>
        <w:t>3. The Operational Journey</w:t>
      </w:r>
    </w:p>
    <w:p>
      <w:pPr>
        <w:spacing w:before="60" w:after="100"/>
      </w:pPr>
      <w:r>
        <w:rPr>
          <w:rFonts w:ascii="Consolas" w:hAnsi="Consolas"/>
          <w:color w:val="0F172A"/>
          <w:sz w:val="16"/>
        </w:rPr>
        <w:t>[ Central Bank Analyst / Public Official ]</w:t>
        <w:br/>
        <w:t xml:space="preserve">                  │</w:t>
        <w:br/>
        <w:t xml:space="preserve">  (1) RAW QUERY   │ "Review USD 50,000 wire from Alice Wong (alice@finance.gov)</w:t>
        <w:br/>
        <w:t xml:space="preserve">      (Sensitive) │  Visa 4532-0151-1283-0366 to Thai National ID 1-1004-99999-88-2."</w:t>
        <w:br/>
        <w:t xml:space="preserve">                  ▼</w:t>
        <w:br/>
        <w:t>┌─────────────────────────────────────────────────────────────────────────────┐</w:t>
        <w:br/>
        <w:t>│       THE SOVEREIGN PRIVACY GATEWAY (SPG - Domestic Network Edge)          │</w:t>
        <w:br/>
        <w:t>│ • Validates Thai ID via Modulo 11 &amp; Visa card via Luhn algorithm            │</w:t>
        <w:br/>
        <w:t>│ • Substitutes: Alice Wong -&gt; &lt;PERSON_1&gt;, alice@finance.gov -&gt; &lt;EMAIL_1&gt;,    │</w:t>
        <w:br/>
        <w:t>│   Visa -&gt; &lt;CARD_1&gt;, Thai ID -&gt; &lt;THAI_ID_1&gt;                                  │</w:t>
        <w:br/>
        <w:t>│ • Holds mapping only in temporary volatile RAM                              │</w:t>
        <w:br/>
        <w:t>└─────────────────────────────────────────────────────────────────────────────┘</w:t>
        <w:br/>
        <w:t xml:space="preserve">                  │</w:t>
        <w:br/>
        <w:t xml:space="preserve">  (2) SAFE PROMPT │ "Review USD 50,000 wire from &lt;PERSON_1&gt; (&lt;EMAIL_1&gt;)</w:t>
        <w:br/>
        <w:t xml:space="preserve">      (Anonymized)│  using Card &lt;CARD_1&gt; to Thai ID &lt;THAI_ID_1&gt;."</w:t>
        <w:br/>
        <w:t xml:space="preserve">                  ▼</w:t>
        <w:br/>
        <w:t>┌─────────────────────────────────────────────────────────────────────────────┐</w:t>
        <w:br/>
        <w:t>│                  EXTERNAL AI FOUNDATION MODEL (Cloud)                       │</w:t>
        <w:br/>
        <w:t>│ • Reasons over logic and compliance; NEVER sees sovereign citizen data      │</w:t>
        <w:br/>
        <w:t>└─────────────────────────────────────────────────────────────────────────────┘</w:t>
        <w:br/>
        <w:t xml:space="preserve">                  │</w:t>
        <w:br/>
        <w:t xml:space="preserve">  (3) AI RESPONSE │ "Transfer approved: USD 50,000 from &lt;CARD_1&gt; to &lt;THAI_ID_1&gt;."</w:t>
        <w:br/>
        <w:t xml:space="preserve">                  ▼</w:t>
        <w:br/>
        <w:t>┌─────────────────────────────────────────────────────────────────────────────┐</w:t>
        <w:br/>
        <w:t>│       THE SOVEREIGN PRIVACY GATEWAY (SPG - Inbound Restoration Layer)       │</w:t>
        <w:br/>
        <w:t>│ • Restores safe tokens with 100% fidelity using temporary volatile key      │</w:t>
        <w:br/>
        <w:t>│ • Instantly obliterates mapping from RAM (`purgeAfterRead: true`)           │</w:t>
        <w:br/>
        <w:t>└─────────────────────────────────────────────────────────────────────────────┘</w:t>
        <w:br/>
        <w:t xml:space="preserve">                  │</w:t>
        <w:br/>
        <w:t xml:space="preserve">  (4) FINAL TEXT  │ "Transfer approved: USD 50,000 from 4532-0151-1283-0366</w:t>
        <w:br/>
        <w:t xml:space="preserve">      (Restored)  │  to recipient 1-1004-99999-88-2."</w:t>
        <w:br/>
        <w:t xml:space="preserve">                  ▼</w:t>
      </w:r>
    </w:p>
    <w:p>
      <w:pPr>
        <w:spacing w:before="60" w:after="80"/>
        <w:ind w:left="360"/>
      </w:pPr>
      <w:r>
        <w:rPr>
          <w:rFonts w:ascii="Calibri" w:hAnsi="Calibri"/>
          <w:i/>
          <w:color w:val="0284C7"/>
          <w:sz w:val="19"/>
        </w:rPr>
        <w:t>🌍 African Trade &amp; Financial Check Example: If an analyst evaluates a cross-border facility containing a Ghana Card (`GHA-712345678-9`), Nigerian BVN (`22299881123`), and South African ID (`8501015800084`), SPG validates their official mathematical parity rules, converts them to `&lt;GHANA_CARD_1&gt;`, `&lt;BVN_1&gt;`, and `&lt;ZA_ID_1&gt;`, and rehydrates the completed report upon return.</w:t>
      </w:r>
    </w:p>
    <w:p>
      <w:pPr>
        <w:keepNext/>
        <w:spacing w:before="240" w:after="60"/>
      </w:pPr>
      <w:r>
        <w:rPr>
          <w:rFonts w:ascii="Calibri" w:hAnsi="Calibri"/>
          <w:b/>
          <w:color w:val="0A2540"/>
          <w:sz w:val="26"/>
        </w:rPr>
        <w:t>4. Competitive Landscape &amp; Market Alternatives</w:t>
      </w:r>
    </w:p>
    <w:tbl>
      <w:tblPr>
        <w:tblW w:type="auto" w:w="0"/>
        <w:jc w:val="center"/>
        <w:tblLook w:firstColumn="1" w:firstRow="1" w:lastColumn="0" w:lastRow="0" w:noHBand="0" w:noVBand="1" w:val="04A0"/>
      </w:tblPr>
      <w:tblGrid>
        <w:gridCol w:w="3360"/>
        <w:gridCol w:w="3360"/>
        <w:gridCol w:w="3360"/>
      </w:tblGrid>
      <w:tr>
        <w:tc>
          <w:tcPr>
            <w:tcW w:type="dxa" w:w="3360"/>
            <w:tcMar>
              <w:top w:w="60" w:type="dxa"/>
              <w:bottom w:w="60" w:type="dxa"/>
              <w:left w:w="90" w:type="dxa"/>
              <w:right w:w="90" w:type="dxa"/>
            </w:tcMar>
            <w:shd w:fill="0A2540"/>
          </w:tcPr>
          <w:p>
            <w:pPr>
              <w:spacing w:before="20" w:after="20"/>
            </w:pPr>
            <w:r>
              <w:rPr>
                <w:rFonts w:ascii="Calibri" w:hAnsi="Calibri"/>
                <w:b/>
                <w:color w:val="FFFFFF"/>
                <w:sz w:val="18"/>
              </w:rPr>
              <w:t>Category</w:t>
            </w:r>
          </w:p>
        </w:tc>
        <w:tc>
          <w:tcPr>
            <w:tcW w:type="dxa" w:w="3360"/>
            <w:tcMar>
              <w:top w:w="60" w:type="dxa"/>
              <w:bottom w:w="60" w:type="dxa"/>
              <w:left w:w="90" w:type="dxa"/>
              <w:right w:w="90" w:type="dxa"/>
            </w:tcMar>
            <w:shd w:fill="0A2540"/>
          </w:tcPr>
          <w:p>
            <w:pPr>
              <w:spacing w:before="20" w:after="20"/>
            </w:pPr>
            <w:r>
              <w:rPr>
                <w:rFonts w:ascii="Calibri" w:hAnsi="Calibri"/>
                <w:b/>
                <w:color w:val="FFFFFF"/>
                <w:sz w:val="18"/>
              </w:rPr>
              <w:t>Typical Players</w:t>
            </w:r>
          </w:p>
        </w:tc>
        <w:tc>
          <w:tcPr>
            <w:tcW w:type="dxa" w:w="3360"/>
            <w:tcMar>
              <w:top w:w="60" w:type="dxa"/>
              <w:bottom w:w="60" w:type="dxa"/>
              <w:left w:w="90" w:type="dxa"/>
              <w:right w:w="90" w:type="dxa"/>
            </w:tcMar>
            <w:shd w:fill="0A2540"/>
          </w:tcPr>
          <w:p>
            <w:pPr>
              <w:spacing w:before="20" w:after="20"/>
            </w:pPr>
            <w:r>
              <w:rPr>
                <w:rFonts w:ascii="Calibri" w:hAnsi="Calibri"/>
                <w:b/>
                <w:color w:val="FFFFFF"/>
                <w:sz w:val="18"/>
              </w:rPr>
              <w:t>Structural Drawbacks for Sovereign Institutions</w:t>
            </w:r>
          </w:p>
        </w:tc>
      </w:tr>
      <w:tr>
        <w:tc>
          <w:tcPr>
            <w:tcW w:type="dxa" w:w="3360"/>
            <w:tcMar>
              <w:top w:w="60" w:type="dxa"/>
              <w:bottom w:w="60" w:type="dxa"/>
              <w:left w:w="90" w:type="dxa"/>
              <w:right w:w="90" w:type="dxa"/>
            </w:tcMar>
            <w:shd w:fill="F8FAFC"/>
          </w:tcPr>
          <w:p>
            <w:pPr>
              <w:spacing w:before="20" w:after="20"/>
            </w:pPr>
            <w:r>
              <w:rPr>
                <w:rFonts w:ascii="Calibri" w:hAnsi="Calibri"/>
                <w:color w:val="1A1F36"/>
                <w:sz w:val="17"/>
              </w:rPr>
              <w:t>Big Tech Cloud APIs</w:t>
            </w:r>
          </w:p>
        </w:tc>
        <w:tc>
          <w:tcPr>
            <w:tcW w:type="dxa" w:w="3360"/>
            <w:tcMar>
              <w:top w:w="60" w:type="dxa"/>
              <w:bottom w:w="60" w:type="dxa"/>
              <w:left w:w="90" w:type="dxa"/>
              <w:right w:w="90" w:type="dxa"/>
            </w:tcMar>
            <w:shd w:fill="F8FAFC"/>
          </w:tcPr>
          <w:p>
            <w:pPr>
              <w:spacing w:before="20" w:after="20"/>
            </w:pPr>
            <w:r>
              <w:rPr>
                <w:rFonts w:ascii="Calibri" w:hAnsi="Calibri"/>
                <w:color w:val="1A1F36"/>
                <w:sz w:val="17"/>
              </w:rPr>
              <w:t>AWS Comprehend, Google Cloud SDP</w:t>
            </w:r>
          </w:p>
        </w:tc>
        <w:tc>
          <w:tcPr>
            <w:tcW w:type="dxa" w:w="3360"/>
            <w:tcMar>
              <w:top w:w="60" w:type="dxa"/>
              <w:bottom w:w="60" w:type="dxa"/>
              <w:left w:w="90" w:type="dxa"/>
              <w:right w:w="90" w:type="dxa"/>
            </w:tcMar>
            <w:shd w:fill="F8FAFC"/>
          </w:tcPr>
          <w:p>
            <w:pPr>
              <w:spacing w:before="20" w:after="20"/>
            </w:pPr>
            <w:r>
              <w:rPr>
                <w:rFonts w:ascii="Calibri" w:hAnsi="Calibri"/>
                <w:color w:val="1A1F36"/>
                <w:sz w:val="17"/>
              </w:rPr>
              <w:t>The Surveillance Paradox: Requires uploading raw, unencrypted data to foreign cloud servers to test for privacy; recurring per-character fees; irreversible redaction.</w:t>
            </w:r>
          </w:p>
        </w:tc>
      </w:tr>
      <w:tr>
        <w:tc>
          <w:tcPr>
            <w:tcW w:type="dxa" w:w="3360"/>
            <w:tcMar>
              <w:top w:w="60" w:type="dxa"/>
              <w:bottom w:w="60" w:type="dxa"/>
              <w:left w:w="90" w:type="dxa"/>
              <w:right w:w="90" w:type="dxa"/>
            </w:tcMar>
          </w:tcPr>
          <w:p>
            <w:pPr>
              <w:spacing w:before="20" w:after="20"/>
            </w:pPr>
            <w:r>
              <w:rPr>
                <w:rFonts w:ascii="Calibri" w:hAnsi="Calibri"/>
                <w:color w:val="1A1F36"/>
                <w:sz w:val="17"/>
              </w:rPr>
              <w:t>Tech Giant Open Source</w:t>
            </w:r>
          </w:p>
        </w:tc>
        <w:tc>
          <w:tcPr>
            <w:tcW w:type="dxa" w:w="3360"/>
            <w:tcMar>
              <w:top w:w="60" w:type="dxa"/>
              <w:bottom w:w="60" w:type="dxa"/>
              <w:left w:w="90" w:type="dxa"/>
              <w:right w:w="90" w:type="dxa"/>
            </w:tcMar>
          </w:tcPr>
          <w:p>
            <w:pPr>
              <w:spacing w:before="20" w:after="20"/>
            </w:pPr>
            <w:r>
              <w:rPr>
                <w:rFonts w:ascii="Calibri" w:hAnsi="Calibri"/>
                <w:color w:val="1A1F36"/>
                <w:sz w:val="17"/>
              </w:rPr>
              <w:t>Microsoft Presidio</w:t>
            </w:r>
          </w:p>
        </w:tc>
        <w:tc>
          <w:tcPr>
            <w:tcW w:type="dxa" w:w="3360"/>
            <w:tcMar>
              <w:top w:w="60" w:type="dxa"/>
              <w:bottom w:w="60" w:type="dxa"/>
              <w:left w:w="90" w:type="dxa"/>
              <w:right w:w="90" w:type="dxa"/>
            </w:tcMar>
          </w:tcPr>
          <w:p>
            <w:pPr>
              <w:spacing w:before="20" w:after="20"/>
            </w:pPr>
            <w:r>
              <w:rPr>
                <w:rFonts w:ascii="Calibri" w:hAnsi="Calibri"/>
                <w:color w:val="1A1F36"/>
                <w:sz w:val="17"/>
              </w:rPr>
              <w:t>Heavy &amp; Sluggish: Requires multi-gigabyte Python ML environments adding 150–500ms latency; Western-biased formats; analytical library rather than an edge gateway.</w:t>
            </w:r>
          </w:p>
        </w:tc>
      </w:tr>
      <w:tr>
        <w:tc>
          <w:tcPr>
            <w:tcW w:type="dxa" w:w="3360"/>
            <w:tcMar>
              <w:top w:w="60" w:type="dxa"/>
              <w:bottom w:w="60" w:type="dxa"/>
              <w:left w:w="90" w:type="dxa"/>
              <w:right w:w="90" w:type="dxa"/>
            </w:tcMar>
            <w:shd w:fill="F8FAFC"/>
          </w:tcPr>
          <w:p>
            <w:pPr>
              <w:spacing w:before="20" w:after="20"/>
            </w:pPr>
            <w:r>
              <w:rPr>
                <w:rFonts w:ascii="Calibri" w:hAnsi="Calibri"/>
                <w:color w:val="1A1F36"/>
                <w:sz w:val="17"/>
              </w:rPr>
              <w:t>Commercial Privacy Vaults</w:t>
            </w:r>
          </w:p>
        </w:tc>
        <w:tc>
          <w:tcPr>
            <w:tcW w:type="dxa" w:w="3360"/>
            <w:tcMar>
              <w:top w:w="60" w:type="dxa"/>
              <w:bottom w:w="60" w:type="dxa"/>
              <w:left w:w="90" w:type="dxa"/>
              <w:right w:w="90" w:type="dxa"/>
            </w:tcMar>
            <w:shd w:fill="F8FAFC"/>
          </w:tcPr>
          <w:p>
            <w:pPr>
              <w:spacing w:before="20" w:after="20"/>
            </w:pPr>
            <w:r>
              <w:rPr>
                <w:rFonts w:ascii="Calibri" w:hAnsi="Calibri"/>
                <w:color w:val="1A1F36"/>
                <w:sz w:val="17"/>
              </w:rPr>
              <w:t>Skyflow, Private AI</w:t>
            </w:r>
          </w:p>
        </w:tc>
        <w:tc>
          <w:tcPr>
            <w:tcW w:type="dxa" w:w="3360"/>
            <w:tcMar>
              <w:top w:w="60" w:type="dxa"/>
              <w:bottom w:w="60" w:type="dxa"/>
              <w:left w:w="90" w:type="dxa"/>
              <w:right w:w="90" w:type="dxa"/>
            </w:tcMar>
            <w:shd w:fill="F8FAFC"/>
          </w:tcPr>
          <w:p>
            <w:pPr>
              <w:spacing w:before="20" w:after="20"/>
            </w:pPr>
            <w:r>
              <w:rPr>
                <w:rFonts w:ascii="Calibri" w:hAnsi="Calibri"/>
                <w:color w:val="1A1F36"/>
                <w:sz w:val="17"/>
              </w:rPr>
              <w:t>Proprietary "Honeypot": Stores citizen secrets in centralized corporate vaults vulnerable to state-sponsored attacks; exorbitant recurring annual licensing.</w:t>
            </w:r>
          </w:p>
        </w:tc>
      </w:tr>
      <w:tr>
        <w:tc>
          <w:tcPr>
            <w:tcW w:type="dxa" w:w="3360"/>
            <w:tcMar>
              <w:top w:w="60" w:type="dxa"/>
              <w:bottom w:w="60" w:type="dxa"/>
              <w:left w:w="90" w:type="dxa"/>
              <w:right w:w="90" w:type="dxa"/>
            </w:tcMar>
          </w:tcPr>
          <w:p>
            <w:pPr>
              <w:spacing w:before="20" w:after="20"/>
            </w:pPr>
            <w:r>
              <w:rPr>
                <w:rFonts w:ascii="Calibri" w:hAnsi="Calibri"/>
                <w:color w:val="1A1F36"/>
                <w:sz w:val="17"/>
              </w:rPr>
              <w:t>Legacy Enterprise DLP</w:t>
            </w:r>
          </w:p>
        </w:tc>
        <w:tc>
          <w:tcPr>
            <w:tcW w:type="dxa" w:w="3360"/>
            <w:tcMar>
              <w:top w:w="60" w:type="dxa"/>
              <w:bottom w:w="60" w:type="dxa"/>
              <w:left w:w="90" w:type="dxa"/>
              <w:right w:w="90" w:type="dxa"/>
            </w:tcMar>
          </w:tcPr>
          <w:p>
            <w:pPr>
              <w:spacing w:before="20" w:after="20"/>
            </w:pPr>
            <w:r>
              <w:rPr>
                <w:rFonts w:ascii="Calibri" w:hAnsi="Calibri"/>
                <w:color w:val="1A1F36"/>
                <w:sz w:val="17"/>
              </w:rPr>
              <w:t>Symantec, Forcepoint</w:t>
            </w:r>
          </w:p>
        </w:tc>
        <w:tc>
          <w:tcPr>
            <w:tcW w:type="dxa" w:w="3360"/>
            <w:tcMar>
              <w:top w:w="60" w:type="dxa"/>
              <w:bottom w:w="60" w:type="dxa"/>
              <w:left w:w="90" w:type="dxa"/>
              <w:right w:w="90" w:type="dxa"/>
            </w:tcMar>
          </w:tcPr>
          <w:p>
            <w:pPr>
              <w:spacing w:before="20" w:after="20"/>
            </w:pPr>
            <w:r>
              <w:rPr>
                <w:rFonts w:ascii="Calibri" w:hAnsi="Calibri"/>
                <w:color w:val="1A1F36"/>
                <w:sz w:val="17"/>
              </w:rPr>
              <w:t>Engineered for Corporate Email: Lacks LLM-native bidirectional rehydration; blind to sovereign civil IDs; high false-alarm rates.</w:t>
            </w:r>
          </w:p>
        </w:tc>
      </w:tr>
    </w:tbl>
    <w:p>
      <w:pPr>
        <w:spacing w:before="0" w:after="60"/>
      </w:pPr>
    </w:p>
    <w:p>
      <w:pPr>
        <w:keepNext/>
        <w:spacing w:before="240" w:after="60"/>
      </w:pPr>
      <w:r>
        <w:rPr>
          <w:rFonts w:ascii="Calibri" w:hAnsi="Calibri"/>
          <w:b/>
          <w:color w:val="0A2540"/>
          <w:sz w:val="26"/>
        </w:rPr>
        <w:t>5. Why SPG Outperforms Existing Solutions</w:t>
      </w:r>
    </w:p>
    <w:p>
      <w:pPr>
        <w:spacing w:before="20" w:after="30"/>
        <w:ind w:left="288"/>
      </w:pPr>
      <w:r>
        <w:rPr>
          <w:rFonts w:ascii="Calibri" w:hAnsi="Calibri"/>
          <w:color w:val="1A1F36"/>
          <w:sz w:val="18"/>
        </w:rPr>
        <w:t xml:space="preserve">1. </w:t>
      </w:r>
      <w:r>
        <w:rPr>
          <w:rFonts w:ascii="Calibri" w:hAnsi="Calibri"/>
          <w:b/>
          <w:color w:val="1A1F36"/>
          <w:sz w:val="18"/>
        </w:rPr>
        <w:t>True Sovereign Perimeter</w:t>
      </w:r>
      <w:r>
        <w:rPr>
          <w:rFonts w:ascii="Calibri" w:hAnsi="Calibri"/>
          <w:color w:val="1A1F36"/>
          <w:sz w:val="18"/>
        </w:rPr>
        <w:t>: Deploys on domestic premises or national sovereign clouds. Raw citizen data never leaves the national boundary.</w:t>
      </w:r>
    </w:p>
    <w:p>
      <w:pPr>
        <w:spacing w:before="20" w:after="30"/>
        <w:ind w:left="288"/>
      </w:pPr>
      <w:r>
        <w:rPr>
          <w:rFonts w:ascii="Calibri" w:hAnsi="Calibri"/>
          <w:color w:val="1A1F36"/>
          <w:sz w:val="18"/>
        </w:rPr>
        <w:t xml:space="preserve">2. </w:t>
      </w:r>
      <w:r>
        <w:rPr>
          <w:rFonts w:ascii="Calibri" w:hAnsi="Calibri"/>
          <w:b/>
          <w:color w:val="1A1F36"/>
          <w:sz w:val="18"/>
        </w:rPr>
        <w:t>Mathematical Law vs. Statistical Guesswork</w:t>
      </w:r>
      <w:r>
        <w:rPr>
          <w:rFonts w:ascii="Calibri" w:hAnsi="Calibri"/>
          <w:color w:val="1A1F36"/>
          <w:sz w:val="18"/>
        </w:rPr>
        <w:t xml:space="preserve">: Relies on </w:t>
      </w:r>
      <w:r>
        <w:rPr>
          <w:rFonts w:ascii="Calibri" w:hAnsi="Calibri"/>
          <w:b/>
          <w:color w:val="1A1F36"/>
          <w:sz w:val="18"/>
        </w:rPr>
        <w:t>67 official government checksum formulas</w:t>
      </w:r>
      <w:r>
        <w:rPr>
          <w:rFonts w:ascii="Calibri" w:hAnsi="Calibri"/>
          <w:color w:val="1A1F36"/>
          <w:sz w:val="18"/>
        </w:rPr>
        <w:t xml:space="preserve"> (Modulo 11, Luhn, Verhoeff), eliminating the false alarms of heuristic pattern matching.</w:t>
      </w:r>
    </w:p>
    <w:p>
      <w:pPr>
        <w:spacing w:before="20" w:after="30"/>
        <w:ind w:left="288"/>
      </w:pPr>
      <w:r>
        <w:rPr>
          <w:rFonts w:ascii="Calibri" w:hAnsi="Calibri"/>
          <w:color w:val="1A1F36"/>
          <w:sz w:val="18"/>
        </w:rPr>
        <w:t xml:space="preserve">3. </w:t>
      </w:r>
      <w:r>
        <w:rPr>
          <w:rFonts w:ascii="Calibri" w:hAnsi="Calibri"/>
          <w:b/>
          <w:color w:val="1A1F36"/>
          <w:sz w:val="18"/>
        </w:rPr>
        <w:t>Native Global South Parity</w:t>
      </w:r>
      <w:r>
        <w:rPr>
          <w:rFonts w:ascii="Calibri" w:hAnsi="Calibri"/>
          <w:color w:val="1A1F36"/>
          <w:sz w:val="18"/>
        </w:rPr>
        <w:t xml:space="preserve">: First-class support for </w:t>
      </w:r>
      <w:r>
        <w:rPr>
          <w:rFonts w:ascii="Calibri" w:hAnsi="Calibri"/>
          <w:b/>
          <w:color w:val="1A1F36"/>
          <w:sz w:val="18"/>
        </w:rPr>
        <w:t>109 nations</w:t>
      </w:r>
      <w:r>
        <w:rPr>
          <w:rFonts w:ascii="Calibri" w:hAnsi="Calibri"/>
          <w:color w:val="1A1F36"/>
          <w:sz w:val="18"/>
        </w:rPr>
        <w:t xml:space="preserve"> across Southeast Asia, Africa, and Latin America—not just Western ID formats.</w:t>
      </w:r>
    </w:p>
    <w:p>
      <w:pPr>
        <w:spacing w:before="20" w:after="30"/>
        <w:ind w:left="288"/>
      </w:pPr>
      <w:r>
        <w:rPr>
          <w:rFonts w:ascii="Calibri" w:hAnsi="Calibri"/>
          <w:color w:val="1A1F36"/>
          <w:sz w:val="18"/>
        </w:rPr>
        <w:t xml:space="preserve">4. </w:t>
      </w:r>
      <w:r>
        <w:rPr>
          <w:rFonts w:ascii="Calibri" w:hAnsi="Calibri"/>
          <w:b/>
          <w:color w:val="1A1F36"/>
          <w:sz w:val="18"/>
        </w:rPr>
        <w:t>Zero-Trace Ephemeral Security</w:t>
      </w:r>
      <w:r>
        <w:rPr>
          <w:rFonts w:ascii="Calibri" w:hAnsi="Calibri"/>
          <w:color w:val="1A1F36"/>
          <w:sz w:val="18"/>
        </w:rPr>
        <w:t>: No persistent database or central vault. Mappings exist solely in volatile RAM and are wiped instantly upon query completion.</w:t>
      </w:r>
    </w:p>
    <w:p>
      <w:pPr>
        <w:spacing w:before="20" w:after="30"/>
        <w:ind w:left="288"/>
      </w:pPr>
      <w:r>
        <w:rPr>
          <w:rFonts w:ascii="Calibri" w:hAnsi="Calibri"/>
          <w:color w:val="1A1F36"/>
          <w:sz w:val="18"/>
        </w:rPr>
        <w:t xml:space="preserve">5. </w:t>
      </w:r>
      <w:r>
        <w:rPr>
          <w:rFonts w:ascii="Calibri" w:hAnsi="Calibri"/>
          <w:b/>
          <w:color w:val="1A1F36"/>
          <w:sz w:val="18"/>
        </w:rPr>
        <w:t>Sub-Millisecond Engine Latency</w:t>
      </w:r>
      <w:r>
        <w:rPr>
          <w:rFonts w:ascii="Calibri" w:hAnsi="Calibri"/>
          <w:color w:val="1A1F36"/>
          <w:sz w:val="18"/>
        </w:rPr>
        <w:t xml:space="preserve">: Executes in </w:t>
      </w:r>
      <w:r>
        <w:rPr>
          <w:rFonts w:ascii="Calibri" w:hAnsi="Calibri"/>
          <w:b/>
          <w:color w:val="1A1F36"/>
          <w:sz w:val="18"/>
        </w:rPr>
        <w:t>$86\,\mu\text{s}$ ($0.086\,\text{ms}$)</w:t>
      </w:r>
      <w:r>
        <w:rPr>
          <w:rFonts w:ascii="Calibri" w:hAnsi="Calibri"/>
          <w:color w:val="1A1F36"/>
          <w:sz w:val="18"/>
        </w:rPr>
        <w:t xml:space="preserve"> with internal throughput of </w:t>
      </w:r>
      <w:r>
        <w:rPr>
          <w:rFonts w:ascii="Calibri" w:hAnsi="Calibri"/>
          <w:b/>
          <w:color w:val="1A1F36"/>
          <w:sz w:val="18"/>
        </w:rPr>
        <w:t>17,735 prompts/sec</w:t>
      </w:r>
      <w:r>
        <w:rPr>
          <w:rFonts w:ascii="Calibri" w:hAnsi="Calibri"/>
          <w:color w:val="1A1F36"/>
          <w:sz w:val="18"/>
        </w:rPr>
        <w:t>, introducing zero perceptible delay to operations.</w:t>
      </w:r>
    </w:p>
    <w:p>
      <w:pPr>
        <w:spacing w:before="20" w:after="30"/>
        <w:ind w:left="288"/>
      </w:pPr>
      <w:r>
        <w:rPr>
          <w:rFonts w:ascii="Calibri" w:hAnsi="Calibri"/>
          <w:color w:val="1A1F36"/>
          <w:sz w:val="18"/>
        </w:rPr>
        <w:t xml:space="preserve">6. </w:t>
      </w:r>
      <w:r>
        <w:rPr>
          <w:rFonts w:ascii="Calibri" w:hAnsi="Calibri"/>
          <w:b/>
          <w:color w:val="1A1F36"/>
          <w:sz w:val="18"/>
        </w:rPr>
        <w:t>Free Open-Source Sovereignty</w:t>
      </w:r>
      <w:r>
        <w:rPr>
          <w:rFonts w:ascii="Calibri" w:hAnsi="Calibri"/>
          <w:color w:val="1A1F36"/>
          <w:sz w:val="18"/>
        </w:rPr>
        <w:t xml:space="preserve">: Governed under </w:t>
      </w:r>
      <w:r>
        <w:rPr>
          <w:rFonts w:ascii="Calibri" w:hAnsi="Calibri"/>
          <w:b/>
          <w:color w:val="1A1F36"/>
          <w:sz w:val="18"/>
        </w:rPr>
        <w:t>Apache-2.0</w:t>
      </w:r>
      <w:r>
        <w:rPr>
          <w:rFonts w:ascii="Calibri" w:hAnsi="Calibri"/>
          <w:color w:val="1A1F36"/>
          <w:sz w:val="18"/>
        </w:rPr>
        <w:t xml:space="preserve"> with complete source visibility, zero licensing fees, and immunity from foreign commercial lock-in.</w:t>
      </w:r>
    </w:p>
    <w:p>
      <w:pPr>
        <w:keepNext/>
        <w:spacing w:before="240" w:after="60"/>
      </w:pPr>
      <w:r>
        <w:rPr>
          <w:rFonts w:ascii="Calibri" w:hAnsi="Calibri"/>
          <w:b/>
          <w:color w:val="0A2540"/>
          <w:sz w:val="26"/>
        </w:rPr>
        <w:t>6. Strategic Comparison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60" w:type="dxa"/>
              <w:bottom w:w="60" w:type="dxa"/>
              <w:left w:w="90" w:type="dxa"/>
              <w:right w:w="90" w:type="dxa"/>
            </w:tcMar>
            <w:shd w:fill="0A2540"/>
          </w:tcPr>
          <w:p>
            <w:pPr>
              <w:spacing w:before="20" w:after="20"/>
            </w:pPr>
            <w:r>
              <w:rPr>
                <w:rFonts w:ascii="Calibri" w:hAnsi="Calibri"/>
                <w:b/>
                <w:color w:val="FFFFFF"/>
                <w:sz w:val="18"/>
              </w:rPr>
              <w:t>Capability</w:t>
            </w:r>
          </w:p>
        </w:tc>
        <w:tc>
          <w:tcPr>
            <w:tcW w:type="dxa" w:w="2016"/>
            <w:tcMar>
              <w:top w:w="60" w:type="dxa"/>
              <w:bottom w:w="60" w:type="dxa"/>
              <w:left w:w="90" w:type="dxa"/>
              <w:right w:w="90" w:type="dxa"/>
            </w:tcMar>
            <w:shd w:fill="0A2540"/>
          </w:tcPr>
          <w:p>
            <w:pPr>
              <w:spacing w:before="20" w:after="20"/>
            </w:pPr>
            <w:r>
              <w:rPr>
                <w:rFonts w:ascii="Calibri" w:hAnsi="Calibri"/>
                <w:b/>
                <w:color w:val="FFFFFF"/>
                <w:sz w:val="18"/>
              </w:rPr>
              <w:t>Big Tech Cloud APIs</w:t>
            </w:r>
          </w:p>
        </w:tc>
        <w:tc>
          <w:tcPr>
            <w:tcW w:type="dxa" w:w="2016"/>
            <w:tcMar>
              <w:top w:w="60" w:type="dxa"/>
              <w:bottom w:w="60" w:type="dxa"/>
              <w:left w:w="90" w:type="dxa"/>
              <w:right w:w="90" w:type="dxa"/>
            </w:tcMar>
            <w:shd w:fill="0A2540"/>
          </w:tcPr>
          <w:p>
            <w:pPr>
              <w:spacing w:before="20" w:after="20"/>
            </w:pPr>
            <w:r>
              <w:rPr>
                <w:rFonts w:ascii="Calibri" w:hAnsi="Calibri"/>
                <w:b/>
                <w:color w:val="FFFFFF"/>
                <w:sz w:val="18"/>
              </w:rPr>
              <w:t>Microsoft Presidio</w:t>
            </w:r>
          </w:p>
        </w:tc>
        <w:tc>
          <w:tcPr>
            <w:tcW w:type="dxa" w:w="2016"/>
            <w:tcMar>
              <w:top w:w="60" w:type="dxa"/>
              <w:bottom w:w="60" w:type="dxa"/>
              <w:left w:w="90" w:type="dxa"/>
              <w:right w:w="90" w:type="dxa"/>
            </w:tcMar>
            <w:shd w:fill="0A2540"/>
          </w:tcPr>
          <w:p>
            <w:pPr>
              <w:spacing w:before="20" w:after="20"/>
            </w:pPr>
            <w:r>
              <w:rPr>
                <w:rFonts w:ascii="Calibri" w:hAnsi="Calibri"/>
                <w:b/>
                <w:color w:val="FFFFFF"/>
                <w:sz w:val="18"/>
              </w:rPr>
              <w:t>Commercial SaaS Vaults</w:t>
            </w:r>
          </w:p>
        </w:tc>
        <w:tc>
          <w:tcPr>
            <w:tcW w:type="dxa" w:w="2016"/>
            <w:tcMar>
              <w:top w:w="60" w:type="dxa"/>
              <w:bottom w:w="60" w:type="dxa"/>
              <w:left w:w="90" w:type="dxa"/>
              <w:right w:w="90" w:type="dxa"/>
            </w:tcMar>
            <w:shd w:fill="0A2540"/>
          </w:tcPr>
          <w:p>
            <w:pPr>
              <w:spacing w:before="20" w:after="20"/>
            </w:pPr>
            <w:r>
              <w:rPr>
                <w:rFonts w:ascii="Calibri" w:hAnsi="Calibri"/>
                <w:b/>
                <w:color w:val="FFFFFF"/>
                <w:sz w:val="18"/>
              </w:rPr>
              <w:t>🛡️ The Sovereign Privacy Gateway (SPG)</w:t>
            </w:r>
          </w:p>
        </w:tc>
      </w:tr>
      <w:tr>
        <w:tc>
          <w:tcPr>
            <w:tcW w:type="dxa" w:w="2016"/>
            <w:tcMar>
              <w:top w:w="60" w:type="dxa"/>
              <w:bottom w:w="60" w:type="dxa"/>
              <w:left w:w="90" w:type="dxa"/>
              <w:right w:w="90" w:type="dxa"/>
            </w:tcMar>
            <w:shd w:fill="F8FAFC"/>
          </w:tcPr>
          <w:p>
            <w:pPr>
              <w:spacing w:before="20" w:after="20"/>
            </w:pPr>
            <w:r>
              <w:rPr>
                <w:rFonts w:ascii="Calibri" w:hAnsi="Calibri"/>
                <w:color w:val="1A1F36"/>
                <w:sz w:val="17"/>
              </w:rPr>
              <w:t>Licensing &amp; Ownership</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Closed-source SaaS</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Open-source (MIT)</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Proprietary closed-source</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Permissive Open Source (Apache-2.0); zero fees</w:t>
            </w:r>
          </w:p>
        </w:tc>
      </w:tr>
      <w:tr>
        <w:tc>
          <w:tcPr>
            <w:tcW w:type="dxa" w:w="2016"/>
            <w:tcMar>
              <w:top w:w="60" w:type="dxa"/>
              <w:bottom w:w="60" w:type="dxa"/>
              <w:left w:w="90" w:type="dxa"/>
              <w:right w:w="90" w:type="dxa"/>
            </w:tcMar>
          </w:tcPr>
          <w:p>
            <w:pPr>
              <w:spacing w:before="20" w:after="20"/>
            </w:pPr>
            <w:r>
              <w:rPr>
                <w:rFonts w:ascii="Calibri" w:hAnsi="Calibri"/>
                <w:color w:val="1A1F36"/>
                <w:sz w:val="17"/>
              </w:rPr>
              <w:t>Processing Location</w:t>
            </w:r>
          </w:p>
        </w:tc>
        <w:tc>
          <w:tcPr>
            <w:tcW w:type="dxa" w:w="2016"/>
            <w:tcMar>
              <w:top w:w="60" w:type="dxa"/>
              <w:bottom w:w="60" w:type="dxa"/>
              <w:left w:w="90" w:type="dxa"/>
              <w:right w:w="90" w:type="dxa"/>
            </w:tcMar>
          </w:tcPr>
          <w:p>
            <w:pPr>
              <w:spacing w:before="20" w:after="20"/>
            </w:pPr>
            <w:r>
              <w:rPr>
                <w:rFonts w:ascii="Calibri" w:hAnsi="Calibri"/>
                <w:color w:val="1A1F36"/>
                <w:sz w:val="17"/>
              </w:rPr>
              <w:t>Foreign commercial cloud</w:t>
            </w:r>
          </w:p>
        </w:tc>
        <w:tc>
          <w:tcPr>
            <w:tcW w:type="dxa" w:w="2016"/>
            <w:tcMar>
              <w:top w:w="60" w:type="dxa"/>
              <w:bottom w:w="60" w:type="dxa"/>
              <w:left w:w="90" w:type="dxa"/>
              <w:right w:w="90" w:type="dxa"/>
            </w:tcMar>
          </w:tcPr>
          <w:p>
            <w:pPr>
              <w:spacing w:before="20" w:after="20"/>
            </w:pPr>
            <w:r>
              <w:rPr>
                <w:rFonts w:ascii="Calibri" w:hAnsi="Calibri"/>
                <w:color w:val="1A1F36"/>
                <w:sz w:val="17"/>
              </w:rPr>
              <w:t>Local heavy Python server</w:t>
            </w:r>
          </w:p>
        </w:tc>
        <w:tc>
          <w:tcPr>
            <w:tcW w:type="dxa" w:w="2016"/>
            <w:tcMar>
              <w:top w:w="60" w:type="dxa"/>
              <w:bottom w:w="60" w:type="dxa"/>
              <w:left w:w="90" w:type="dxa"/>
              <w:right w:w="90" w:type="dxa"/>
            </w:tcMar>
          </w:tcPr>
          <w:p>
            <w:pPr>
              <w:spacing w:before="20" w:after="20"/>
            </w:pPr>
            <w:r>
              <w:rPr>
                <w:rFonts w:ascii="Calibri" w:hAnsi="Calibri"/>
                <w:color w:val="1A1F36"/>
                <w:sz w:val="17"/>
              </w:rPr>
              <w:t>Third-party vendor cloud</w:t>
            </w:r>
          </w:p>
        </w:tc>
        <w:tc>
          <w:tcPr>
            <w:tcW w:type="dxa" w:w="2016"/>
            <w:tcMar>
              <w:top w:w="60" w:type="dxa"/>
              <w:bottom w:w="60" w:type="dxa"/>
              <w:left w:w="90" w:type="dxa"/>
              <w:right w:w="90" w:type="dxa"/>
            </w:tcMar>
          </w:tcPr>
          <w:p>
            <w:pPr>
              <w:spacing w:before="20" w:after="20"/>
            </w:pPr>
            <w:r>
              <w:rPr>
                <w:rFonts w:ascii="Calibri" w:hAnsi="Calibri"/>
                <w:color w:val="1A1F36"/>
                <w:sz w:val="17"/>
              </w:rPr>
              <w:t>Institutional edge / Domestic infrastructure</w:t>
            </w:r>
          </w:p>
        </w:tc>
      </w:tr>
      <w:tr>
        <w:tc>
          <w:tcPr>
            <w:tcW w:type="dxa" w:w="2016"/>
            <w:tcMar>
              <w:top w:w="60" w:type="dxa"/>
              <w:bottom w:w="60" w:type="dxa"/>
              <w:left w:w="90" w:type="dxa"/>
              <w:right w:w="90" w:type="dxa"/>
            </w:tcMar>
            <w:shd w:fill="F8FAFC"/>
          </w:tcPr>
          <w:p>
            <w:pPr>
              <w:spacing w:before="20" w:after="20"/>
            </w:pPr>
            <w:r>
              <w:rPr>
                <w:rFonts w:ascii="Calibri" w:hAnsi="Calibri"/>
                <w:color w:val="1A1F36"/>
                <w:sz w:val="17"/>
              </w:rPr>
              <w:t>Global South ID Support</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Minimal</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Negligible (US/EU focus)</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Limited</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Native coverage for 109 nations (ASEAN, Africa, LatAm)</w:t>
            </w:r>
          </w:p>
        </w:tc>
      </w:tr>
      <w:tr>
        <w:tc>
          <w:tcPr>
            <w:tcW w:type="dxa" w:w="2016"/>
            <w:tcMar>
              <w:top w:w="60" w:type="dxa"/>
              <w:bottom w:w="60" w:type="dxa"/>
              <w:left w:w="90" w:type="dxa"/>
              <w:right w:w="90" w:type="dxa"/>
            </w:tcMar>
          </w:tcPr>
          <w:p>
            <w:pPr>
              <w:spacing w:before="20" w:after="20"/>
            </w:pPr>
            <w:r>
              <w:rPr>
                <w:rFonts w:ascii="Calibri" w:hAnsi="Calibri"/>
                <w:color w:val="1A1F36"/>
                <w:sz w:val="17"/>
              </w:rPr>
              <w:t>Verification Method</w:t>
            </w:r>
          </w:p>
        </w:tc>
        <w:tc>
          <w:tcPr>
            <w:tcW w:type="dxa" w:w="2016"/>
            <w:tcMar>
              <w:top w:w="60" w:type="dxa"/>
              <w:bottom w:w="60" w:type="dxa"/>
              <w:left w:w="90" w:type="dxa"/>
              <w:right w:w="90" w:type="dxa"/>
            </w:tcMar>
          </w:tcPr>
          <w:p>
            <w:pPr>
              <w:spacing w:before="20" w:after="20"/>
            </w:pPr>
            <w:r>
              <w:rPr>
                <w:rFonts w:ascii="Calibri" w:hAnsi="Calibri"/>
                <w:color w:val="1A1F36"/>
                <w:sz w:val="17"/>
              </w:rPr>
              <w:t>Probabilistic pattern guess</w:t>
            </w:r>
          </w:p>
        </w:tc>
        <w:tc>
          <w:tcPr>
            <w:tcW w:type="dxa" w:w="2016"/>
            <w:tcMar>
              <w:top w:w="60" w:type="dxa"/>
              <w:bottom w:w="60" w:type="dxa"/>
              <w:left w:w="90" w:type="dxa"/>
              <w:right w:w="90" w:type="dxa"/>
            </w:tcMar>
          </w:tcPr>
          <w:p>
            <w:pPr>
              <w:spacing w:before="20" w:after="20"/>
            </w:pPr>
            <w:r>
              <w:rPr>
                <w:rFonts w:ascii="Calibri" w:hAnsi="Calibri"/>
                <w:color w:val="1A1F36"/>
                <w:sz w:val="17"/>
              </w:rPr>
              <w:t>Statistical ML heuristics</w:t>
            </w:r>
          </w:p>
        </w:tc>
        <w:tc>
          <w:tcPr>
            <w:tcW w:type="dxa" w:w="2016"/>
            <w:tcMar>
              <w:top w:w="60" w:type="dxa"/>
              <w:bottom w:w="60" w:type="dxa"/>
              <w:left w:w="90" w:type="dxa"/>
              <w:right w:w="90" w:type="dxa"/>
            </w:tcMar>
          </w:tcPr>
          <w:p>
            <w:pPr>
              <w:spacing w:before="20" w:after="20"/>
            </w:pPr>
            <w:r>
              <w:rPr>
                <w:rFonts w:ascii="Calibri" w:hAnsi="Calibri"/>
                <w:color w:val="1A1F36"/>
                <w:sz w:val="17"/>
              </w:rPr>
              <w:t>Pattern heuristics</w:t>
            </w:r>
          </w:p>
        </w:tc>
        <w:tc>
          <w:tcPr>
            <w:tcW w:type="dxa" w:w="2016"/>
            <w:tcMar>
              <w:top w:w="60" w:type="dxa"/>
              <w:bottom w:w="60" w:type="dxa"/>
              <w:left w:w="90" w:type="dxa"/>
              <w:right w:w="90" w:type="dxa"/>
            </w:tcMar>
          </w:tcPr>
          <w:p>
            <w:pPr>
              <w:spacing w:before="20" w:after="20"/>
            </w:pPr>
            <w:r>
              <w:rPr>
                <w:rFonts w:ascii="Calibri" w:hAnsi="Calibri"/>
                <w:color w:val="1A1F36"/>
                <w:sz w:val="17"/>
              </w:rPr>
              <w:t>67 Official Sovereign Mathematical Checksums</w:t>
            </w:r>
          </w:p>
        </w:tc>
      </w:tr>
      <w:tr>
        <w:tc>
          <w:tcPr>
            <w:tcW w:type="dxa" w:w="2016"/>
            <w:tcMar>
              <w:top w:w="60" w:type="dxa"/>
              <w:bottom w:w="60" w:type="dxa"/>
              <w:left w:w="90" w:type="dxa"/>
              <w:right w:w="90" w:type="dxa"/>
            </w:tcMar>
            <w:shd w:fill="F8FAFC"/>
          </w:tcPr>
          <w:p>
            <w:pPr>
              <w:spacing w:before="20" w:after="20"/>
            </w:pPr>
            <w:r>
              <w:rPr>
                <w:rFonts w:ascii="Calibri" w:hAnsi="Calibri"/>
                <w:color w:val="1A1F36"/>
                <w:sz w:val="17"/>
              </w:rPr>
              <w:t>Processing Speed</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100–300 ms network lag</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150–500 ms engine lag</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80–200 ms network lag</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86\,\mu\text{s} compute overhead (13.3\,\text{ms} public TLS SLA)</w:t>
            </w:r>
          </w:p>
        </w:tc>
      </w:tr>
      <w:tr>
        <w:tc>
          <w:tcPr>
            <w:tcW w:type="dxa" w:w="2016"/>
            <w:tcMar>
              <w:top w:w="60" w:type="dxa"/>
              <w:bottom w:w="60" w:type="dxa"/>
              <w:left w:w="90" w:type="dxa"/>
              <w:right w:w="90" w:type="dxa"/>
            </w:tcMar>
          </w:tcPr>
          <w:p>
            <w:pPr>
              <w:spacing w:before="20" w:after="20"/>
            </w:pPr>
            <w:r>
              <w:rPr>
                <w:rFonts w:ascii="Calibri" w:hAnsi="Calibri"/>
                <w:color w:val="1A1F36"/>
                <w:sz w:val="17"/>
              </w:rPr>
              <w:t>Reversibility</w:t>
            </w:r>
          </w:p>
        </w:tc>
        <w:tc>
          <w:tcPr>
            <w:tcW w:type="dxa" w:w="2016"/>
            <w:tcMar>
              <w:top w:w="60" w:type="dxa"/>
              <w:bottom w:w="60" w:type="dxa"/>
              <w:left w:w="90" w:type="dxa"/>
              <w:right w:w="90" w:type="dxa"/>
            </w:tcMar>
          </w:tcPr>
          <w:p>
            <w:pPr>
              <w:spacing w:before="20" w:after="20"/>
            </w:pPr>
            <w:r>
              <w:rPr>
                <w:rFonts w:ascii="Calibri" w:hAnsi="Calibri"/>
                <w:color w:val="1A1F36"/>
                <w:sz w:val="17"/>
              </w:rPr>
              <w:t>Irreversible redaction</w:t>
            </w:r>
          </w:p>
        </w:tc>
        <w:tc>
          <w:tcPr>
            <w:tcW w:type="dxa" w:w="2016"/>
            <w:tcMar>
              <w:top w:w="60" w:type="dxa"/>
              <w:bottom w:w="60" w:type="dxa"/>
              <w:left w:w="90" w:type="dxa"/>
              <w:right w:w="90" w:type="dxa"/>
            </w:tcMar>
          </w:tcPr>
          <w:p>
            <w:pPr>
              <w:spacing w:before="20" w:after="20"/>
            </w:pPr>
            <w:r>
              <w:rPr>
                <w:rFonts w:ascii="Calibri" w:hAnsi="Calibri"/>
                <w:color w:val="1A1F36"/>
                <w:sz w:val="17"/>
              </w:rPr>
              <w:t>Non-reversible by default</w:t>
            </w:r>
          </w:p>
        </w:tc>
        <w:tc>
          <w:tcPr>
            <w:tcW w:type="dxa" w:w="2016"/>
            <w:tcMar>
              <w:top w:w="60" w:type="dxa"/>
              <w:bottom w:w="60" w:type="dxa"/>
              <w:left w:w="90" w:type="dxa"/>
              <w:right w:w="90" w:type="dxa"/>
            </w:tcMar>
          </w:tcPr>
          <w:p>
            <w:pPr>
              <w:spacing w:before="20" w:after="20"/>
            </w:pPr>
            <w:r>
              <w:rPr>
                <w:rFonts w:ascii="Calibri" w:hAnsi="Calibri"/>
                <w:color w:val="1A1F36"/>
                <w:sz w:val="17"/>
              </w:rPr>
              <w:t>Reversible via database</w:t>
            </w:r>
          </w:p>
        </w:tc>
        <w:tc>
          <w:tcPr>
            <w:tcW w:type="dxa" w:w="2016"/>
            <w:tcMar>
              <w:top w:w="60" w:type="dxa"/>
              <w:bottom w:w="60" w:type="dxa"/>
              <w:left w:w="90" w:type="dxa"/>
              <w:right w:w="90" w:type="dxa"/>
            </w:tcMar>
          </w:tcPr>
          <w:p>
            <w:pPr>
              <w:spacing w:before="20" w:after="20"/>
            </w:pPr>
            <w:r>
              <w:rPr>
                <w:rFonts w:ascii="Calibri" w:hAnsi="Calibri"/>
                <w:color w:val="1A1F36"/>
                <w:sz w:val="17"/>
              </w:rPr>
              <w:t>Bidirectional with 100.0000% exact reconstruction</w:t>
            </w:r>
          </w:p>
        </w:tc>
      </w:tr>
      <w:tr>
        <w:tc>
          <w:tcPr>
            <w:tcW w:type="dxa" w:w="2016"/>
            <w:tcMar>
              <w:top w:w="60" w:type="dxa"/>
              <w:bottom w:w="60" w:type="dxa"/>
              <w:left w:w="90" w:type="dxa"/>
              <w:right w:w="90" w:type="dxa"/>
            </w:tcMar>
            <w:shd w:fill="F8FAFC"/>
          </w:tcPr>
          <w:p>
            <w:pPr>
              <w:spacing w:before="20" w:after="20"/>
            </w:pPr>
            <w:r>
              <w:rPr>
                <w:rFonts w:ascii="Calibri" w:hAnsi="Calibri"/>
                <w:color w:val="1A1F36"/>
                <w:sz w:val="17"/>
              </w:rPr>
              <w:t>Data Retention</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Foreign logs &amp; metadata</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Retained in host memory</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Stored in central vault</w:t>
            </w:r>
          </w:p>
        </w:tc>
        <w:tc>
          <w:tcPr>
            <w:tcW w:type="dxa" w:w="2016"/>
            <w:tcMar>
              <w:top w:w="60" w:type="dxa"/>
              <w:bottom w:w="60" w:type="dxa"/>
              <w:left w:w="90" w:type="dxa"/>
              <w:right w:w="90" w:type="dxa"/>
            </w:tcMar>
            <w:shd w:fill="F8FAFC"/>
          </w:tcPr>
          <w:p>
            <w:pPr>
              <w:spacing w:before="20" w:after="20"/>
            </w:pPr>
            <w:r>
              <w:rPr>
                <w:rFonts w:ascii="Calibri" w:hAnsi="Calibri"/>
                <w:color w:val="1A1F36"/>
                <w:sz w:val="17"/>
              </w:rPr>
              <w:t>True Zero Retention: RAM wiped upon completion</w:t>
            </w:r>
          </w:p>
        </w:tc>
      </w:tr>
    </w:tbl>
    <w:p>
      <w:pPr>
        <w:spacing w:before="0" w:after="60"/>
      </w:pPr>
    </w:p>
    <w:p>
      <w:pPr>
        <w:keepNext/>
        <w:spacing w:before="240" w:after="60"/>
      </w:pPr>
      <w:r>
        <w:rPr>
          <w:rFonts w:ascii="Calibri" w:hAnsi="Calibri"/>
          <w:b/>
          <w:color w:val="0A2540"/>
          <w:sz w:val="26"/>
        </w:rPr>
        <w:t>7. Key Empirical &amp; Technical Distinctions</w:t>
      </w:r>
    </w:p>
    <w:p>
      <w:pPr>
        <w:pStyle w:val="ListBullet"/>
        <w:spacing w:before="20" w:after="30"/>
      </w:pPr>
      <w:r>
        <w:rPr>
          <w:rFonts w:ascii="Calibri" w:hAnsi="Calibri"/>
          <w:color w:val="1A1F36"/>
          <w:sz w:val="18"/>
        </w:rPr>
      </w:r>
      <w:r>
        <w:rPr>
          <w:rFonts w:ascii="Calibri" w:hAnsi="Calibri"/>
          <w:b/>
          <w:color w:val="1A1F36"/>
          <w:sz w:val="18"/>
        </w:rPr>
        <w:t>Unprecedented Benchmark Scale</w:t>
      </w:r>
      <w:r>
        <w:rPr>
          <w:rFonts w:ascii="Calibri" w:hAnsi="Calibri"/>
          <w:color w:val="1A1F36"/>
          <w:sz w:val="18"/>
        </w:rPr>
        <w:t xml:space="preserve">: Stress-tested across </w:t>
      </w:r>
      <w:r>
        <w:rPr>
          <w:rFonts w:ascii="Calibri" w:hAnsi="Calibri"/>
          <w:b/>
          <w:color w:val="1A1F36"/>
          <w:sz w:val="18"/>
        </w:rPr>
        <w:t>~1.94 Billion tokens (9,334,805 prompts)</w:t>
      </w:r>
      <w:r>
        <w:rPr>
          <w:rFonts w:ascii="Calibri" w:hAnsi="Calibri"/>
          <w:color w:val="1A1F36"/>
          <w:sz w:val="18"/>
        </w:rPr>
        <w:t xml:space="preserve"> and 10.2M+ PII entities, recording a </w:t>
      </w:r>
      <w:r>
        <w:rPr>
          <w:rFonts w:ascii="Calibri" w:hAnsi="Calibri"/>
          <w:b/>
          <w:color w:val="1A1F36"/>
          <w:sz w:val="18"/>
        </w:rPr>
        <w:t>100.0000% exact bit-for-bit reconstruction rate with 0 mismatches</w:t>
      </w:r>
      <w:r>
        <w:rPr>
          <w:rFonts w:ascii="Calibri" w:hAnsi="Calibri"/>
          <w:color w:val="1A1F36"/>
          <w:sz w:val="18"/>
        </w:rPr>
        <w:t>.</w:t>
      </w:r>
    </w:p>
    <w:p>
      <w:pPr>
        <w:pStyle w:val="ListBullet"/>
        <w:spacing w:before="20" w:after="30"/>
      </w:pPr>
      <w:r>
        <w:rPr>
          <w:rFonts w:ascii="Calibri" w:hAnsi="Calibri"/>
          <w:color w:val="1A1F36"/>
          <w:sz w:val="18"/>
        </w:rPr>
      </w:r>
      <w:r>
        <w:rPr>
          <w:rFonts w:ascii="Calibri" w:hAnsi="Calibri"/>
          <w:b/>
          <w:color w:val="1A1F36"/>
          <w:sz w:val="18"/>
        </w:rPr>
        <w:t>Dual-Latency Performance Profile</w:t>
      </w:r>
      <w:r>
        <w:rPr>
          <w:rFonts w:ascii="Calibri" w:hAnsi="Calibri"/>
          <w:color w:val="1A1F36"/>
          <w:sz w:val="18"/>
        </w:rPr>
        <w:t>:</w:t>
      </w:r>
    </w:p>
    <w:p>
      <w:pPr>
        <w:pStyle w:val="ListBullet"/>
        <w:spacing w:before="20" w:after="30"/>
      </w:pPr>
      <w:r>
        <w:rPr>
          <w:rFonts w:ascii="Calibri" w:hAnsi="Calibri"/>
          <w:color w:val="1A1F36"/>
          <w:sz w:val="18"/>
        </w:rPr>
        <w:t xml:space="preserve">*Compute Core*: </w:t>
      </w:r>
      <w:r>
        <w:rPr>
          <w:rFonts w:ascii="Calibri" w:hAnsi="Calibri"/>
          <w:b/>
          <w:color w:val="1A1F36"/>
          <w:sz w:val="18"/>
        </w:rPr>
        <w:t>$86\,\mu\text{s}$ median latency</w:t>
      </w:r>
      <w:r>
        <w:rPr>
          <w:rFonts w:ascii="Calibri" w:hAnsi="Calibri"/>
          <w:color w:val="1A1F36"/>
          <w:sz w:val="18"/>
        </w:rPr>
        <w:t xml:space="preserve"> (17,735\text{ prompts/second} on commodity hardware).</w:t>
      </w:r>
    </w:p>
    <w:p>
      <w:pPr>
        <w:pStyle w:val="ListBullet"/>
        <w:spacing w:before="20" w:after="30"/>
      </w:pPr>
      <w:r>
        <w:rPr>
          <w:rFonts w:ascii="Calibri" w:hAnsi="Calibri"/>
          <w:color w:val="1A1F36"/>
          <w:sz w:val="18"/>
        </w:rPr>
        <w:t xml:space="preserve">*Public Network SLA*: Benchmarked over 50,000 prompts (100,000 TLS 1.3 requests), sustaining </w:t>
      </w:r>
      <w:r>
        <w:rPr>
          <w:rFonts w:ascii="Calibri" w:hAnsi="Calibri"/>
          <w:b/>
          <w:color w:val="1A1F36"/>
          <w:sz w:val="18"/>
        </w:rPr>
        <w:t>$2,691.95\text{ req/s}$</w:t>
      </w:r>
      <w:r>
        <w:rPr>
          <w:rFonts w:ascii="Calibri" w:hAnsi="Calibri"/>
          <w:color w:val="1A1F36"/>
          <w:sz w:val="18"/>
        </w:rPr>
        <w:t xml:space="preserve"> with a median network roundtrip of </w:t>
      </w:r>
      <w:r>
        <w:rPr>
          <w:rFonts w:ascii="Calibri" w:hAnsi="Calibri"/>
          <w:b/>
          <w:color w:val="1A1F36"/>
          <w:sz w:val="18"/>
        </w:rPr>
        <w:t>$13.3\,\text{ms}$</w:t>
      </w:r>
      <w:r>
        <w:rPr>
          <w:rFonts w:ascii="Calibri" w:hAnsi="Calibri"/>
          <w:color w:val="1A1F36"/>
          <w:sz w:val="18"/>
        </w:rPr>
        <w:t xml:space="preserve"> (tokenization) and </w:t>
      </w:r>
      <w:r>
        <w:rPr>
          <w:rFonts w:ascii="Calibri" w:hAnsi="Calibri"/>
          <w:b/>
          <w:color w:val="1A1F36"/>
          <w:sz w:val="18"/>
        </w:rPr>
        <w:t>$7.2\,\text{ms}$</w:t>
      </w:r>
      <w:r>
        <w:rPr>
          <w:rFonts w:ascii="Calibri" w:hAnsi="Calibri"/>
          <w:color w:val="1A1F36"/>
          <w:sz w:val="18"/>
        </w:rPr>
        <w:t xml:space="preserve"> (restoration).</w:t>
      </w:r>
    </w:p>
    <w:p>
      <w:pPr>
        <w:pStyle w:val="ListBullet"/>
        <w:spacing w:before="20" w:after="30"/>
      </w:pPr>
      <w:r>
        <w:rPr>
          <w:rFonts w:ascii="Calibri" w:hAnsi="Calibri"/>
          <w:color w:val="1A1F36"/>
          <w:sz w:val="18"/>
        </w:rPr>
      </w:r>
      <w:r>
        <w:rPr>
          <w:rFonts w:ascii="Calibri" w:hAnsi="Calibri"/>
          <w:b/>
          <w:color w:val="1A1F36"/>
          <w:sz w:val="18"/>
        </w:rPr>
        <w:t>67 Sovereign Mathematical Checksums</w:t>
      </w:r>
      <w:r>
        <w:rPr>
          <w:rFonts w:ascii="Calibri" w:hAnsi="Calibri"/>
          <w:color w:val="1A1F36"/>
          <w:sz w:val="18"/>
        </w:rPr>
        <w:t>: Covers Thai National ID (Mod 11), South African ID (Luhn), Nigerian NIN/BVN, Kenya KRA PIN, Ghana Card, Indian Aadhaar (Verhoeff D_5), Singapore NRIC, and ISO 7064 IBAN.</w:t>
      </w:r>
    </w:p>
    <w:p>
      <w:pPr>
        <w:pStyle w:val="ListBullet"/>
        <w:spacing w:before="20" w:after="30"/>
      </w:pPr>
      <w:r>
        <w:rPr>
          <w:rFonts w:ascii="Calibri" w:hAnsi="Calibri"/>
          <w:color w:val="1A1F36"/>
          <w:sz w:val="18"/>
        </w:rPr>
      </w:r>
      <w:r>
        <w:rPr>
          <w:rFonts w:ascii="Calibri" w:hAnsi="Calibri"/>
          <w:b/>
          <w:color w:val="1A1F36"/>
          <w:sz w:val="18"/>
        </w:rPr>
        <w:t>Zero Infrastructure Footprint</w:t>
      </w:r>
      <w:r>
        <w:rPr>
          <w:rFonts w:ascii="Calibri" w:hAnsi="Calibri"/>
          <w:color w:val="1A1F36"/>
          <w:sz w:val="18"/>
        </w:rPr>
        <w:t>: Operates without external databases, key-value stores, or GPU acceleration; fully containerized and deployable in minutes.</w:t>
      </w:r>
    </w:p>
    <w:p>
      <w:pPr>
        <w:keepNext/>
        <w:spacing w:before="240" w:after="60"/>
      </w:pPr>
      <w:r>
        <w:rPr>
          <w:rFonts w:ascii="Calibri" w:hAnsi="Calibri"/>
          <w:b/>
          <w:color w:val="0A2540"/>
          <w:sz w:val="26"/>
        </w:rPr>
        <w:t>8. Multilateral Alignment: UN, World Bank, and IMF Priorities</w:t>
      </w:r>
    </w:p>
    <w:p>
      <w:pPr>
        <w:keepNext/>
        <w:spacing w:before="160" w:after="40"/>
      </w:pPr>
      <w:r>
        <w:rPr>
          <w:rFonts w:ascii="Calibri" w:hAnsi="Calibri"/>
          <w:b/>
          <w:color w:val="475569"/>
          <w:sz w:val="22"/>
        </w:rPr>
        <w:t>🇺🇳 United Nations &amp; Sustainable Development Goals (SDGs)</w:t>
      </w:r>
    </w:p>
    <w:p>
      <w:pPr>
        <w:pStyle w:val="ListBullet"/>
        <w:spacing w:before="20" w:after="30"/>
      </w:pPr>
      <w:r>
        <w:rPr>
          <w:rFonts w:ascii="Calibri" w:hAnsi="Calibri"/>
          <w:color w:val="1A1F36"/>
          <w:sz w:val="18"/>
        </w:rPr>
      </w:r>
      <w:r>
        <w:rPr>
          <w:rFonts w:ascii="Calibri" w:hAnsi="Calibri"/>
          <w:b/>
          <w:color w:val="1A1F36"/>
          <w:sz w:val="18"/>
        </w:rPr>
        <w:t>SDG 16 &amp; UN Article 12 (Privacy as a Human Right)</w:t>
      </w:r>
      <w:r>
        <w:rPr>
          <w:rFonts w:ascii="Calibri" w:hAnsi="Calibri"/>
          <w:color w:val="1A1F36"/>
          <w:sz w:val="18"/>
        </w:rPr>
        <w:t>: Defends legal identities (</w:t>
      </w:r>
      <w:r>
        <w:rPr>
          <w:rFonts w:ascii="Calibri" w:hAnsi="Calibri"/>
          <w:b/>
          <w:color w:val="1A1F36"/>
          <w:sz w:val="18"/>
        </w:rPr>
        <w:t>Target 16.9</w:t>
      </w:r>
      <w:r>
        <w:rPr>
          <w:rFonts w:ascii="Calibri" w:hAnsi="Calibri"/>
          <w:color w:val="1A1F36"/>
          <w:sz w:val="18"/>
        </w:rPr>
        <w:t>) by shielding digital civil registries from foreign model training.</w:t>
      </w:r>
    </w:p>
    <w:p>
      <w:pPr>
        <w:pStyle w:val="ListBullet"/>
        <w:spacing w:before="20" w:after="30"/>
      </w:pPr>
      <w:r>
        <w:rPr>
          <w:rFonts w:ascii="Calibri" w:hAnsi="Calibri"/>
          <w:color w:val="1A1F36"/>
          <w:sz w:val="18"/>
        </w:rPr>
      </w:r>
      <w:r>
        <w:rPr>
          <w:rFonts w:ascii="Calibri" w:hAnsi="Calibri"/>
          <w:b/>
          <w:color w:val="1A1F36"/>
          <w:sz w:val="18"/>
        </w:rPr>
        <w:t>SDG 10 (Reduced Inequalities)</w:t>
      </w:r>
      <w:r>
        <w:rPr>
          <w:rFonts w:ascii="Calibri" w:hAnsi="Calibri"/>
          <w:color w:val="1A1F36"/>
          <w:sz w:val="18"/>
        </w:rPr>
        <w:t>: Delivers equal digital defense for 109 nations, closing the technological gap between advanced and developing economies.</w:t>
      </w:r>
    </w:p>
    <w:p>
      <w:pPr>
        <w:pStyle w:val="ListBullet"/>
        <w:spacing w:before="20" w:after="30"/>
      </w:pPr>
      <w:r>
        <w:rPr>
          <w:rFonts w:ascii="Calibri" w:hAnsi="Calibri"/>
          <w:color w:val="1A1F36"/>
          <w:sz w:val="18"/>
        </w:rPr>
      </w:r>
      <w:r>
        <w:rPr>
          <w:rFonts w:ascii="Calibri" w:hAnsi="Calibri"/>
          <w:b/>
          <w:color w:val="1A1F36"/>
          <w:sz w:val="18"/>
        </w:rPr>
        <w:t>SDG 9 &amp; 8 (Infrastructure &amp; Inclusive Finance)</w:t>
      </w:r>
      <w:r>
        <w:rPr>
          <w:rFonts w:ascii="Calibri" w:hAnsi="Calibri"/>
          <w:color w:val="1A1F36"/>
          <w:sz w:val="18"/>
        </w:rPr>
        <w:t>: Runs on standard commodity hardware without supercomputer expenses, enabling community lenders and credit unions to deploy compliant financial AI.</w:t>
      </w:r>
    </w:p>
    <w:p>
      <w:pPr>
        <w:keepNext/>
        <w:spacing w:before="160" w:after="40"/>
      </w:pPr>
      <w:r>
        <w:rPr>
          <w:rFonts w:ascii="Calibri" w:hAnsi="Calibri"/>
          <w:b/>
          <w:color w:val="475569"/>
          <w:sz w:val="22"/>
        </w:rPr>
        <w:t>🏦 World Bank Group: Shielding Digital Public Infrastructure (DPI &amp; ID4D)</w:t>
      </w:r>
    </w:p>
    <w:p>
      <w:pPr>
        <w:spacing w:before="30" w:after="60"/>
      </w:pPr>
      <w:r>
        <w:rPr>
          <w:rFonts w:ascii="Calibri" w:hAnsi="Calibri"/>
          <w:color w:val="1A1F36"/>
          <w:sz w:val="18"/>
        </w:rPr>
        <w:t xml:space="preserve">Provides an open-source security shell for the billions invested in </w:t>
      </w:r>
      <w:r>
        <w:rPr>
          <w:rFonts w:ascii="Calibri" w:hAnsi="Calibri"/>
          <w:b/>
          <w:color w:val="1A1F36"/>
          <w:sz w:val="18"/>
        </w:rPr>
        <w:t>ID4D (Identification for Development)</w:t>
      </w:r>
      <w:r>
        <w:rPr>
          <w:rFonts w:ascii="Calibri" w:hAnsi="Calibri"/>
          <w:color w:val="1A1F36"/>
          <w:sz w:val="18"/>
        </w:rPr>
        <w:t>. Ensures that newly digitized civil registries in emerging nations are not extracted by offshore monopolies.</w:t>
      </w:r>
    </w:p>
    <w:p>
      <w:pPr>
        <w:keepNext/>
        <w:spacing w:before="160" w:after="40"/>
      </w:pPr>
      <w:r>
        <w:rPr>
          <w:rFonts w:ascii="Calibri" w:hAnsi="Calibri"/>
          <w:b/>
          <w:color w:val="475569"/>
          <w:sz w:val="22"/>
        </w:rPr>
        <w:t>🌐 International Monetary Fund (IMF): Banking Secrecy &amp; Systemic Stability</w:t>
      </w:r>
    </w:p>
    <w:p>
      <w:pPr>
        <w:spacing w:before="30" w:after="60"/>
      </w:pPr>
      <w:r>
        <w:rPr>
          <w:rFonts w:ascii="Calibri" w:hAnsi="Calibri"/>
          <w:color w:val="1A1F36"/>
          <w:sz w:val="18"/>
        </w:rPr>
        <w:t xml:space="preserve">Guarantees compliance with national banking secrecy and Anti-Money Laundering (AML) mandates. Automatically validates and shields </w:t>
      </w:r>
      <w:r>
        <w:rPr>
          <w:rFonts w:ascii="Calibri" w:hAnsi="Calibri"/>
          <w:b/>
          <w:color w:val="1A1F36"/>
          <w:sz w:val="18"/>
        </w:rPr>
        <w:t>ISO 7064 Mod-97 (IBAN)</w:t>
      </w:r>
      <w:r>
        <w:rPr>
          <w:rFonts w:ascii="Calibri" w:hAnsi="Calibri"/>
          <w:color w:val="1A1F36"/>
          <w:sz w:val="18"/>
        </w:rPr>
        <w:t xml:space="preserve"> and </w:t>
      </w:r>
      <w:r>
        <w:rPr>
          <w:rFonts w:ascii="Calibri" w:hAnsi="Calibri"/>
          <w:b/>
          <w:color w:val="1A1F36"/>
          <w:sz w:val="18"/>
        </w:rPr>
        <w:t>Luhn Mod-10</w:t>
      </w:r>
      <w:r>
        <w:rPr>
          <w:rFonts w:ascii="Calibri" w:hAnsi="Calibri"/>
          <w:color w:val="1A1F36"/>
          <w:sz w:val="18"/>
        </w:rPr>
        <w:t xml:space="preserve"> payment card flows.</w:t>
      </w:r>
    </w:p>
    <w:p>
      <w:pPr>
        <w:keepNext/>
        <w:spacing w:before="160" w:after="40"/>
      </w:pPr>
      <w:r>
        <w:rPr>
          <w:rFonts w:ascii="Calibri" w:hAnsi="Calibri"/>
          <w:b/>
          <w:color w:val="475569"/>
          <w:sz w:val="22"/>
        </w:rPr>
        <w:t>🇹🇭 Host Nation Significance: Bangkok &amp; ASEAN DEFA</w:t>
      </w:r>
    </w:p>
    <w:p>
      <w:pPr>
        <w:spacing w:before="30" w:after="60"/>
      </w:pPr>
      <w:r>
        <w:rPr>
          <w:rFonts w:ascii="Calibri" w:hAnsi="Calibri"/>
          <w:color w:val="1A1F36"/>
          <w:sz w:val="18"/>
        </w:rPr>
        <w:t xml:space="preserve">Directly addresses Thailand's </w:t>
      </w:r>
      <w:r>
        <w:rPr>
          <w:rFonts w:ascii="Calibri" w:hAnsi="Calibri"/>
          <w:b/>
          <w:color w:val="1A1F36"/>
          <w:sz w:val="18"/>
        </w:rPr>
        <w:t>Personal Data Protection Act (PDPA)</w:t>
      </w:r>
      <w:r>
        <w:rPr>
          <w:rFonts w:ascii="Calibri" w:hAnsi="Calibri"/>
          <w:color w:val="1A1F36"/>
          <w:sz w:val="18"/>
        </w:rPr>
        <w:t xml:space="preserve"> cross-border data transfer controls with native </w:t>
      </w:r>
      <w:r>
        <w:rPr>
          <w:rFonts w:ascii="Calibri" w:hAnsi="Calibri"/>
          <w:b/>
          <w:color w:val="1A1F36"/>
          <w:sz w:val="18"/>
        </w:rPr>
        <w:t>Thai National ID (บัตรประชาชน)</w:t>
      </w:r>
      <w:r>
        <w:rPr>
          <w:rFonts w:ascii="Calibri" w:hAnsi="Calibri"/>
          <w:color w:val="1A1F36"/>
          <w:sz w:val="18"/>
        </w:rPr>
        <w:t xml:space="preserve"> Modulo 11 verification, establishing a technical reference architecture for the </w:t>
      </w:r>
      <w:r>
        <w:rPr>
          <w:rFonts w:ascii="Calibri" w:hAnsi="Calibri"/>
          <w:b/>
          <w:color w:val="1A1F36"/>
          <w:sz w:val="18"/>
        </w:rPr>
        <w:t>ASEAN Digital Economy Framework Agreement (DEFA)</w:t>
      </w:r>
      <w:r>
        <w:rPr>
          <w:rFonts w:ascii="Calibri" w:hAnsi="Calibri"/>
          <w:color w:val="1A1F36"/>
          <w:sz w:val="18"/>
        </w:rPr>
        <w:t>.</w:t>
      </w:r>
    </w:p>
    <w:p>
      <w:pPr>
        <w:keepNext/>
        <w:spacing w:before="160" w:after="40"/>
      </w:pPr>
      <w:r>
        <w:rPr>
          <w:rFonts w:ascii="Calibri" w:hAnsi="Calibri"/>
          <w:b/>
          <w:color w:val="475569"/>
          <w:sz w:val="22"/>
        </w:rPr>
        <w:t>🌍 Africa &amp; Emerging Economies: Countering Digital Extraction</w:t>
      </w:r>
    </w:p>
    <w:p>
      <w:pPr>
        <w:spacing w:before="30" w:after="60"/>
      </w:pPr>
      <w:r>
        <w:rPr>
          <w:rFonts w:ascii="Calibri" w:hAnsi="Calibri"/>
          <w:color w:val="1A1F36"/>
          <w:sz w:val="18"/>
        </w:rPr>
        <w:t xml:space="preserve">Supports the </w:t>
      </w:r>
      <w:r>
        <w:rPr>
          <w:rFonts w:ascii="Calibri" w:hAnsi="Calibri"/>
          <w:b/>
          <w:color w:val="1A1F36"/>
          <w:sz w:val="18"/>
        </w:rPr>
        <w:t>African Union Digital Transformation Strategy (2020–2030)</w:t>
      </w:r>
      <w:r>
        <w:rPr>
          <w:rFonts w:ascii="Calibri" w:hAnsi="Calibri"/>
          <w:color w:val="1A1F36"/>
          <w:sz w:val="18"/>
        </w:rPr>
        <w:t xml:space="preserve"> and </w:t>
      </w:r>
      <w:r>
        <w:rPr>
          <w:rFonts w:ascii="Calibri" w:hAnsi="Calibri"/>
          <w:b/>
          <w:color w:val="1A1F36"/>
          <w:sz w:val="18"/>
        </w:rPr>
        <w:t>AfCFTA Digital Trade Protocol</w:t>
      </w:r>
      <w:r>
        <w:rPr>
          <w:rFonts w:ascii="Calibri" w:hAnsi="Calibri"/>
          <w:color w:val="1A1F36"/>
          <w:sz w:val="18"/>
        </w:rPr>
        <w:t>. Provides native algorithmic validation for:</w:t>
      </w:r>
    </w:p>
    <w:p>
      <w:pPr>
        <w:pStyle w:val="ListBullet"/>
        <w:spacing w:before="20" w:after="30"/>
      </w:pPr>
      <w:r>
        <w:rPr>
          <w:rFonts w:ascii="Calibri" w:hAnsi="Calibri"/>
          <w:color w:val="1A1F36"/>
          <w:sz w:val="18"/>
        </w:rPr>
      </w:r>
      <w:r>
        <w:rPr>
          <w:rFonts w:ascii="Calibri" w:hAnsi="Calibri"/>
          <w:b/>
          <w:color w:val="1A1F36"/>
          <w:sz w:val="18"/>
        </w:rPr>
        <w:t>Nigeria</w:t>
      </w:r>
      <w:r>
        <w:rPr>
          <w:rFonts w:ascii="Calibri" w:hAnsi="Calibri"/>
          <w:color w:val="1A1F36"/>
          <w:sz w:val="18"/>
        </w:rPr>
        <w:t>: National Identification Number (NIN) &amp; Bank Verification Number (BVN).</w:t>
      </w:r>
    </w:p>
    <w:p>
      <w:pPr>
        <w:pStyle w:val="ListBullet"/>
        <w:spacing w:before="20" w:after="30"/>
      </w:pPr>
      <w:r>
        <w:rPr>
          <w:rFonts w:ascii="Calibri" w:hAnsi="Calibri"/>
          <w:color w:val="1A1F36"/>
          <w:sz w:val="18"/>
        </w:rPr>
      </w:r>
      <w:r>
        <w:rPr>
          <w:rFonts w:ascii="Calibri" w:hAnsi="Calibri"/>
          <w:b/>
          <w:color w:val="1A1F36"/>
          <w:sz w:val="18"/>
        </w:rPr>
        <w:t>South Africa</w:t>
      </w:r>
      <w:r>
        <w:rPr>
          <w:rFonts w:ascii="Calibri" w:hAnsi="Calibri"/>
          <w:color w:val="1A1F36"/>
          <w:sz w:val="18"/>
        </w:rPr>
        <w:t>: 13-digit National ID (Luhn &amp; gender parity) &amp; SARS Tax Numbers.</w:t>
      </w:r>
    </w:p>
    <w:p>
      <w:pPr>
        <w:pStyle w:val="ListBullet"/>
        <w:spacing w:before="20" w:after="30"/>
      </w:pPr>
      <w:r>
        <w:rPr>
          <w:rFonts w:ascii="Calibri" w:hAnsi="Calibri"/>
          <w:color w:val="1A1F36"/>
          <w:sz w:val="18"/>
        </w:rPr>
      </w:r>
      <w:r>
        <w:rPr>
          <w:rFonts w:ascii="Calibri" w:hAnsi="Calibri"/>
          <w:b/>
          <w:color w:val="1A1F36"/>
          <w:sz w:val="18"/>
        </w:rPr>
        <w:t>Kenya</w:t>
      </w:r>
      <w:r>
        <w:rPr>
          <w:rFonts w:ascii="Calibri" w:hAnsi="Calibri"/>
          <w:color w:val="1A1F36"/>
          <w:sz w:val="18"/>
        </w:rPr>
        <w:t>: KRA PIN &amp; National ID (Silicon Savannah financial corridor).</w:t>
      </w:r>
    </w:p>
    <w:p>
      <w:pPr>
        <w:pStyle w:val="ListBullet"/>
        <w:spacing w:before="20" w:after="30"/>
      </w:pPr>
      <w:r>
        <w:rPr>
          <w:rFonts w:ascii="Calibri" w:hAnsi="Calibri"/>
          <w:color w:val="1A1F36"/>
          <w:sz w:val="18"/>
        </w:rPr>
      </w:r>
      <w:r>
        <w:rPr>
          <w:rFonts w:ascii="Calibri" w:hAnsi="Calibri"/>
          <w:b/>
          <w:color w:val="1A1F36"/>
          <w:sz w:val="18"/>
        </w:rPr>
        <w:t>Egypt, Ghana, Rwanda, Tanzania, Uganda</w:t>
      </w:r>
      <w:r>
        <w:rPr>
          <w:rFonts w:ascii="Calibri" w:hAnsi="Calibri"/>
          <w:color w:val="1A1F36"/>
          <w:sz w:val="18"/>
        </w:rPr>
        <w:t>: Civil registry and tax algorithms.</w:t>
      </w:r>
    </w:p>
    <w:p>
      <w:pPr>
        <w:spacing w:before="30" w:after="60"/>
      </w:pPr>
      <w:r>
        <w:rPr>
          <w:rFonts w:ascii="Calibri" w:hAnsi="Calibri"/>
          <w:color w:val="1A1F36"/>
          <w:sz w:val="18"/>
        </w:rPr>
        <w:t>Guarantees that public sector AI adoption across Africa does not lead to unilateral sovereign data extraction.</w:t>
      </w:r>
    </w:p>
    <w:p>
      <w:pPr>
        <w:keepNext/>
        <w:spacing w:before="240" w:after="60"/>
      </w:pPr>
      <w:r>
        <w:rPr>
          <w:rFonts w:ascii="Calibri" w:hAnsi="Calibri"/>
          <w:b/>
          <w:color w:val="0A2540"/>
          <w:sz w:val="26"/>
        </w:rPr>
        <w:t>9. Current State of the Initiative</w:t>
      </w:r>
    </w:p>
    <w:p>
      <w:pPr>
        <w:pStyle w:val="ListBullet"/>
        <w:spacing w:before="20" w:after="30"/>
      </w:pPr>
      <w:r>
        <w:rPr>
          <w:rFonts w:ascii="Calibri" w:hAnsi="Calibri"/>
          <w:color w:val="1A1F36"/>
          <w:sz w:val="18"/>
        </w:rPr>
      </w:r>
      <w:r>
        <w:rPr>
          <w:rFonts w:ascii="Calibri" w:hAnsi="Calibri"/>
          <w:b/>
          <w:color w:val="1A1F36"/>
          <w:sz w:val="18"/>
        </w:rPr>
        <w:t>Production-Ready Core (v1.2)</w:t>
      </w:r>
      <w:r>
        <w:rPr>
          <w:rFonts w:ascii="Calibri" w:hAnsi="Calibri"/>
          <w:color w:val="1A1F36"/>
          <w:sz w:val="18"/>
        </w:rPr>
        <w:t>: Fully containerized OCI/Docker microservice operating with zero external database dependencies.</w:t>
      </w:r>
    </w:p>
    <w:p>
      <w:pPr>
        <w:pStyle w:val="ListBullet"/>
        <w:spacing w:before="20" w:after="30"/>
      </w:pPr>
      <w:r>
        <w:rPr>
          <w:rFonts w:ascii="Calibri" w:hAnsi="Calibri"/>
          <w:color w:val="1A1F36"/>
          <w:sz w:val="18"/>
        </w:rPr>
      </w:r>
      <w:r>
        <w:rPr>
          <w:rFonts w:ascii="Calibri" w:hAnsi="Calibri"/>
          <w:b/>
          <w:color w:val="1A1F36"/>
          <w:sz w:val="18"/>
        </w:rPr>
        <w:t>Empirically Proven</w:t>
      </w:r>
      <w:r>
        <w:rPr>
          <w:rFonts w:ascii="Calibri" w:hAnsi="Calibri"/>
          <w:color w:val="1A1F36"/>
          <w:sz w:val="18"/>
        </w:rPr>
        <w:t>: 1.94B tokens, 9.33M prompts, 100.0000% fidelity, and verified 72-hour zero-leak soak stability.</w:t>
      </w:r>
    </w:p>
    <w:p>
      <w:pPr>
        <w:pStyle w:val="ListBullet"/>
        <w:spacing w:before="20" w:after="30"/>
      </w:pPr>
      <w:r>
        <w:rPr>
          <w:rFonts w:ascii="Calibri" w:hAnsi="Calibri"/>
          <w:color w:val="1A1F36"/>
          <w:sz w:val="18"/>
        </w:rPr>
      </w:r>
      <w:r>
        <w:rPr>
          <w:rFonts w:ascii="Calibri" w:hAnsi="Calibri"/>
          <w:b/>
          <w:color w:val="1A1F36"/>
          <w:sz w:val="18"/>
        </w:rPr>
        <w:t>Open Governance</w:t>
      </w:r>
      <w:r>
        <w:rPr>
          <w:rFonts w:ascii="Calibri" w:hAnsi="Calibri"/>
          <w:color w:val="1A1F36"/>
          <w:sz w:val="18"/>
        </w:rPr>
        <w:t xml:space="preserve">: Released under </w:t>
      </w:r>
      <w:r>
        <w:rPr>
          <w:rFonts w:ascii="Calibri" w:hAnsi="Calibri"/>
          <w:b/>
          <w:color w:val="1A1F36"/>
          <w:sz w:val="18"/>
        </w:rPr>
        <w:t>Apache-2.0</w:t>
      </w:r>
      <w:r>
        <w:rPr>
          <w:rFonts w:ascii="Calibri" w:hAnsi="Calibri"/>
          <w:color w:val="1A1F36"/>
          <w:sz w:val="18"/>
        </w:rPr>
        <w:t xml:space="preserve"> for unencumbered institutional adoption, local audits, and sovereign ownership.</w:t>
      </w:r>
    </w:p>
    <w:p>
      <w:pPr>
        <w:pStyle w:val="ListBullet"/>
        <w:spacing w:before="20" w:after="30"/>
      </w:pPr>
      <w:r>
        <w:rPr>
          <w:rFonts w:ascii="Calibri" w:hAnsi="Calibri"/>
          <w:color w:val="1A1F36"/>
          <w:sz w:val="18"/>
        </w:rPr>
      </w:r>
      <w:r>
        <w:rPr>
          <w:rFonts w:ascii="Calibri" w:hAnsi="Calibri"/>
          <w:b/>
          <w:color w:val="1A1F36"/>
          <w:sz w:val="18"/>
        </w:rPr>
        <w:t>Summit Action Pathways</w:t>
      </w:r>
      <w:r>
        <w:rPr>
          <w:rFonts w:ascii="Calibri" w:hAnsi="Calibri"/>
          <w:color w:val="1A1F36"/>
          <w:sz w:val="18"/>
        </w:rPr>
        <w:t xml:space="preserve">: Actively inviting central banks and multilateral bodies to participate in </w:t>
      </w:r>
      <w:r>
        <w:rPr>
          <w:rFonts w:ascii="Calibri" w:hAnsi="Calibri"/>
          <w:b/>
          <w:color w:val="1A1F36"/>
          <w:sz w:val="18"/>
        </w:rPr>
        <w:t>Sovereign Sandbox Pilots</w:t>
      </w:r>
      <w:r>
        <w:rPr>
          <w:rFonts w:ascii="Calibri" w:hAnsi="Calibri"/>
          <w:color w:val="1A1F36"/>
          <w:sz w:val="18"/>
        </w:rPr>
        <w:t>, contribute domestic registry algorithms, and conduct independent peer audits.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