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DA" w:rsidRPr="004F5D8B" w:rsidRDefault="007B41C2">
      <w:pPr>
        <w:rPr>
          <w:b/>
          <w:lang w:val="ru-RU"/>
        </w:rPr>
      </w:pPr>
      <w:r w:rsidRPr="004F5D8B">
        <w:rPr>
          <w:b/>
          <w:lang w:val="ru-RU"/>
        </w:rPr>
        <w:t>Блоки подготовки воздуха</w:t>
      </w:r>
    </w:p>
    <w:p w:rsidR="00691F8B" w:rsidRPr="00EC20D2" w:rsidRDefault="00691F8B" w:rsidP="00691F8B">
      <w:pPr>
        <w:ind w:firstLine="720"/>
        <w:rPr>
          <w:sz w:val="21"/>
          <w:szCs w:val="21"/>
          <w:lang w:val="ru-RU"/>
        </w:rPr>
      </w:pPr>
      <w:r w:rsidRPr="00EC20D2">
        <w:rPr>
          <w:sz w:val="21"/>
          <w:szCs w:val="21"/>
          <w:lang w:val="ru-RU"/>
        </w:rPr>
        <w:t xml:space="preserve">Блоки подготовки воздуха используются для отделения твердых частиц и капельной влаги от воздуха в пневматической системе, регулирования давления, а также для подачи в воздух масла, для смазки трущихся частей пневматических элементов. Блок подготовки воздуха состоит из фильтра-регулятора и маслораспылителя, </w:t>
      </w:r>
      <w:proofErr w:type="gramStart"/>
      <w:r w:rsidRPr="00EC20D2">
        <w:rPr>
          <w:sz w:val="21"/>
          <w:szCs w:val="21"/>
          <w:lang w:val="ru-RU"/>
        </w:rPr>
        <w:t>собранных</w:t>
      </w:r>
      <w:proofErr w:type="gramEnd"/>
      <w:r w:rsidRPr="00EC20D2">
        <w:rPr>
          <w:sz w:val="21"/>
          <w:szCs w:val="21"/>
          <w:lang w:val="ru-RU"/>
        </w:rPr>
        <w:t xml:space="preserve"> в одном корпусе. Фильтр оснащен сбросом конденсата, редуктор клапаном сброса избыточного давления со стороны потребителя, маслораспылитель позволяет регулировать объем масла подающегося в систему. Для снижения потеть давления и увеличения эффективности </w:t>
      </w:r>
      <w:proofErr w:type="gramStart"/>
      <w:r w:rsidRPr="00EC20D2">
        <w:rPr>
          <w:sz w:val="21"/>
          <w:szCs w:val="21"/>
          <w:lang w:val="ru-RU"/>
        </w:rPr>
        <w:t>смазки</w:t>
      </w:r>
      <w:proofErr w:type="gramEnd"/>
      <w:r w:rsidRPr="00EC20D2">
        <w:rPr>
          <w:sz w:val="21"/>
          <w:szCs w:val="21"/>
          <w:lang w:val="ru-RU"/>
        </w:rPr>
        <w:t xml:space="preserve"> трущихся элементов, данные блоки подготовки воздуха должны устанавливаться непосредственно на оборудовании, на котором используется сжатый воздух. Также обратите внимание, для продления срока службы вашего пневматического оборудования используйте масло </w:t>
      </w:r>
      <w:r w:rsidRPr="00EC20D2">
        <w:rPr>
          <w:sz w:val="21"/>
          <w:szCs w:val="21"/>
        </w:rPr>
        <w:t>ISO</w:t>
      </w:r>
      <w:r w:rsidRPr="00EC20D2">
        <w:rPr>
          <w:sz w:val="21"/>
          <w:szCs w:val="21"/>
          <w:lang w:val="ru-RU"/>
        </w:rPr>
        <w:t xml:space="preserve"> </w:t>
      </w:r>
      <w:r w:rsidRPr="00EC20D2">
        <w:rPr>
          <w:sz w:val="21"/>
          <w:szCs w:val="21"/>
        </w:rPr>
        <w:t>VG</w:t>
      </w:r>
      <w:r w:rsidRPr="00EC20D2">
        <w:rPr>
          <w:sz w:val="21"/>
          <w:szCs w:val="21"/>
          <w:lang w:val="ru-RU"/>
        </w:rPr>
        <w:t xml:space="preserve">32 (ссылка на страницу с маслом) </w:t>
      </w:r>
      <w:r w:rsidRPr="00EC20D2">
        <w:rPr>
          <w:sz w:val="21"/>
          <w:szCs w:val="21"/>
          <w:lang w:val="uk-UA"/>
        </w:rPr>
        <w:t xml:space="preserve">для </w:t>
      </w:r>
      <w:r w:rsidRPr="00EC20D2">
        <w:rPr>
          <w:sz w:val="21"/>
          <w:szCs w:val="21"/>
          <w:lang w:val="ru-RU"/>
        </w:rPr>
        <w:t>пневматических</w:t>
      </w:r>
      <w:r w:rsidRPr="00EC20D2">
        <w:rPr>
          <w:sz w:val="21"/>
          <w:szCs w:val="21"/>
          <w:lang w:val="uk-UA"/>
        </w:rPr>
        <w:t xml:space="preserve"> систем, а так же не </w:t>
      </w:r>
      <w:r w:rsidRPr="00EC20D2">
        <w:rPr>
          <w:sz w:val="21"/>
          <w:szCs w:val="21"/>
          <w:lang w:val="ru-RU"/>
        </w:rPr>
        <w:t>прекращайте</w:t>
      </w:r>
      <w:r w:rsidRPr="00EC20D2">
        <w:rPr>
          <w:sz w:val="21"/>
          <w:szCs w:val="21"/>
          <w:lang w:val="uk-UA"/>
        </w:rPr>
        <w:t xml:space="preserve"> подачу масла в систему, </w:t>
      </w:r>
      <w:r w:rsidRPr="00EC20D2">
        <w:rPr>
          <w:sz w:val="21"/>
          <w:szCs w:val="21"/>
          <w:lang w:val="ru-RU"/>
        </w:rPr>
        <w:t xml:space="preserve">если вы ее уже начали.  </w:t>
      </w:r>
    </w:p>
    <w:p w:rsidR="00AB6C47" w:rsidRPr="00EC20D2" w:rsidRDefault="00AB6C47" w:rsidP="00AB6C47">
      <w:pPr>
        <w:ind w:firstLine="720"/>
        <w:rPr>
          <w:sz w:val="21"/>
          <w:szCs w:val="21"/>
          <w:lang w:val="ru-RU"/>
        </w:rPr>
      </w:pPr>
      <w:r w:rsidRPr="00EC20D2">
        <w:rPr>
          <w:sz w:val="21"/>
          <w:szCs w:val="21"/>
          <w:lang w:val="ru-RU"/>
        </w:rPr>
        <w:t>Обратите внимание, блоки подготовки воздуха отделяют только капельную влагу и не в состоянии осушать воздух, для осушки воздуха используйте осушители воздуха (ссылка) в комплекте с  магистральными фильтрами (ссылка).</w:t>
      </w:r>
    </w:p>
    <w:p w:rsidR="00691F8B" w:rsidRPr="00EC20D2" w:rsidRDefault="00691F8B" w:rsidP="00691F8B">
      <w:pPr>
        <w:ind w:firstLine="720"/>
        <w:jc w:val="center"/>
        <w:rPr>
          <w:sz w:val="21"/>
          <w:szCs w:val="21"/>
          <w:lang w:val="ru-RU"/>
        </w:rPr>
      </w:pPr>
      <w:r w:rsidRPr="00EC20D2">
        <w:rPr>
          <w:sz w:val="21"/>
          <w:szCs w:val="21"/>
          <w:lang w:val="ru-RU"/>
        </w:rPr>
        <w:t>В нашем ассортименте представлены 3 серии блоков подготовки воздуха</w:t>
      </w:r>
      <w:r w:rsidR="001B61E4" w:rsidRPr="00EC20D2">
        <w:rPr>
          <w:sz w:val="21"/>
          <w:szCs w:val="21"/>
          <w:lang w:val="ru-RU"/>
        </w:rPr>
        <w:t>, ниже приведена таблица с основными отличиями данных серий</w:t>
      </w:r>
      <w:r w:rsidRPr="00EC20D2">
        <w:rPr>
          <w:sz w:val="21"/>
          <w:szCs w:val="21"/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2168"/>
        <w:gridCol w:w="308"/>
        <w:gridCol w:w="2442"/>
        <w:gridCol w:w="34"/>
        <w:gridCol w:w="2476"/>
        <w:gridCol w:w="407"/>
        <w:gridCol w:w="2070"/>
        <w:gridCol w:w="763"/>
      </w:tblGrid>
      <w:tr w:rsidR="001B61E4" w:rsidTr="00AB6C47">
        <w:tc>
          <w:tcPr>
            <w:tcW w:w="2168" w:type="dxa"/>
          </w:tcPr>
          <w:p w:rsidR="001B61E4" w:rsidRDefault="001B61E4" w:rsidP="008F3708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Серия</w:t>
            </w:r>
          </w:p>
        </w:tc>
        <w:tc>
          <w:tcPr>
            <w:tcW w:w="2750" w:type="dxa"/>
            <w:gridSpan w:val="2"/>
          </w:tcPr>
          <w:p w:rsidR="001B61E4" w:rsidRDefault="001B61E4" w:rsidP="008F3708">
            <w:pPr>
              <w:jc w:val="center"/>
              <w:rPr>
                <w:noProof/>
                <w:lang w:val="ru-RU" w:eastAsia="ru-RU"/>
              </w:rPr>
            </w:pPr>
            <w:r>
              <w:t>SA-CN</w:t>
            </w:r>
          </w:p>
        </w:tc>
        <w:tc>
          <w:tcPr>
            <w:tcW w:w="2917" w:type="dxa"/>
            <w:gridSpan w:val="3"/>
          </w:tcPr>
          <w:p w:rsidR="001B61E4" w:rsidRDefault="001B61E4" w:rsidP="008F3708">
            <w:pPr>
              <w:jc w:val="center"/>
              <w:rPr>
                <w:noProof/>
                <w:lang w:val="ru-RU" w:eastAsia="ru-RU"/>
              </w:rPr>
            </w:pPr>
            <w:r>
              <w:t>SA-CU</w:t>
            </w:r>
          </w:p>
        </w:tc>
        <w:tc>
          <w:tcPr>
            <w:tcW w:w="2833" w:type="dxa"/>
            <w:gridSpan w:val="2"/>
            <w:vAlign w:val="center"/>
          </w:tcPr>
          <w:p w:rsidR="001B61E4" w:rsidRPr="001B61E4" w:rsidRDefault="001B61E4" w:rsidP="008F3708">
            <w:pPr>
              <w:jc w:val="center"/>
              <w:rPr>
                <w:lang w:val="ru-RU"/>
              </w:rPr>
            </w:pPr>
            <w:r>
              <w:t>SA-C</w:t>
            </w:r>
            <w:r>
              <w:rPr>
                <w:lang w:val="ru-RU"/>
              </w:rPr>
              <w:t>М</w:t>
            </w:r>
          </w:p>
        </w:tc>
      </w:tr>
      <w:tr w:rsidR="001B61E4" w:rsidTr="00AB6C47">
        <w:tc>
          <w:tcPr>
            <w:tcW w:w="2168" w:type="dxa"/>
            <w:vAlign w:val="center"/>
          </w:tcPr>
          <w:p w:rsidR="001B61E4" w:rsidRDefault="001B61E4" w:rsidP="001B61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Внешний вид</w:t>
            </w:r>
          </w:p>
        </w:tc>
        <w:tc>
          <w:tcPr>
            <w:tcW w:w="2750" w:type="dxa"/>
            <w:gridSpan w:val="2"/>
          </w:tcPr>
          <w:p w:rsidR="001B61E4" w:rsidRDefault="001B61E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56339" cy="2076450"/>
                  <wp:effectExtent l="19050" t="0" r="961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339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  <w:gridSpan w:val="3"/>
          </w:tcPr>
          <w:p w:rsidR="001B61E4" w:rsidRDefault="001B61E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323975" cy="1969617"/>
                  <wp:effectExtent l="19050" t="0" r="9525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969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gridSpan w:val="2"/>
            <w:vAlign w:val="center"/>
          </w:tcPr>
          <w:p w:rsidR="001B61E4" w:rsidRDefault="001B61E4" w:rsidP="008F3708">
            <w:pPr>
              <w:jc w:val="center"/>
              <w:rPr>
                <w:lang w:val="ru-RU"/>
              </w:rPr>
            </w:pPr>
            <w:r w:rsidRPr="008F3708">
              <w:rPr>
                <w:noProof/>
                <w:lang w:val="ru-RU" w:eastAsia="ru-RU"/>
              </w:rPr>
              <w:drawing>
                <wp:inline distT="0" distB="0" distL="0" distR="0">
                  <wp:extent cx="1456403" cy="1714500"/>
                  <wp:effectExtent l="19050" t="0" r="0" b="0"/>
                  <wp:docPr id="7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4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403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1E4" w:rsidTr="00AB6C47">
        <w:tc>
          <w:tcPr>
            <w:tcW w:w="2168" w:type="dxa"/>
          </w:tcPr>
          <w:p w:rsidR="007721E4" w:rsidRPr="007721E4" w:rsidRDefault="007721E4" w:rsidP="008F3708">
            <w:r>
              <w:rPr>
                <w:lang w:val="ru-RU"/>
              </w:rPr>
              <w:t xml:space="preserve">Каталог </w:t>
            </w:r>
            <w:r>
              <w:t>PDF</w:t>
            </w:r>
          </w:p>
        </w:tc>
        <w:tc>
          <w:tcPr>
            <w:tcW w:w="2750" w:type="dxa"/>
            <w:gridSpan w:val="2"/>
            <w:vAlign w:val="center"/>
          </w:tcPr>
          <w:p w:rsidR="007721E4" w:rsidRP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17" w:type="dxa"/>
            <w:gridSpan w:val="3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833" w:type="dxa"/>
            <w:gridSpan w:val="2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EC20D2" w:rsidTr="00AB6C47">
        <w:tc>
          <w:tcPr>
            <w:tcW w:w="2168" w:type="dxa"/>
          </w:tcPr>
          <w:p w:rsidR="00EC20D2" w:rsidRPr="00726C3B" w:rsidRDefault="00EC20D2" w:rsidP="00D57A25">
            <w:pPr>
              <w:rPr>
                <w:lang w:val="uk-UA"/>
              </w:rPr>
            </w:pPr>
            <w:r>
              <w:rPr>
                <w:lang w:val="ru-RU"/>
              </w:rPr>
              <w:t>3</w:t>
            </w:r>
            <w:r>
              <w:t xml:space="preserve">D </w:t>
            </w:r>
            <w:r>
              <w:rPr>
                <w:lang w:val="uk-UA"/>
              </w:rPr>
              <w:t>модель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7721E4" w:rsidRDefault="00EC20D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17" w:type="dxa"/>
            <w:gridSpan w:val="3"/>
            <w:vAlign w:val="center"/>
          </w:tcPr>
          <w:p w:rsidR="00EC20D2" w:rsidRDefault="00EC20D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Максимальное входное давление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Бар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</w:tr>
      <w:tr w:rsidR="00EC20D2" w:rsidTr="00AB6C47">
        <w:tc>
          <w:tcPr>
            <w:tcW w:w="2168" w:type="dxa"/>
          </w:tcPr>
          <w:p w:rsidR="00EC20D2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Диапазон регулирования выходного давления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1B61E4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0-10 Бар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1B61E4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0-8 Бар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</w:pPr>
            <w:r>
              <w:rPr>
                <w:lang w:val="ru-RU"/>
              </w:rPr>
              <w:t>0-8 Бар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Присоединительные</w:t>
            </w:r>
            <w:proofErr w:type="gramEnd"/>
            <w:r>
              <w:rPr>
                <w:lang w:val="ru-RU"/>
              </w:rPr>
              <w:t xml:space="preserve"> резьбы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t>M</w:t>
            </w:r>
            <w:r w:rsidRPr="008F3708">
              <w:rPr>
                <w:lang w:val="ru-RU"/>
              </w:rPr>
              <w:t xml:space="preserve">5 -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t>G</w:t>
            </w:r>
            <w:r w:rsidRPr="008F3708">
              <w:rPr>
                <w:lang w:val="ru-RU"/>
              </w:rPr>
              <w:t xml:space="preserve">1/4”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t>G</w:t>
            </w:r>
            <w:r>
              <w:rPr>
                <w:lang w:val="ru-RU"/>
              </w:rPr>
              <w:t xml:space="preserve">1/4”,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</w:t>
            </w:r>
            <w:r>
              <w:rPr>
                <w:lang w:val="ru-RU"/>
              </w:rPr>
              <w:t>/2</w:t>
            </w:r>
            <w:r w:rsidRPr="008F3708">
              <w:rPr>
                <w:lang w:val="ru-RU"/>
              </w:rPr>
              <w:t>”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Тип регулятора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Поршневой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Тип слива конденсата (стандартный)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Возможность установки автоматического слива конденсата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Материал защитного стакана</w:t>
            </w:r>
          </w:p>
        </w:tc>
        <w:tc>
          <w:tcPr>
            <w:tcW w:w="2750" w:type="dxa"/>
            <w:gridSpan w:val="2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Металл</w:t>
            </w:r>
          </w:p>
        </w:tc>
        <w:tc>
          <w:tcPr>
            <w:tcW w:w="2917" w:type="dxa"/>
            <w:gridSpan w:val="3"/>
            <w:vAlign w:val="center"/>
          </w:tcPr>
          <w:p w:rsidR="00EC20D2" w:rsidRPr="008F3708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  <w:tc>
          <w:tcPr>
            <w:tcW w:w="2833" w:type="dxa"/>
            <w:gridSpan w:val="2"/>
            <w:vAlign w:val="center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</w:tr>
      <w:tr w:rsidR="00EC20D2" w:rsidTr="00AB6C47">
        <w:tc>
          <w:tcPr>
            <w:tcW w:w="2168" w:type="dxa"/>
          </w:tcPr>
          <w:p w:rsidR="00EC20D2" w:rsidRPr="008F3708" w:rsidRDefault="00EC20D2" w:rsidP="008F3708">
            <w:pPr>
              <w:rPr>
                <w:lang w:val="ru-RU"/>
              </w:rPr>
            </w:pPr>
            <w:r>
              <w:rPr>
                <w:lang w:val="ru-RU"/>
              </w:rPr>
              <w:t>Комплект поставки</w:t>
            </w:r>
          </w:p>
        </w:tc>
        <w:tc>
          <w:tcPr>
            <w:tcW w:w="8500" w:type="dxa"/>
            <w:gridSpan w:val="7"/>
          </w:tcPr>
          <w:p w:rsidR="00EC20D2" w:rsidRDefault="00EC20D2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Блок подготовки, кронштейн, манометр</w:t>
            </w: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 w:rsidP="007B41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Серия</w:t>
            </w:r>
          </w:p>
        </w:tc>
        <w:tc>
          <w:tcPr>
            <w:tcW w:w="2476" w:type="dxa"/>
            <w:gridSpan w:val="2"/>
          </w:tcPr>
          <w:p w:rsidR="00EC20D2" w:rsidRDefault="00EC20D2" w:rsidP="007B41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76" w:type="dxa"/>
          </w:tcPr>
          <w:p w:rsidR="00EC20D2" w:rsidRDefault="00EC20D2" w:rsidP="007B41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Присоединительная резьба</w:t>
            </w:r>
          </w:p>
        </w:tc>
        <w:tc>
          <w:tcPr>
            <w:tcW w:w="2477" w:type="dxa"/>
            <w:gridSpan w:val="2"/>
          </w:tcPr>
          <w:p w:rsidR="00EC20D2" w:rsidRPr="008F3708" w:rsidRDefault="00EC20D2" w:rsidP="007B41C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 xml:space="preserve">Тип слива </w:t>
            </w:r>
            <w:r>
              <w:rPr>
                <w:lang w:val="ru-RU"/>
              </w:rPr>
              <w:t>конденсата</w:t>
            </w:r>
          </w:p>
        </w:tc>
      </w:tr>
      <w:tr w:rsidR="00EC20D2" w:rsidTr="008F3708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Pr="007B41C2" w:rsidRDefault="00EC20D2">
            <w:r>
              <w:t>SA-CN</w:t>
            </w:r>
          </w:p>
        </w:tc>
        <w:tc>
          <w:tcPr>
            <w:tcW w:w="2476" w:type="dxa"/>
            <w:gridSpan w:val="2"/>
          </w:tcPr>
          <w:p w:rsidR="00EC20D2" w:rsidRPr="008F3708" w:rsidRDefault="00EC20D2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76" w:type="dxa"/>
          </w:tcPr>
          <w:p w:rsidR="00EC20D2" w:rsidRPr="008F3708" w:rsidRDefault="00EC20D2">
            <w:pPr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2477" w:type="dxa"/>
            <w:gridSpan w:val="2"/>
            <w:vMerge w:val="restart"/>
            <w:vAlign w:val="center"/>
          </w:tcPr>
          <w:p w:rsidR="00EC20D2" w:rsidRDefault="00EC20D2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/ автоматический</w:t>
            </w: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1217AF">
            <w:r>
              <w:t>20</w:t>
            </w:r>
          </w:p>
        </w:tc>
        <w:tc>
          <w:tcPr>
            <w:tcW w:w="2476" w:type="dxa"/>
          </w:tcPr>
          <w:p w:rsidR="00EC20D2" w:rsidRPr="007B41C2" w:rsidRDefault="00EC20D2" w:rsidP="001217AF">
            <w:r>
              <w:t>‘G1/4”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1217AF">
            <w:r>
              <w:t>40</w:t>
            </w:r>
          </w:p>
        </w:tc>
        <w:tc>
          <w:tcPr>
            <w:tcW w:w="2476" w:type="dxa"/>
          </w:tcPr>
          <w:p w:rsidR="00EC20D2" w:rsidRDefault="00EC20D2" w:rsidP="001217AF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1217AF">
            <w:r>
              <w:t>60</w:t>
            </w:r>
          </w:p>
        </w:tc>
        <w:tc>
          <w:tcPr>
            <w:tcW w:w="2476" w:type="dxa"/>
          </w:tcPr>
          <w:p w:rsidR="00EC20D2" w:rsidRDefault="00EC20D2" w:rsidP="001217AF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C87D7D"/>
        </w:tc>
        <w:tc>
          <w:tcPr>
            <w:tcW w:w="2476" w:type="dxa"/>
          </w:tcPr>
          <w:p w:rsidR="00EC20D2" w:rsidRDefault="00EC20D2" w:rsidP="00C87D7D">
            <w:pPr>
              <w:rPr>
                <w:lang w:val="ru-RU"/>
              </w:rPr>
            </w:pPr>
          </w:p>
        </w:tc>
        <w:tc>
          <w:tcPr>
            <w:tcW w:w="2477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8F3708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Pr="008F3708" w:rsidRDefault="00EC20D2" w:rsidP="00D57A25">
            <w:r>
              <w:t>SA-CU</w:t>
            </w:r>
          </w:p>
        </w:tc>
        <w:tc>
          <w:tcPr>
            <w:tcW w:w="2476" w:type="dxa"/>
            <w:gridSpan w:val="2"/>
          </w:tcPr>
          <w:p w:rsidR="00EC20D2" w:rsidRPr="007B41C2" w:rsidRDefault="00EC20D2" w:rsidP="00852C46">
            <w:r>
              <w:t>20</w:t>
            </w:r>
          </w:p>
        </w:tc>
        <w:tc>
          <w:tcPr>
            <w:tcW w:w="2476" w:type="dxa"/>
          </w:tcPr>
          <w:p w:rsidR="00EC20D2" w:rsidRPr="007B41C2" w:rsidRDefault="00EC20D2" w:rsidP="00852C46">
            <w:r>
              <w:t>‘G1/4”</w:t>
            </w:r>
          </w:p>
        </w:tc>
        <w:tc>
          <w:tcPr>
            <w:tcW w:w="2477" w:type="dxa"/>
            <w:gridSpan w:val="2"/>
            <w:vMerge w:val="restart"/>
            <w:vAlign w:val="center"/>
          </w:tcPr>
          <w:p w:rsidR="00EC20D2" w:rsidRDefault="00EC20D2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 / автоматический</w:t>
            </w: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 w:rsidP="00D57A25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852C46">
            <w:r>
              <w:t>40</w:t>
            </w:r>
          </w:p>
        </w:tc>
        <w:tc>
          <w:tcPr>
            <w:tcW w:w="2476" w:type="dxa"/>
          </w:tcPr>
          <w:p w:rsidR="00EC20D2" w:rsidRDefault="00EC20D2" w:rsidP="00852C46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 w:rsidP="00D57A25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852C46">
            <w:r>
              <w:t>60</w:t>
            </w:r>
          </w:p>
        </w:tc>
        <w:tc>
          <w:tcPr>
            <w:tcW w:w="2476" w:type="dxa"/>
          </w:tcPr>
          <w:p w:rsidR="00EC20D2" w:rsidRDefault="00EC20D2" w:rsidP="00852C46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 w:rsidP="00D57A25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D57A25"/>
        </w:tc>
        <w:tc>
          <w:tcPr>
            <w:tcW w:w="2476" w:type="dxa"/>
          </w:tcPr>
          <w:p w:rsidR="00EC20D2" w:rsidRDefault="00EC20D2" w:rsidP="00D57A25">
            <w:pPr>
              <w:rPr>
                <w:lang w:val="ru-RU"/>
              </w:rPr>
            </w:pPr>
          </w:p>
        </w:tc>
        <w:tc>
          <w:tcPr>
            <w:tcW w:w="2477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953E64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Pr="00953E64" w:rsidRDefault="00EC20D2" w:rsidP="00D57A25">
            <w:r>
              <w:t>SA-CM</w:t>
            </w:r>
          </w:p>
        </w:tc>
        <w:tc>
          <w:tcPr>
            <w:tcW w:w="2476" w:type="dxa"/>
            <w:gridSpan w:val="2"/>
          </w:tcPr>
          <w:p w:rsidR="00EC20D2" w:rsidRPr="007B41C2" w:rsidRDefault="00EC20D2" w:rsidP="00D57A25">
            <w:r>
              <w:t>10</w:t>
            </w:r>
          </w:p>
        </w:tc>
        <w:tc>
          <w:tcPr>
            <w:tcW w:w="2476" w:type="dxa"/>
          </w:tcPr>
          <w:p w:rsidR="00EC20D2" w:rsidRDefault="00EC20D2" w:rsidP="00C87D7D">
            <w:pPr>
              <w:rPr>
                <w:lang w:val="ru-RU"/>
              </w:rPr>
            </w:pPr>
            <w:r>
              <w:t>‘G1/4”</w:t>
            </w:r>
          </w:p>
        </w:tc>
        <w:tc>
          <w:tcPr>
            <w:tcW w:w="2477" w:type="dxa"/>
            <w:gridSpan w:val="2"/>
            <w:vMerge w:val="restart"/>
            <w:vAlign w:val="center"/>
          </w:tcPr>
          <w:p w:rsidR="00EC20D2" w:rsidRDefault="00EC20D2" w:rsidP="00953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</w:t>
            </w: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D57A25">
            <w:r>
              <w:t>40</w:t>
            </w:r>
          </w:p>
        </w:tc>
        <w:tc>
          <w:tcPr>
            <w:tcW w:w="2476" w:type="dxa"/>
          </w:tcPr>
          <w:p w:rsidR="00EC20D2" w:rsidRDefault="00EC20D2" w:rsidP="00D57A25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gridSpan w:val="2"/>
            <w:vMerge/>
          </w:tcPr>
          <w:p w:rsidR="00EC20D2" w:rsidRDefault="00EC20D2">
            <w:pPr>
              <w:rPr>
                <w:lang w:val="ru-RU"/>
              </w:rPr>
            </w:pPr>
          </w:p>
        </w:tc>
      </w:tr>
      <w:tr w:rsidR="00EC20D2" w:rsidTr="007B41C2">
        <w:trPr>
          <w:gridAfter w:val="1"/>
          <w:wAfter w:w="763" w:type="dxa"/>
        </w:trPr>
        <w:tc>
          <w:tcPr>
            <w:tcW w:w="2476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  <w:tc>
          <w:tcPr>
            <w:tcW w:w="2476" w:type="dxa"/>
            <w:gridSpan w:val="2"/>
          </w:tcPr>
          <w:p w:rsidR="00EC20D2" w:rsidRPr="007B41C2" w:rsidRDefault="00EC20D2" w:rsidP="00C87D7D"/>
        </w:tc>
        <w:tc>
          <w:tcPr>
            <w:tcW w:w="2476" w:type="dxa"/>
          </w:tcPr>
          <w:p w:rsidR="00EC20D2" w:rsidRDefault="00EC20D2" w:rsidP="00C87D7D">
            <w:pPr>
              <w:rPr>
                <w:lang w:val="ru-RU"/>
              </w:rPr>
            </w:pPr>
          </w:p>
        </w:tc>
        <w:tc>
          <w:tcPr>
            <w:tcW w:w="2477" w:type="dxa"/>
            <w:gridSpan w:val="2"/>
          </w:tcPr>
          <w:p w:rsidR="00EC20D2" w:rsidRDefault="00EC20D2">
            <w:pPr>
              <w:rPr>
                <w:lang w:val="ru-RU"/>
              </w:rPr>
            </w:pPr>
          </w:p>
        </w:tc>
      </w:tr>
    </w:tbl>
    <w:p w:rsidR="007B41C2" w:rsidRPr="007B41C2" w:rsidRDefault="007B41C2">
      <w:pPr>
        <w:rPr>
          <w:lang w:val="ru-RU"/>
        </w:rPr>
      </w:pPr>
    </w:p>
    <w:sectPr w:rsidR="007B41C2" w:rsidRPr="007B41C2" w:rsidSect="00772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1C2"/>
    <w:rsid w:val="001B61E4"/>
    <w:rsid w:val="0024164C"/>
    <w:rsid w:val="003D3D63"/>
    <w:rsid w:val="004F5D8B"/>
    <w:rsid w:val="00691F8B"/>
    <w:rsid w:val="007721E4"/>
    <w:rsid w:val="007B41C2"/>
    <w:rsid w:val="00885D1C"/>
    <w:rsid w:val="008F3708"/>
    <w:rsid w:val="00953E64"/>
    <w:rsid w:val="009A15DA"/>
    <w:rsid w:val="00AB6C47"/>
    <w:rsid w:val="00D52040"/>
    <w:rsid w:val="00EC2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2020-02-29T18:30:00Z</dcterms:created>
  <dcterms:modified xsi:type="dcterms:W3CDTF">2020-02-29T19:38:00Z</dcterms:modified>
</cp:coreProperties>
</file>