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br/>
        <w:t xml:space="preserve"/>
      </w:r>
    </w:p>
    <w:p>
      <w:pPr>
        <w:spacing w:after="200" w:before="0"/>
        <w:jc w:val="center"/>
      </w:pPr>
      <w:r>
        <w:rPr>
          <w:rFonts w:ascii="Arial" w:cs="Arial" w:eastAsia="Arial" w:hAnsi="Arial"/>
          <w:b/>
          <w:bCs/>
          <w:color w:val="5B4EFF"/>
          <w:sz w:val="56"/>
          <w:szCs w:val="56"/>
        </w:rPr>
        <w:t xml:space="preserve">PRODUCT TEARDOWN</w:t>
      </w:r>
    </w:p>
    <w:p>
      <w:pPr>
        <w:spacing w:after="300" w:before="0"/>
        <w:jc w:val="center"/>
      </w:pPr>
      <w:r>
        <w:rPr>
          <w:rFonts w:ascii="Arial" w:cs="Arial" w:eastAsia="Arial" w:hAnsi="Arial"/>
          <w:b/>
          <w:bCs/>
          <w:color w:val="1A1A2E"/>
          <w:sz w:val="72"/>
          <w:szCs w:val="72"/>
        </w:rPr>
        <w:t xml:space="preserve">Subspace.money</w:t>
      </w:r>
    </w:p>
    <w:p>
      <w:pPr>
        <w:spacing w:after="600" w:before="0"/>
        <w:jc w:val="center"/>
      </w:pPr>
      <w:r>
        <w:rPr>
          <w:rFonts w:ascii="Arial" w:cs="Arial" w:eastAsia="Arial" w:hAnsi="Arial"/>
          <w:i/>
          <w:iCs/>
          <w:color w:val="6B7280"/>
          <w:sz w:val="28"/>
          <w:szCs w:val="28"/>
        </w:rPr>
        <w:t xml:space="preserve">5 Sharp Feedbacks Across Core Product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0FF" w:val="clear"/>
            <w:tcMar>
              <w:top w:type="dxa" w:w="200"/>
              <w:left w:type="dxa" w:w="300"/>
              <w:bottom w:type="dxa" w:w="200"/>
              <w:right w:type="dxa" w:w="300"/>
            </w:tcMar>
          </w:tcPr>
          <w:p>
            <w:pPr>
              <w:jc w:val="center"/>
            </w:pPr>
            <w:r>
              <w:rPr>
                <w:rFonts w:ascii="Arial" w:cs="Arial" w:eastAsia="Arial" w:hAnsi="Arial"/>
                <w:color w:val="6B7280"/>
                <w:sz w:val="20"/>
                <w:szCs w:val="20"/>
              </w:rPr>
              <w:t xml:space="preserve">Submitted by</w:t>
            </w:r>
          </w:p>
          <w:p>
            <w:pPr>
              <w:jc w:val="center"/>
            </w:pPr>
            <w:r>
              <w:rPr>
                <w:rFonts w:ascii="Arial" w:cs="Arial" w:eastAsia="Arial" w:hAnsi="Arial"/>
                <w:b/>
                <w:bCs/>
                <w:color w:val="1A1A2E"/>
                <w:sz w:val="26"/>
                <w:szCs w:val="26"/>
              </w:rPr>
              <w:t xml:space="preserve">Priyanka Yadav</w:t>
            </w:r>
          </w:p>
        </w:tc>
        <w:tc>
          <w:tcPr>
            <w:tcW w:type="dxa" w:w="4680"/>
            <w:tcBorders>
              <w:top w:val="none" w:color="FFFFFF" w:sz="0"/>
              <w:left w:val="none" w:color="FFFFFF" w:sz="0"/>
              <w:bottom w:val="none" w:color="FFFFFF" w:sz="0"/>
              <w:right w:val="none" w:color="FFFFFF" w:sz="0"/>
            </w:tcBorders>
            <w:shd w:fill="EEF0FF" w:val="clear"/>
            <w:tcMar>
              <w:top w:type="dxa" w:w="200"/>
              <w:left w:type="dxa" w:w="300"/>
              <w:bottom w:type="dxa" w:w="200"/>
              <w:right w:type="dxa" w:w="300"/>
            </w:tcMar>
          </w:tcPr>
          <w:p>
            <w:pPr>
              <w:jc w:val="center"/>
            </w:pPr>
            <w:r>
              <w:rPr>
                <w:rFonts w:ascii="Arial" w:cs="Arial" w:eastAsia="Arial" w:hAnsi="Arial"/>
                <w:color w:val="6B7280"/>
                <w:sz w:val="20"/>
                <w:szCs w:val="20"/>
              </w:rPr>
              <w:t xml:space="preserve">Role Applied</w:t>
            </w:r>
          </w:p>
          <w:p>
            <w:pPr>
              <w:jc w:val="center"/>
            </w:pPr>
            <w:r>
              <w:rPr>
                <w:rFonts w:ascii="Arial" w:cs="Arial" w:eastAsia="Arial" w:hAnsi="Arial"/>
                <w:b/>
                <w:bCs/>
                <w:color w:val="1A1A2E"/>
                <w:sz w:val="26"/>
                <w:szCs w:val="26"/>
              </w:rPr>
              <w:t xml:space="preserve">Product Intern — Vocallabs</w:t>
            </w:r>
          </w:p>
        </w:tc>
      </w:tr>
    </w:tbl>
    <w:p>
      <w:pPr>
        <w:spacing w:after="400" w:before="400"/>
      </w:pPr>
      <w:r>
        <w:t xml:space="preserve"/>
      </w:r>
    </w:p>
    <w:p>
      <w:pPr>
        <w:jc w:val="center"/>
      </w:pPr>
      <w:r>
        <w:rPr>
          <w:rFonts w:ascii="Arial" w:cs="Arial" w:eastAsia="Arial" w:hAnsi="Arial"/>
          <w:color w:val="6B7280"/>
          <w:sz w:val="22"/>
          <w:szCs w:val="22"/>
        </w:rPr>
        <w:t xml:space="preserve">May 2026</w:t>
      </w:r>
    </w:p>
    <w:p>
      <w:r>
        <w:br w:type="page"/>
      </w:r>
    </w:p>
    <w:p>
      <w:pPr>
        <w:pStyle w:val="Heading1"/>
      </w:pPr>
      <w:r>
        <w:rPr>
          <w:rFonts w:ascii="Arial" w:cs="Arial" w:eastAsia="Arial" w:hAnsi="Arial"/>
          <w:b/>
          <w:bCs/>
          <w:color w:val="1A1A2E"/>
          <w:sz w:val="36"/>
          <w:szCs w:val="36"/>
        </w:rPr>
        <w:t xml:space="preserve">Executive Summary</w:t>
      </w:r>
    </w:p>
    <w:p>
      <w:pPr>
        <w:pBdr>
          <w:bottom w:val="single" w:color="5B4EFF" w:sz="8" w:space="1"/>
        </w:pBdr>
        <w:spacing w:after="200" w:before="80"/>
      </w:pPr>
    </w:p>
    <w:p>
      <w:pPr>
        <w:spacing w:after="180" w:before="100"/>
      </w:pPr>
      <w:r>
        <w:rPr>
          <w:rFonts w:ascii="Arial" w:cs="Arial" w:eastAsia="Arial" w:hAnsi="Arial"/>
          <w:color w:val="1A1A2E"/>
          <w:sz w:val="22"/>
          <w:szCs w:val="22"/>
        </w:rPr>
        <w:t xml:space="preserve">Subspace.money is a bootstrapped, profitable Indian fintech app (₹36.5 Cr ARR, FY25) that lets users share subscription costs, split bills, rent items, and buy discounted gift cards — all in one place. Founded by an IIT Madras team, it has carved a genuine niche as India's first subscription marketplace.</w:t>
      </w:r>
    </w:p>
    <w:p>
      <w:pPr>
        <w:spacing w:after="180" w:before="0"/>
      </w:pPr>
      <w:r>
        <w:rPr>
          <w:rFonts w:ascii="Arial" w:cs="Arial" w:eastAsia="Arial" w:hAnsi="Arial"/>
          <w:color w:val="1A1A2E"/>
          <w:sz w:val="22"/>
          <w:szCs w:val="22"/>
        </w:rPr>
        <w:t xml:space="preserve">This teardown covers 5 non-obvious product gaps across the five pillars — GTM &amp; ICPs, Competitor Analysis, Features/Services, UX, and Potential Collaborations. Each feedback follows the Observed → Problem → Ship Instead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00"/>
        <w:gridCol w:w="2400"/>
      </w:tblGrid>
      <w:tr>
        <w:tc>
          <w:tcPr>
            <w:tcW w:type="dxa" w:w="1560"/>
            <w:tcBorders>
              <w:top w:val="single" w:color="CCCCCC" w:sz="1"/>
              <w:left w:val="single" w:color="CCCCCC" w:sz="1"/>
              <w:bottom w:val="single" w:color="CCCCCC" w:sz="1"/>
              <w:right w:val="single" w:color="CCCCCC" w:sz="1"/>
            </w:tcBorders>
            <w:shd w:fill="5B4EF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5400"/>
            <w:tcBorders>
              <w:top w:val="single" w:color="CCCCCC" w:sz="1"/>
              <w:left w:val="single" w:color="CCCCCC" w:sz="1"/>
              <w:bottom w:val="single" w:color="CCCCCC" w:sz="1"/>
              <w:right w:val="single" w:color="CCCCCC" w:sz="1"/>
            </w:tcBorders>
            <w:shd w:fill="5B4EFF" w:val="clear"/>
            <w:tcMar>
              <w:top w:type="dxa" w:w="100"/>
              <w:left w:type="dxa" w:w="120"/>
              <w:bottom w:type="dxa" w:w="100"/>
              <w:right w:type="dxa" w:w="120"/>
            </w:tcMar>
          </w:tcPr>
          <w:p>
            <w:r>
              <w:rPr>
                <w:rFonts w:ascii="Arial" w:cs="Arial" w:eastAsia="Arial" w:hAnsi="Arial"/>
                <w:b/>
                <w:bCs/>
                <w:color w:val="FFFFFF"/>
                <w:sz w:val="22"/>
                <w:szCs w:val="22"/>
              </w:rPr>
              <w:t xml:space="preserve">Feedback Title</w:t>
            </w:r>
          </w:p>
        </w:tc>
        <w:tc>
          <w:tcPr>
            <w:tcW w:type="dxa" w:w="2400"/>
            <w:tcBorders>
              <w:top w:val="single" w:color="CCCCCC" w:sz="1"/>
              <w:left w:val="single" w:color="CCCCCC" w:sz="1"/>
              <w:bottom w:val="single" w:color="CCCCCC" w:sz="1"/>
              <w:right w:val="single" w:color="CCCCCC" w:sz="1"/>
            </w:tcBorders>
            <w:shd w:fill="5B4EFF" w:val="clear"/>
            <w:tcMar>
              <w:top w:type="dxa" w:w="100"/>
              <w:left w:type="dxa" w:w="120"/>
              <w:bottom w:type="dxa" w:w="100"/>
              <w:right w:type="dxa" w:w="120"/>
            </w:tcMar>
          </w:tcPr>
          <w:p>
            <w:r>
              <w:rPr>
                <w:rFonts w:ascii="Arial" w:cs="Arial" w:eastAsia="Arial" w:hAnsi="Arial"/>
                <w:b/>
                <w:bCs/>
                <w:color w:val="FFFFFF"/>
                <w:sz w:val="22"/>
                <w:szCs w:val="22"/>
              </w:rPr>
              <w:t xml:space="preserve">Pillar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B4EFF"/>
                <w:sz w:val="22"/>
                <w:szCs w:val="22"/>
              </w:rPr>
              <w:t xml:space="preserve">F1</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2"/>
                <w:szCs w:val="22"/>
              </w:rPr>
              <w:t xml:space="preserve">The ICP is 'Everyone' — and that's a conversion killer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B7280"/>
                <w:sz w:val="20"/>
                <w:szCs w:val="20"/>
              </w:rPr>
              <w:t xml:space="preserve">GTM &amp; ICPs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B4EFF"/>
                <w:sz w:val="22"/>
                <w:szCs w:val="22"/>
              </w:rPr>
              <w:t xml:space="preserve">F2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Shared-access trust collapse: No escrow, no accountability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20"/>
                <w:szCs w:val="20"/>
              </w:rPr>
              <w:t xml:space="preserve">Features / UX</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B4EFF"/>
                <w:sz w:val="22"/>
                <w:szCs w:val="22"/>
              </w:rPr>
              <w:t xml:space="preserve">F3</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2"/>
                <w:szCs w:val="22"/>
              </w:rPr>
              <w:t xml:space="preserve">Invisible moat: The Negotiate API is buried, not featured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B7280"/>
                <w:sz w:val="20"/>
                <w:szCs w:val="20"/>
              </w:rPr>
              <w:t xml:space="preserve">Competitor Analysis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B4EFF"/>
                <w:sz w:val="22"/>
                <w:szCs w:val="22"/>
              </w:rPr>
              <w:t xml:space="preserve">F4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Retention loop is broken — no renewal nudge, no renewal reward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7280"/>
                <w:sz w:val="20"/>
                <w:szCs w:val="20"/>
              </w:rPr>
              <w:t xml:space="preserve">Features / Services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B4EFF"/>
                <w:sz w:val="22"/>
                <w:szCs w:val="22"/>
              </w:rPr>
              <w:t xml:space="preserve">F5</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2"/>
                <w:szCs w:val="22"/>
              </w:rPr>
              <w:t xml:space="preserve">The college segment is under-monetised: 'Student deals' is a tagline, not a product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B7280"/>
                <w:sz w:val="20"/>
                <w:szCs w:val="20"/>
              </w:rPr>
              <w:t xml:space="preserve">Potential Collaborations</w:t>
            </w:r>
          </w:p>
        </w:tc>
      </w:tr>
    </w:tbl>
    <w:p>
      <w:pPr>
        <w:spacing w:after="200" w:before="200"/>
      </w:pPr>
      <w:r>
        <w:t xml:space="preserve"/>
      </w:r>
    </w:p>
    <w:p>
      <w:r>
        <w:br w:type="page"/>
      </w:r>
    </w:p>
    <w:p>
      <w:pPr>
        <w:pStyle w:val="Heading1"/>
      </w:pPr>
      <w:r>
        <w:rPr>
          <w:rFonts w:ascii="Arial" w:cs="Arial" w:eastAsia="Arial" w:hAnsi="Arial"/>
          <w:b/>
          <w:bCs/>
          <w:color w:val="1A1A2E"/>
          <w:sz w:val="36"/>
          <w:szCs w:val="36"/>
        </w:rPr>
        <w:t xml:space="preserve">The 5 Feedbacks</w:t>
      </w:r>
    </w:p>
    <w:p>
      <w:pPr>
        <w:pBdr>
          <w:bottom w:val="single" w:color="5B4EFF" w:sz="8" w:space="1"/>
        </w:pBdr>
        <w:spacing w:after="200" w:before="80"/>
      </w:pPr>
    </w:p>
    <w:p>
      <w:pPr>
        <w:spacing w:after="80" w:before="360"/>
      </w:pPr>
      <w:r>
        <w:rPr>
          <w:rFonts w:ascii="Arial" w:cs="Arial" w:eastAsia="Arial" w:hAnsi="Arial"/>
          <w:b/>
          <w:bCs/>
          <w:color w:val="5B4EFF"/>
          <w:sz w:val="36"/>
          <w:szCs w:val="36"/>
        </w:rPr>
        <w:t xml:space="preserve">Feedback 1  </w:t>
      </w:r>
      <w:r>
        <w:rPr>
          <w:rFonts w:ascii="Arial" w:cs="Arial" w:eastAsia="Arial" w:hAnsi="Arial"/>
          <w:i/>
          <w:iCs/>
          <w:color w:val="6B7280"/>
          <w:sz w:val="22"/>
          <w:szCs w:val="22"/>
        </w:rPr>
        <w:t xml:space="preserve">[GTM &amp; ICPs]</w:t>
      </w:r>
    </w:p>
    <w:p>
      <w:pPr>
        <w:spacing w:after="200" w:before="0"/>
      </w:pPr>
      <w:r>
        <w:rPr>
          <w:rFonts w:ascii="Arial" w:cs="Arial" w:eastAsia="Arial" w:hAnsi="Arial"/>
          <w:b/>
          <w:bCs/>
          <w:color w:val="1A1A2E"/>
          <w:sz w:val="32"/>
          <w:szCs w:val="32"/>
        </w:rPr>
        <w:t xml:space="preserve">The ICP is 'Everyone' — and that's a conversion 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vAlign w:val="center"/>
          </w:tcPr>
          <w:p>
            <w:pPr>
              <w:jc w:val="center"/>
            </w:pPr>
            <w:r>
              <w:rPr>
                <w:rFonts w:ascii="Arial" w:cs="Arial" w:eastAsia="Arial" w:hAnsi="Arial"/>
                <w:b/>
                <w:bCs/>
                <w:color w:val="1565C0"/>
                <w:sz w:val="20"/>
                <w:szCs w:val="20"/>
              </w:rPr>
              <w:t xml:space="preserve">🔍 OBSERVED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The Subspace homepage and onboarding say 'Your one-stop destination to save money' with no persona differentiation. The app greets every new user with the same home feed showing Netflix/Prime shared slots, gadget rentals, and gift cards simultaneously. There is no flow that says 'Are you a student? A working professional? A household?' before surfacing offers.</w:t>
            </w:r>
          </w:p>
        </w:tc>
      </w:tr>
      <w:tr>
        <w:tc>
          <w:tcPr>
            <w:tcW w:type="dxa" w:w="180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vAlign w:val="center"/>
          </w:tcPr>
          <w:p>
            <w:pPr>
              <w:jc w:val="center"/>
            </w:pPr>
            <w:r>
              <w:rPr>
                <w:rFonts w:ascii="Arial" w:cs="Arial" w:eastAsia="Arial" w:hAnsi="Arial"/>
                <w:b/>
                <w:bCs/>
                <w:color w:val="E65100"/>
                <w:sz w:val="20"/>
                <w:szCs w:val="20"/>
              </w:rPr>
              <w:t xml:space="preserve">⚠️ PROBLEM</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When your product is about money and trust, a generic pitch breeds hesitation. A 22-year-old student evaluating Netflix bill-splitting has different triggers than a 30-year-old professional managing 8 SaaS subscriptions for themselves and a partner. Showing both the same homepage dilutes relevance — and a diluted value proposition does not convert. The current 3.6 Play Store rating and visible user complaints about 'hidden subscriptions' and 'admin not responding' are partly a symptom of mismatched expectations at the ICP level: the wrong users are being acquired, or acquired with wrong expectations.</w:t>
            </w:r>
          </w:p>
        </w:tc>
      </w:tr>
      <w:tr>
        <w:tc>
          <w:tcPr>
            <w:tcW w:type="dxa" w:w="18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vAlign w:val="center"/>
          </w:tcPr>
          <w:p>
            <w:pPr>
              <w:jc w:val="center"/>
            </w:pPr>
            <w:r>
              <w:rPr>
                <w:rFonts w:ascii="Arial" w:cs="Arial" w:eastAsia="Arial" w:hAnsi="Arial"/>
                <w:b/>
                <w:bCs/>
                <w:color w:val="2E7D32"/>
                <w:sz w:val="20"/>
                <w:szCs w:val="20"/>
              </w:rPr>
              <w:t xml:space="preserve">🚀 SHIP INSTEAD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Introduce a 3-tap onboarding persona selector: 'Student', 'Young Professional', 'Family/Couple'. Each path surfaces a curated subset of offers (students see OTT + productivity tools; professionals see SaaS + bill-split for utilities; families see streaming + grocery gift cards). Maintain one backend but render persona-specific home screens. This also makes push notifications and retargeting far more precise — you know exactly which offer to resurface on Day 3 vs Day 7.</w:t>
            </w:r>
          </w:p>
        </w:tc>
      </w:tr>
      <w:tr>
        <w:tc>
          <w:tcPr>
            <w:tcW w:type="dxa" w:w="1800"/>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60"/>
            </w:tcMar>
            <w:vAlign w:val="center"/>
          </w:tcPr>
          <w:p>
            <w:pPr>
              <w:jc w:val="center"/>
            </w:pPr>
            <w:r>
              <w:rPr>
                <w:rFonts w:ascii="Arial" w:cs="Arial" w:eastAsia="Arial" w:hAnsi="Arial"/>
                <w:b/>
                <w:bCs/>
                <w:color w:val="6A1B9A"/>
                <w:sz w:val="20"/>
                <w:szCs w:val="20"/>
              </w:rPr>
              <w:t xml:space="preserve">⚖️ TRADEOFF</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Risk: Personas can box users in; some users straddle multiple categories. Mitigation: allow persona switching from settings. Engineering cost is moderate (conditional rendering, not new infrastructure). Revenue upside: even a 10% lift in Day-1 activation on 1.4k monthly downloads compounds significantly over 6 months.</w:t>
            </w:r>
          </w:p>
        </w:tc>
      </w:tr>
    </w:tbl>
    <w:p>
      <w:pPr>
        <w:spacing w:after="200" w:before="200"/>
      </w:pPr>
      <w:r>
        <w:t xml:space="preserve"/>
      </w:r>
    </w:p>
    <w:p>
      <w:r>
        <w:br w:type="page"/>
      </w:r>
    </w:p>
    <w:p>
      <w:pPr>
        <w:spacing w:after="80" w:before="360"/>
      </w:pPr>
      <w:r>
        <w:rPr>
          <w:rFonts w:ascii="Arial" w:cs="Arial" w:eastAsia="Arial" w:hAnsi="Arial"/>
          <w:b/>
          <w:bCs/>
          <w:color w:val="5B4EFF"/>
          <w:sz w:val="36"/>
          <w:szCs w:val="36"/>
        </w:rPr>
        <w:t xml:space="preserve">Feedback 2  </w:t>
      </w:r>
      <w:r>
        <w:rPr>
          <w:rFonts w:ascii="Arial" w:cs="Arial" w:eastAsia="Arial" w:hAnsi="Arial"/>
          <w:i/>
          <w:iCs/>
          <w:color w:val="6B7280"/>
          <w:sz w:val="22"/>
          <w:szCs w:val="22"/>
        </w:rPr>
        <w:t xml:space="preserve">[Features / UX]</w:t>
      </w:r>
    </w:p>
    <w:p>
      <w:pPr>
        <w:spacing w:after="200" w:before="0"/>
      </w:pPr>
      <w:r>
        <w:rPr>
          <w:rFonts w:ascii="Arial" w:cs="Arial" w:eastAsia="Arial" w:hAnsi="Arial"/>
          <w:b/>
          <w:bCs/>
          <w:color w:val="1A1A2E"/>
          <w:sz w:val="32"/>
          <w:szCs w:val="32"/>
        </w:rPr>
        <w:t xml:space="preserve">Shared-access trust collapse: No escrow, no accountability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vAlign w:val="center"/>
          </w:tcPr>
          <w:p>
            <w:pPr>
              <w:jc w:val="center"/>
            </w:pPr>
            <w:r>
              <w:rPr>
                <w:rFonts w:ascii="Arial" w:cs="Arial" w:eastAsia="Arial" w:hAnsi="Arial"/>
                <w:b/>
                <w:bCs/>
                <w:color w:val="1565C0"/>
                <w:sz w:val="20"/>
                <w:szCs w:val="20"/>
              </w:rPr>
              <w:t xml:space="preserve">🔍 OBSERVED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In the Play Store reviews (verified, recent 2026 reviews), three separate users report: (a) an admin removing a member without cause after a bad rating, (b) a subscriber being logged out by the original account holder with no refund, and (c) a listing going 'hidden' for no explained reason with no support resolution. The current UX for a dispute is: message the admin → wait → escalate to support email → wait more. There is no in-app dispute flow, no partial refund mechanism, and no admin accountability score visible before a user purchases.</w:t>
            </w:r>
          </w:p>
        </w:tc>
      </w:tr>
      <w:tr>
        <w:tc>
          <w:tcPr>
            <w:tcW w:type="dxa" w:w="180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vAlign w:val="center"/>
          </w:tcPr>
          <w:p>
            <w:pPr>
              <w:jc w:val="center"/>
            </w:pPr>
            <w:r>
              <w:rPr>
                <w:rFonts w:ascii="Arial" w:cs="Arial" w:eastAsia="Arial" w:hAnsi="Arial"/>
                <w:b/>
                <w:bCs/>
                <w:color w:val="E65100"/>
                <w:sz w:val="20"/>
                <w:szCs w:val="20"/>
              </w:rPr>
              <w:t xml:space="preserve">⚠️ PROBLEM</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Shared subscription models run on trust. The current system is peer-to-peer with no platform arbitration — effectively Craigslist for Netflix logins. When that trust breaks (login blocked, admin disappears, refund denied), the user has no recourse except a 1-star review. This is a structural churn driver: a bad first experience in a group will prevent the user from ever trying shared-group features again. With 130K downloads but only 3K reviews, Subspace has a lurker problem — most users never get deep enough to share. The trust gap is likely why.</w:t>
            </w:r>
          </w:p>
        </w:tc>
      </w:tr>
      <w:tr>
        <w:tc>
          <w:tcPr>
            <w:tcW w:type="dxa" w:w="18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vAlign w:val="center"/>
          </w:tcPr>
          <w:p>
            <w:pPr>
              <w:jc w:val="center"/>
            </w:pPr>
            <w:r>
              <w:rPr>
                <w:rFonts w:ascii="Arial" w:cs="Arial" w:eastAsia="Arial" w:hAnsi="Arial"/>
                <w:b/>
                <w:bCs/>
                <w:color w:val="2E7D32"/>
                <w:sz w:val="20"/>
                <w:szCs w:val="20"/>
              </w:rPr>
              <w:t xml:space="preserve">🚀 SHIP INSTEAD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Ship a 'Subspace Shield' — a lightweight escrow-style protection for shared subscriptions: (1) payment holds for 48 hours after a new member joins a group before releasing to admin; (2) a one-tap 'Access Issue' button that auto-flags and triggers a 72-hour resolution SLA; (3) an 'Admin Reliability Score' (% of disputes resolved, response time, active tenure) shown on every group listing before purchase. This converts trust from a social assumption to a product guarantee.</w:t>
            </w:r>
          </w:p>
        </w:tc>
      </w:tr>
      <w:tr>
        <w:tc>
          <w:tcPr>
            <w:tcW w:type="dxa" w:w="1800"/>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60"/>
            </w:tcMar>
            <w:vAlign w:val="center"/>
          </w:tcPr>
          <w:p>
            <w:pPr>
              <w:jc w:val="center"/>
            </w:pPr>
            <w:r>
              <w:rPr>
                <w:rFonts w:ascii="Arial" w:cs="Arial" w:eastAsia="Arial" w:hAnsi="Arial"/>
                <w:b/>
                <w:bCs/>
                <w:color w:val="6A1B9A"/>
                <w:sz w:val="20"/>
                <w:szCs w:val="20"/>
              </w:rPr>
              <w:t xml:space="preserve">⚖️ TRADEOFF</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Escrow and dispute SLAs add operational overhead and will be abused by bad actors on both sides. Mitigation: AI-triaged flagging (unusual login patterns, sudden member removals) reduces manual load. The feature adds platform stickiness that outweighs the support cost — and it is a direct moat against WhatsApp-group alternatives who cannot offer this.</w:t>
            </w:r>
          </w:p>
        </w:tc>
      </w:tr>
    </w:tbl>
    <w:p>
      <w:pPr>
        <w:spacing w:after="200" w:before="200"/>
      </w:pPr>
      <w:r>
        <w:t xml:space="preserve"/>
      </w:r>
    </w:p>
    <w:p>
      <w:r>
        <w:br w:type="page"/>
      </w:r>
    </w:p>
    <w:p>
      <w:pPr>
        <w:spacing w:after="80" w:before="360"/>
      </w:pPr>
      <w:r>
        <w:rPr>
          <w:rFonts w:ascii="Arial" w:cs="Arial" w:eastAsia="Arial" w:hAnsi="Arial"/>
          <w:b/>
          <w:bCs/>
          <w:color w:val="5B4EFF"/>
          <w:sz w:val="36"/>
          <w:szCs w:val="36"/>
        </w:rPr>
        <w:t xml:space="preserve">Feedback 3  </w:t>
      </w:r>
      <w:r>
        <w:rPr>
          <w:rFonts w:ascii="Arial" w:cs="Arial" w:eastAsia="Arial" w:hAnsi="Arial"/>
          <w:i/>
          <w:iCs/>
          <w:color w:val="6B7280"/>
          <w:sz w:val="22"/>
          <w:szCs w:val="22"/>
        </w:rPr>
        <w:t xml:space="preserve">[Competitor Analysis]</w:t>
      </w:r>
    </w:p>
    <w:p>
      <w:pPr>
        <w:spacing w:after="200" w:before="0"/>
      </w:pPr>
      <w:r>
        <w:rPr>
          <w:rFonts w:ascii="Arial" w:cs="Arial" w:eastAsia="Arial" w:hAnsi="Arial"/>
          <w:b/>
          <w:bCs/>
          <w:color w:val="1A1A2E"/>
          <w:sz w:val="32"/>
          <w:szCs w:val="32"/>
        </w:rPr>
        <w:t xml:space="preserve">Invisible moat: The Negotiate API is buried, not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vAlign w:val="center"/>
          </w:tcPr>
          <w:p>
            <w:pPr>
              <w:jc w:val="center"/>
            </w:pPr>
            <w:r>
              <w:rPr>
                <w:rFonts w:ascii="Arial" w:cs="Arial" w:eastAsia="Arial" w:hAnsi="Arial"/>
                <w:b/>
                <w:bCs/>
                <w:color w:val="1565C0"/>
                <w:sz w:val="20"/>
                <w:szCs w:val="20"/>
              </w:rPr>
              <w:t xml:space="preserve">🔍 OBSERVED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Subspace's About page and app Store listing mention 'Negotiate API: automated price negotiation' as a moat in investor-facing materials, but the user-facing app has no visible 'Negotiate my bill' CTA anywhere in the main navigation. During onboarding, after login, and on the home screen, there is no mention of this capability. A new user exploring the app for 10 minutes would leave without knowing Subspace can negotiate their Airtel, Swiggy, or Amazon bill.</w:t>
            </w:r>
          </w:p>
        </w:tc>
      </w:tr>
      <w:tr>
        <w:tc>
          <w:tcPr>
            <w:tcW w:type="dxa" w:w="180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vAlign w:val="center"/>
          </w:tcPr>
          <w:p>
            <w:pPr>
              <w:jc w:val="center"/>
            </w:pPr>
            <w:r>
              <w:rPr>
                <w:rFonts w:ascii="Arial" w:cs="Arial" w:eastAsia="Arial" w:hAnsi="Arial"/>
                <w:b/>
                <w:bCs/>
                <w:color w:val="E65100"/>
                <w:sz w:val="20"/>
                <w:szCs w:val="20"/>
              </w:rPr>
              <w:t xml:space="preserve">⚠️ PROBLEM</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The Negotiate API is Subspace's hardest-to-copy capability — it builds proprietary negotiation success data over time (a data flywheel competitors cannot replicate). Yet it is entirely invisible to the user base. This creates two problems: (1) users never discover the most differentiated feature, so they evaluate Subspace purely on OTT price cuts where Rocket Money or even WhatsApp groups partially compete; (2) Subspace gets zero network amplification from this feature — users don't share it, don't talk about it, and don't return for it.</w:t>
            </w:r>
          </w:p>
        </w:tc>
      </w:tr>
      <w:tr>
        <w:tc>
          <w:tcPr>
            <w:tcW w:type="dxa" w:w="18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vAlign w:val="center"/>
          </w:tcPr>
          <w:p>
            <w:pPr>
              <w:jc w:val="center"/>
            </w:pPr>
            <w:r>
              <w:rPr>
                <w:rFonts w:ascii="Arial" w:cs="Arial" w:eastAsia="Arial" w:hAnsi="Arial"/>
                <w:b/>
                <w:bCs/>
                <w:color w:val="2E7D32"/>
                <w:sz w:val="20"/>
                <w:szCs w:val="20"/>
              </w:rPr>
              <w:t xml:space="preserve">🚀 SHIP INSTEAD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Create a 'Save More' tab or prominent home-screen card: 'Let Subspace negotiate your bills — average saving ₹800/year per user.' Make the negotiation flow a 3-tap experience: select a brand → authorise Subspace → watch Subspace negotiate in real time (or show a progress state). Surface the aggregate savings stat prominently ('₹4.2 Cr saved for our users this year') as a social proof flywheel. Run a referral mechanic tied specifically to negotiate: 'Refer a friend, both of you get a free negotiation attempt.'</w:t>
            </w:r>
          </w:p>
        </w:tc>
      </w:tr>
      <w:tr>
        <w:tc>
          <w:tcPr>
            <w:tcW w:type="dxa" w:w="1800"/>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60"/>
            </w:tcMar>
            <w:vAlign w:val="center"/>
          </w:tcPr>
          <w:p>
            <w:pPr>
              <w:jc w:val="center"/>
            </w:pPr>
            <w:r>
              <w:rPr>
                <w:rFonts w:ascii="Arial" w:cs="Arial" w:eastAsia="Arial" w:hAnsi="Arial"/>
                <w:b/>
                <w:bCs/>
                <w:color w:val="6A1B9A"/>
                <w:sz w:val="20"/>
                <w:szCs w:val="20"/>
              </w:rPr>
              <w:t xml:space="preserve">⚖️ TRADEOFF</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Showing negotiation savings publicly may invite scrutiny on success rates and create expectation-setting risk if a negotiation fails. Mitigation: be transparent about success rates by category. The upside — a differentiated, viral, and defensible acquisition channel — far outweighs this. No Indian competitor has a user-facing bill negotiation product at scale.</w:t>
            </w:r>
          </w:p>
        </w:tc>
      </w:tr>
    </w:tbl>
    <w:p>
      <w:pPr>
        <w:spacing w:after="200" w:before="200"/>
      </w:pPr>
      <w:r>
        <w:t xml:space="preserve"/>
      </w:r>
    </w:p>
    <w:p>
      <w:r>
        <w:br w:type="page"/>
      </w:r>
    </w:p>
    <w:p>
      <w:pPr>
        <w:spacing w:after="80" w:before="360"/>
      </w:pPr>
      <w:r>
        <w:rPr>
          <w:rFonts w:ascii="Arial" w:cs="Arial" w:eastAsia="Arial" w:hAnsi="Arial"/>
          <w:b/>
          <w:bCs/>
          <w:color w:val="5B4EFF"/>
          <w:sz w:val="36"/>
          <w:szCs w:val="36"/>
        </w:rPr>
        <w:t xml:space="preserve">Feedback 4  </w:t>
      </w:r>
      <w:r>
        <w:rPr>
          <w:rFonts w:ascii="Arial" w:cs="Arial" w:eastAsia="Arial" w:hAnsi="Arial"/>
          <w:i/>
          <w:iCs/>
          <w:color w:val="6B7280"/>
          <w:sz w:val="22"/>
          <w:szCs w:val="22"/>
        </w:rPr>
        <w:t xml:space="preserve">[Features / Services]</w:t>
      </w:r>
    </w:p>
    <w:p>
      <w:pPr>
        <w:spacing w:after="200" w:before="0"/>
      </w:pPr>
      <w:r>
        <w:rPr>
          <w:rFonts w:ascii="Arial" w:cs="Arial" w:eastAsia="Arial" w:hAnsi="Arial"/>
          <w:b/>
          <w:bCs/>
          <w:color w:val="1A1A2E"/>
          <w:sz w:val="32"/>
          <w:szCs w:val="32"/>
        </w:rPr>
        <w:t xml:space="preserve">Retention loop is broken — no renewal nudge, no renewal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vAlign w:val="center"/>
          </w:tcPr>
          <w:p>
            <w:pPr>
              <w:jc w:val="center"/>
            </w:pPr>
            <w:r>
              <w:rPr>
                <w:rFonts w:ascii="Arial" w:cs="Arial" w:eastAsia="Arial" w:hAnsi="Arial"/>
                <w:b/>
                <w:bCs/>
                <w:color w:val="1565C0"/>
                <w:sz w:val="20"/>
                <w:szCs w:val="20"/>
              </w:rPr>
              <w:t xml:space="preserve">🔍 OBSERVED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The app shows current active subscriptions and group memberships, but there is no proactive notification flow for: (a) a shared subscription slot expiring in 3 days, (b) a gift card balance about to expire, (c) an admin planning to renew a group and needing members to re-confirm. The only communication appears to be reactive (admin messages). There is no gamification, streak, or loyalty signal for long-term users.</w:t>
            </w:r>
          </w:p>
        </w:tc>
      </w:tr>
      <w:tr>
        <w:tc>
          <w:tcPr>
            <w:tcW w:type="dxa" w:w="180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vAlign w:val="center"/>
          </w:tcPr>
          <w:p>
            <w:pPr>
              <w:jc w:val="center"/>
            </w:pPr>
            <w:r>
              <w:rPr>
                <w:rFonts w:ascii="Arial" w:cs="Arial" w:eastAsia="Arial" w:hAnsi="Arial"/>
                <w:b/>
                <w:bCs/>
                <w:color w:val="E65100"/>
                <w:sz w:val="20"/>
                <w:szCs w:val="20"/>
              </w:rPr>
              <w:t xml:space="preserve">⚠️ PROBLEM</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Subspace's revenue model depends on repeat transactions — gift card purchases, subscription renewals, rental repeats. Without a retention nudge loop, the app behaves like a one-time-use coupon app: users buy a Netflix slot in January, forget about Subspace until their next OTT decision, and may simply Google a competitor by then. The ₹36.5 Cr ARR with a team of 3-7 people is impressive, but retention is what compounds ARR without proportionally scaling CAC.</w:t>
            </w:r>
          </w:p>
        </w:tc>
      </w:tr>
      <w:tr>
        <w:tc>
          <w:tcPr>
            <w:tcW w:type="dxa" w:w="18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vAlign w:val="center"/>
          </w:tcPr>
          <w:p>
            <w:pPr>
              <w:jc w:val="center"/>
            </w:pPr>
            <w:r>
              <w:rPr>
                <w:rFonts w:ascii="Arial" w:cs="Arial" w:eastAsia="Arial" w:hAnsi="Arial"/>
                <w:b/>
                <w:bCs/>
                <w:color w:val="2E7D32"/>
                <w:sz w:val="20"/>
                <w:szCs w:val="20"/>
              </w:rPr>
              <w:t xml:space="preserve">🚀 SHIP INSTEAD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Ship a 'Money Pulse' notification engine: (1) renewal reminders 5 days before any group or subscription expires, with a 1-tap re-subscribe; (2) 'Your balance is ₹240 — here are 3 gift cards you can buy now' nudge when wallet has idle credit; (3) a 'Savings Streak' visible on profile — 'You've saved ₹3,200 across 6 months' — gamifying continued usage. Add an annual 'Subspace Wrapped' summary (total saved, top brands, groups joined) shared as a card — this is zero-cost viral marketing.</w:t>
            </w:r>
          </w:p>
        </w:tc>
      </w:tr>
      <w:tr>
        <w:tc>
          <w:tcPr>
            <w:tcW w:type="dxa" w:w="1800"/>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60"/>
            </w:tcMar>
            <w:vAlign w:val="center"/>
          </w:tcPr>
          <w:p>
            <w:pPr>
              <w:jc w:val="center"/>
            </w:pPr>
            <w:r>
              <w:rPr>
                <w:rFonts w:ascii="Arial" w:cs="Arial" w:eastAsia="Arial" w:hAnsi="Arial"/>
                <w:b/>
                <w:bCs/>
                <w:color w:val="6A1B9A"/>
                <w:sz w:val="20"/>
                <w:szCs w:val="20"/>
              </w:rPr>
              <w:t xml:space="preserve">⚖️ TRADEOFF</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Notification fatigue is real; over-nudging will trigger uninstalls. Mitigation: cap notifications at 2/week by default with a user-controlled dial. The 'Wrapped' mechanic is a once-a-year event with extremely high organic share rate (see Spotify's model). Retention investment at Subspace's stage yields higher ROI than any new feature.</w:t>
            </w:r>
          </w:p>
        </w:tc>
      </w:tr>
    </w:tbl>
    <w:p>
      <w:pPr>
        <w:spacing w:after="200" w:before="200"/>
      </w:pPr>
      <w:r>
        <w:t xml:space="preserve"/>
      </w:r>
    </w:p>
    <w:p>
      <w:r>
        <w:br w:type="page"/>
      </w:r>
    </w:p>
    <w:p>
      <w:pPr>
        <w:spacing w:after="80" w:before="360"/>
      </w:pPr>
      <w:r>
        <w:rPr>
          <w:rFonts w:ascii="Arial" w:cs="Arial" w:eastAsia="Arial" w:hAnsi="Arial"/>
          <w:b/>
          <w:bCs/>
          <w:color w:val="5B4EFF"/>
          <w:sz w:val="36"/>
          <w:szCs w:val="36"/>
        </w:rPr>
        <w:t xml:space="preserve">Feedback 5  </w:t>
      </w:r>
      <w:r>
        <w:rPr>
          <w:rFonts w:ascii="Arial" w:cs="Arial" w:eastAsia="Arial" w:hAnsi="Arial"/>
          <w:i/>
          <w:iCs/>
          <w:color w:val="6B7280"/>
          <w:sz w:val="22"/>
          <w:szCs w:val="22"/>
        </w:rPr>
        <w:t xml:space="preserve">[Potential Collaborations]</w:t>
      </w:r>
    </w:p>
    <w:p>
      <w:pPr>
        <w:spacing w:after="200" w:before="0"/>
      </w:pPr>
      <w:r>
        <w:rPr>
          <w:rFonts w:ascii="Arial" w:cs="Arial" w:eastAsia="Arial" w:hAnsi="Arial"/>
          <w:b/>
          <w:bCs/>
          <w:color w:val="1A1A2E"/>
          <w:sz w:val="32"/>
          <w:szCs w:val="32"/>
        </w:rPr>
        <w:t xml:space="preserve">The college segment is under-monetised: 'Student deals' is a tagline, not a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vAlign w:val="center"/>
          </w:tcPr>
          <w:p>
            <w:pPr>
              <w:jc w:val="center"/>
            </w:pPr>
            <w:r>
              <w:rPr>
                <w:rFonts w:ascii="Arial" w:cs="Arial" w:eastAsia="Arial" w:hAnsi="Arial"/>
                <w:b/>
                <w:bCs/>
                <w:color w:val="1565C0"/>
                <w:sz w:val="20"/>
                <w:szCs w:val="20"/>
              </w:rPr>
              <w:t xml:space="preserve">🔍 OBSERVED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Subspace's website mentions 'Extra deals for students who sign up with a college email.' In the app, this manifests as a badge and marginally better pricing on select subscriptions. There is no student-specific onboarding, no campus ambassador programme structure, no integration with college communities (hostel floors, study groups, departments), and no student-specific product (e.g., a 'hostel bundle' for Netflix + Spotify + Canva split across a floor of 8 students). The IIT Madras founding connection is not leveraged for campus GTM.</w:t>
            </w:r>
          </w:p>
        </w:tc>
      </w:tr>
      <w:tr>
        <w:tc>
          <w:tcPr>
            <w:tcW w:type="dxa" w:w="180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vAlign w:val="center"/>
          </w:tcPr>
          <w:p>
            <w:pPr>
              <w:jc w:val="center"/>
            </w:pPr>
            <w:r>
              <w:rPr>
                <w:rFonts w:ascii="Arial" w:cs="Arial" w:eastAsia="Arial" w:hAnsi="Arial"/>
                <w:b/>
                <w:bCs/>
                <w:color w:val="E65100"/>
                <w:sz w:val="20"/>
                <w:szCs w:val="20"/>
              </w:rPr>
              <w:t xml:space="preserve">⚠️ PROBLEM</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The Indian college market is 38 million students — most of whom share 1-2 OTT accounts illegally today. This is Subspace's highest-density ICP: they are price-sensitive, group-oriented, and naturally social. Converting one student in a hostel of 200 can produce 20 organic sign-ups at near-zero CAC. Yet the current 'student email' gating is the entirety of the student strategy. It is a feature that signals an intent without building a product. No dedicated community, no word-of-mouth mechanics, no campus rep incentive.</w:t>
            </w:r>
          </w:p>
        </w:tc>
      </w:tr>
      <w:tr>
        <w:tc>
          <w:tcPr>
            <w:tcW w:type="dxa" w:w="18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vAlign w:val="center"/>
          </w:tcPr>
          <w:p>
            <w:pPr>
              <w:jc w:val="center"/>
            </w:pPr>
            <w:r>
              <w:rPr>
                <w:rFonts w:ascii="Arial" w:cs="Arial" w:eastAsia="Arial" w:hAnsi="Arial"/>
                <w:b/>
                <w:bCs/>
                <w:color w:val="2E7D32"/>
                <w:sz w:val="20"/>
                <w:szCs w:val="20"/>
              </w:rPr>
              <w:t xml:space="preserve">🚀 SHIP INSTEAD</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Partner with 3-5 tier-1 engineering colleges (leverage IIT Madras network) to pilot a 'Campus Bundle' product: one Subspace group pre-configured for a hostel floor or department (Netflix + Spotify + Canva + Microsoft 365), marketed and managed by a paid campus rep (they earn ₹500/month per active group they manage). Use WhatsApp or Discord as the community layer (don't build a new chat feature — embed into existing student tooling). Track NPS and CAC per campus. If unit economics work, scale via NSIT, VIT, BITS. Add a student-exclusive 'study tool bundle' (Notion, Grammarly, QuillBot, LinkedIn Learning) at a Subspace-negotiated price — none of these are on competing Indian platforms.</w:t>
            </w:r>
          </w:p>
        </w:tc>
      </w:tr>
      <w:tr>
        <w:tc>
          <w:tcPr>
            <w:tcW w:type="dxa" w:w="1800"/>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60"/>
            </w:tcMar>
            <w:vAlign w:val="center"/>
          </w:tcPr>
          <w:p>
            <w:pPr>
              <w:jc w:val="center"/>
            </w:pPr>
            <w:r>
              <w:rPr>
                <w:rFonts w:ascii="Arial" w:cs="Arial" w:eastAsia="Arial" w:hAnsi="Arial"/>
                <w:b/>
                <w:bCs/>
                <w:color w:val="6A1B9A"/>
                <w:sz w:val="20"/>
                <w:szCs w:val="20"/>
              </w:rPr>
              <w:t xml:space="preserve">⚖️ TRADEOFF</w:t>
            </w:r>
          </w:p>
        </w:tc>
        <w:tc>
          <w:tcPr>
            <w:tcW w:type="dxa" w:w="7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1A1A2E"/>
                <w:sz w:val="22"/>
                <w:szCs w:val="22"/>
              </w:rPr>
              <w:t xml:space="preserve">Campus programmes require feet on the ground and have high management overhead at scale. Mitigation: design the programme as self-serve from day one — campus reps use the existing Admin flow, not a new tool. The partnership with NIRMAAN IITM and Google's Top 100 Startups recognition are existing credibility signals that make this outreach extremely warm.</w:t>
            </w:r>
          </w:p>
        </w:tc>
      </w:tr>
    </w:tbl>
    <w:p>
      <w:pPr>
        <w:spacing w:after="200" w:before="200"/>
      </w:pPr>
      <w:r>
        <w:t xml:space="preserve"/>
      </w:r>
    </w:p>
    <w:p>
      <w:r>
        <w:br w:type="page"/>
      </w:r>
    </w:p>
    <w:p>
      <w:pPr>
        <w:pStyle w:val="Heading1"/>
      </w:pPr>
      <w:r>
        <w:rPr>
          <w:rFonts w:ascii="Arial" w:cs="Arial" w:eastAsia="Arial" w:hAnsi="Arial"/>
          <w:b/>
          <w:bCs/>
          <w:color w:val="1A1A2E"/>
          <w:sz w:val="32"/>
          <w:szCs w:val="32"/>
        </w:rPr>
        <w:t xml:space="preserve">Competitor Landscape Snapshot</w:t>
      </w:r>
    </w:p>
    <w:p>
      <w:pPr>
        <w:pBdr>
          <w:bottom w:val="single" w:color="5B4EFF" w:sz="8" w:space="1"/>
        </w:pBdr>
        <w:spacing w:after="200" w:before="80"/>
      </w:pPr>
    </w:p>
    <w:p>
      <w:pPr>
        <w:spacing w:after="80" w:before="80"/>
      </w:pPr>
      <w:r>
        <w:rPr>
          <w:rFonts w:ascii="Arial" w:cs="Arial" w:eastAsia="Arial" w:hAnsi="Arial"/>
          <w:b/>
          <w:bCs/>
          <w:color w:val="1A1A2E"/>
          <w:sz w:val="22"/>
          <w:szCs w:val="22"/>
        </w:rPr>
        <w:t xml:space="preserve">Porter's Five Forces — Summary:</w:t>
      </w:r>
    </w:p>
    <w:p>
      <w:pPr>
        <w:spacing w:after="200" w:before="0"/>
      </w:pPr>
      <w:r>
        <w:rPr>
          <w:rFonts w:ascii="Arial" w:cs="Arial" w:eastAsia="Arial" w:hAnsi="Arial"/>
          <w:color w:val="1A1A2E"/>
          <w:sz w:val="22"/>
          <w:szCs w:val="22"/>
        </w:rPr>
        <w:t xml:space="preserve">Threat of new entrants is HIGH (low code barrier, VC-funded copycats possible). Buyer power is HIGH (users have little switching cost per subscription). Substitute threat is HIGH (WhatsApp groups informally do the same job for free). Supplier power is MEDIUM (OTT platforms could block shared logins — Netflix already did). Rivalry is currently LOW but intensifying. Subspace's moat is data flywheel + the Negotiate API, neither of which is visible to users today (see 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2500"/>
        <w:gridCol w:w="3560"/>
      </w:tblGrid>
      <w:tr>
        <w:tc>
          <w:tcPr>
            <w:tcW w:type="dxa" w:w="2100"/>
            <w:tcBorders>
              <w:top w:val="single" w:color="CCCCCC" w:sz="1"/>
              <w:left w:val="single" w:color="CCCCCC" w:sz="1"/>
              <w:bottom w:val="single" w:color="CCCCCC" w:sz="1"/>
              <w:right w:val="single" w:color="CCCCCC" w:sz="1"/>
            </w:tcBorders>
            <w:shd w:fill="5B4EFF"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200"/>
            <w:tcBorders>
              <w:top w:val="single" w:color="CCCCCC" w:sz="1"/>
              <w:left w:val="single" w:color="CCCCCC" w:sz="1"/>
              <w:bottom w:val="single" w:color="CCCCCC" w:sz="1"/>
              <w:right w:val="single" w:color="CCCCCC" w:sz="1"/>
            </w:tcBorders>
            <w:shd w:fill="5B4EFF"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500"/>
            <w:tcBorders>
              <w:top w:val="single" w:color="CCCCCC" w:sz="1"/>
              <w:left w:val="single" w:color="CCCCCC" w:sz="1"/>
              <w:bottom w:val="single" w:color="CCCCCC" w:sz="1"/>
              <w:right w:val="single" w:color="CCCCCC" w:sz="1"/>
            </w:tcBorders>
            <w:shd w:fill="5B4EFF" w:val="clear"/>
            <w:tcMar>
              <w:top w:type="dxa" w:w="80"/>
              <w:left w:type="dxa" w:w="120"/>
              <w:bottom w:type="dxa" w:w="80"/>
              <w:right w:type="dxa" w:w="120"/>
            </w:tcMar>
          </w:tcPr>
          <w:p>
            <w:r>
              <w:rPr>
                <w:rFonts w:ascii="Arial" w:cs="Arial" w:eastAsia="Arial" w:hAnsi="Arial"/>
                <w:b/>
                <w:bCs/>
                <w:color w:val="FFFFFF"/>
                <w:sz w:val="20"/>
                <w:szCs w:val="20"/>
              </w:rPr>
              <w:t xml:space="preserve">Core Value Prop</w:t>
            </w:r>
          </w:p>
        </w:tc>
        <w:tc>
          <w:tcPr>
            <w:tcW w:type="dxa" w:w="3560"/>
            <w:tcBorders>
              <w:top w:val="single" w:color="CCCCCC" w:sz="1"/>
              <w:left w:val="single" w:color="CCCCCC" w:sz="1"/>
              <w:bottom w:val="single" w:color="CCCCCC" w:sz="1"/>
              <w:right w:val="single" w:color="CCCCCC" w:sz="1"/>
            </w:tcBorders>
            <w:shd w:fill="5B4EFF" w:val="clear"/>
            <w:tcMar>
              <w:top w:type="dxa" w:w="80"/>
              <w:left w:type="dxa" w:w="120"/>
              <w:bottom w:type="dxa" w:w="80"/>
              <w:right w:type="dxa" w:w="120"/>
            </w:tcMar>
          </w:tcPr>
          <w:p>
            <w:r>
              <w:rPr>
                <w:rFonts w:ascii="Arial" w:cs="Arial" w:eastAsia="Arial" w:hAnsi="Arial"/>
                <w:b/>
                <w:bCs/>
                <w:color w:val="FFFFFF"/>
                <w:sz w:val="20"/>
                <w:szCs w:val="20"/>
              </w:rPr>
              <w:t xml:space="preserve">Gap vs Subspace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Rocket Money (Truebill)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Subscription tracking + cancellation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 shared-pool model; cancellation-first = churn-first revenue tension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DoNotPay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Bill negotiation via AI lawyer bot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Western legal framework; not India-ready; no marketplace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Jupiter / Fi Money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India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Neo-bank + expense categorisation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 peer-sharing; subscription mgmt is a side feature, not core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Play Pass / Apple Arcade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Bundled digital subscriptions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Walled gardens; no cross-platform pooling</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EFF"/>
                <w:sz w:val="20"/>
                <w:szCs w:val="20"/>
              </w:rPr>
              <w:t xml:space="preserve">Subspace.money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India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Shared subs + gift cards + rentals + marketplace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Only player combining peer-sharing + local marketplace + rentals in one app</w:t>
            </w:r>
          </w:p>
        </w:tc>
      </w:tr>
    </w:tbl>
    <w:p>
      <w:pPr>
        <w:spacing w:after="200" w:before="200"/>
      </w:pPr>
      <w:r>
        <w:t xml:space="preserve"/>
      </w:r>
    </w:p>
    <w:p>
      <w:r>
        <w:br w:type="page"/>
      </w:r>
    </w:p>
    <w:p>
      <w:pPr>
        <w:pStyle w:val="Heading1"/>
      </w:pPr>
      <w:r>
        <w:rPr>
          <w:rFonts w:ascii="Arial" w:cs="Arial" w:eastAsia="Arial" w:hAnsi="Arial"/>
          <w:b/>
          <w:bCs/>
          <w:color w:val="1A1A2E"/>
          <w:sz w:val="36"/>
          <w:szCs w:val="36"/>
        </w:rPr>
        <w:t xml:space="preserve">Prioritisation Framework</w:t>
      </w:r>
    </w:p>
    <w:p>
      <w:pPr>
        <w:pBdr>
          <w:bottom w:val="single" w:color="5B4EFF" w:sz="8" w:space="1"/>
        </w:pBdr>
        <w:spacing w:after="200" w:before="80"/>
      </w:pPr>
    </w:p>
    <w:p>
      <w:pPr>
        <w:spacing w:after="120" w:before="100"/>
      </w:pPr>
      <w:r>
        <w:rPr>
          <w:rFonts w:ascii="Arial" w:cs="Arial" w:eastAsia="Arial" w:hAnsi="Arial"/>
          <w:color w:val="1A1A2E"/>
          <w:sz w:val="22"/>
          <w:szCs w:val="22"/>
        </w:rPr>
        <w:t xml:space="preserve">If I were to join Day 1 and could only ship two things in the first 30 days, I would pick F2 (Subspace Shield) and F4 (Money Pulse). Here's why:</w:t>
      </w:r>
    </w:p>
    <w:p>
      <w:pPr>
        <w:spacing w:after="120" w:before="0"/>
      </w:pPr>
      <w:r>
        <w:rPr>
          <w:rFonts w:ascii="Arial" w:cs="Arial" w:eastAsia="Arial" w:hAnsi="Arial"/>
          <w:color w:val="1A1A2E"/>
          <w:sz w:val="22"/>
          <w:szCs w:val="22"/>
        </w:rPr>
        <w:t xml:space="preserve">F2 — Subspace Shield addresses a structural trust problem that is actively costing users and ratings. With a 3.6 Play Store rating and visible public complaints, every new user who Googles 'Subspace money review' is reading a trust horror story. This is a retention and acquisition problem compounding simultaneously. It is also table-stakes before scaling any paid acquisition.</w:t>
      </w:r>
    </w:p>
    <w:p>
      <w:pPr>
        <w:spacing w:after="120" w:before="0"/>
      </w:pPr>
      <w:r>
        <w:rPr>
          <w:rFonts w:ascii="Arial" w:cs="Arial" w:eastAsia="Arial" w:hAnsi="Arial"/>
          <w:color w:val="1A1A2E"/>
          <w:sz w:val="22"/>
          <w:szCs w:val="22"/>
        </w:rPr>
        <w:t xml:space="preserve">F4 — Money Pulse is the lowest-effort, highest-leverage retention play. Subspace already has all the data needed to send smart nudges; it just does not. A notification engine built on existing subscription and wallet data requires no new backend — only a scheduling layer and copy. ARR compounds with retention.</w:t>
      </w:r>
    </w:p>
    <w:p>
      <w:pPr>
        <w:spacing w:after="240" w:before="0"/>
      </w:pPr>
      <w:r>
        <w:rPr>
          <w:rFonts w:ascii="Arial" w:cs="Arial" w:eastAsia="Arial" w:hAnsi="Arial"/>
          <w:color w:val="1A1A2E"/>
          <w:sz w:val="22"/>
          <w:szCs w:val="22"/>
        </w:rPr>
        <w:t xml:space="preserve">F3 (Negotiate API) and F5 (Campus Bundle) are Q2 plays — they require GTM investment and partnership work, but have the highest long-term differentiation upside. F1 (ICP Personas) is a sprint-level UX change that can be done in parallel with any of the above.</w:t>
      </w:r>
    </w:p>
    <w:p>
      <w:pPr>
        <w:spacing w:after="120" w:before="0"/>
      </w:pPr>
      <w:r>
        <w:rPr>
          <w:rFonts w:ascii="Arial" w:cs="Arial" w:eastAsia="Arial" w:hAnsi="Arial"/>
          <w:i/>
          <w:iCs/>
          <w:color w:val="6B7280"/>
          <w:sz w:val="20"/>
          <w:szCs w:val="20"/>
        </w:rPr>
        <w:t xml:space="preserve">Note on research method: I went through the Subspace website, Play Store listing and reviews, About Us page, Tracxn and Product Hunt profiles, public LinkedIn posts, and the ElevenLabs India Voice AI landscape report for competitive context. All observations are based on what was visible during this research window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5B4E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2026-05-29T06:10:33.153Z</dcterms:created>
  <dcterms:modified xsi:type="dcterms:W3CDTF">2026-05-29T06:10:33.155Z</dcterms:modified>
</cp:coreProperties>
</file>

<file path=docProps/custom.xml><?xml version="1.0" encoding="utf-8"?>
<Properties xmlns="http://schemas.openxmlformats.org/officeDocument/2006/custom-properties" xmlns:vt="http://schemas.openxmlformats.org/officeDocument/2006/docPropsVTypes"/>
</file>