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ledger connection pool saturation</w:t>
      </w:r>
    </w:p>
    <w:p>
      <w:r>
        <w:t>Document: RB-03</w:t>
      </w:r>
    </w:p>
    <w:p>
      <w:r>
        <w:t>Date: 2026-03-16</w:t>
      </w:r>
    </w:p>
    <w:p>
      <w:r>
        <w:t>Services: ledger</w:t>
      </w:r>
    </w:p>
    <w:p>
      <w:pPr>
        <w:pStyle w:val="Heading2"/>
      </w:pPr>
      <w:r>
        <w:t>Purpose</w:t>
      </w:r>
    </w:p>
    <w:p>
      <w:r>
        <w:t>This runbook guides you through diagnosing and resolving ledger connection pool saturation. The ledger service maintains a pool of database connections to ledger-db. When the pool becomes nearly full, new requests queue and latency increases, risking cascading failures across payments-api and other dependent services.</w:t>
      </w:r>
    </w:p>
    <w:p>
      <w:pPr>
        <w:pStyle w:val="Heading2"/>
      </w:pPr>
      <w:r>
        <w:t>When to use</w:t>
      </w:r>
    </w:p>
    <w:p>
      <w:r>
        <w:t>Use this runbook when you observe ledger_pool_in_use above 90%. This metric indicates the connection pool is approaching exhaustion. Act immediately to prevent service degradation.</w:t>
      </w:r>
    </w:p>
    <w:p>
      <w:pPr>
        <w:pStyle w:val="Heading2"/>
      </w:pPr>
      <w:r>
        <w:t>Steps</w:t>
      </w:r>
    </w:p>
    <w:p>
      <w:pPr>
        <w:pStyle w:val="ListBullet"/>
      </w:pPr>
      <w:r>
        <w:t>Confirm the alert by checking the current ledger_pool_in_use metric in the monitoring dashboard. Verify it is above 90%.</w:t>
      </w:r>
    </w:p>
    <w:p>
      <w:pPr>
        <w:pStyle w:val="ListBullet"/>
      </w:pPr>
      <w:r>
        <w:t>Check the max_connections is 200 to establish the pool size baseline.</w:t>
      </w:r>
    </w:p>
    <w:p>
      <w:pPr>
        <w:pStyle w:val="ListBullet"/>
      </w:pPr>
      <w:r>
        <w:t>Review recent changes to the ledger service in the change log. Look for schema migrations, query optimizations, or configuration updates deployed in the last 24 hours.</w:t>
      </w:r>
    </w:p>
    <w:p>
      <w:pPr>
        <w:pStyle w:val="ListBullet"/>
      </w:pPr>
      <w:r>
        <w:t>If a recent change correlates with the saturation event, prepare to roll back the most recent ledger change using your standard deployment process.</w:t>
      </w:r>
    </w:p>
    <w:p>
      <w:pPr>
        <w:pStyle w:val="ListBullet"/>
      </w:pPr>
      <w:r>
        <w:t>Execute the rollback and monitor ledger_pool_in_use for 5 minutes. The metric should drop below 80% within this window.</w:t>
      </w:r>
    </w:p>
    <w:p>
      <w:pPr>
        <w:pStyle w:val="ListBullet"/>
      </w:pPr>
      <w:r>
        <w:t>If the metric does not improve after rollback, check for stuck connections or long-running queries in the ledger-db logs. Coordinate with the Ledger team to identify blocking operations.</w:t>
      </w:r>
    </w:p>
    <w:p>
      <w:pPr>
        <w:pStyle w:val="ListBullet"/>
      </w:pPr>
      <w:r>
        <w:t>If saturation persists and no recent changes are found, or if rollback does not resolve the issue, proceed to Escalation.</w:t>
      </w:r>
    </w:p>
    <w:p>
      <w:pPr>
        <w:pStyle w:val="ListBullet"/>
      </w:pPr>
      <w:r>
        <w:t>Once the immediate incident is resolved, file a change request to scale the connection pool or optimize query patterns to prevent recurrence.</w:t>
      </w:r>
    </w:p>
    <w:p>
      <w:pPr>
        <w:pStyle w:val="Heading2"/>
      </w:pPr>
      <w:r>
        <w:t>Escalation</w:t>
      </w:r>
    </w:p>
    <w:p>
      <w:r>
        <w:t>If ledger_pool_in_use remains above 90% after rollback, or if you cannot identify a recent change, escalate to Oskar Lind, lead of the Ledger team. Reference CHG-1047 for context on pool sizing and INC-301 for a similar incident pattern. If the issue affects payment processing, also notify the on-call incident commander and refer to RB-01 for broader service impact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ledger connection pool saturation</dc:title>
  <dc:subject/>
  <dc:creator>Acme Payments</dc:creator>
  <cp:keywords/>
  <dc:description>generated by python-docx</dc:description>
  <cp:lastModifiedBy/>
  <cp:revision>1</cp:revision>
  <dcterms:created xsi:type="dcterms:W3CDTF">2026-03-16T00:00:00Z</dcterms:created>
  <dcterms:modified xsi:type="dcterms:W3CDTF">2013-12-23T23:15:00Z</dcterms:modified>
  <cp:category/>
</cp:coreProperties>
</file>