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3F" w:rsidRDefault="00B22990" w:rsidP="001464DA">
      <w:pPr>
        <w:spacing w:line="276" w:lineRule="auto"/>
        <w:ind w:left="0"/>
        <w:rPr>
          <w:sz w:val="24"/>
        </w:rPr>
      </w:pPr>
      <w:r>
        <w:rPr>
          <w:sz w:val="24"/>
        </w:rPr>
        <w:t>Наименование г</w:t>
      </w:r>
      <w:r w:rsidRPr="001464DA">
        <w:rPr>
          <w:sz w:val="24"/>
        </w:rPr>
        <w:t>орюч</w:t>
      </w:r>
      <w:r>
        <w:rPr>
          <w:sz w:val="24"/>
        </w:rPr>
        <w:t>ей</w:t>
      </w:r>
      <w:r w:rsidRPr="001464DA">
        <w:rPr>
          <w:sz w:val="24"/>
        </w:rPr>
        <w:t xml:space="preserve"> нагрузк</w:t>
      </w:r>
      <w:r>
        <w:rPr>
          <w:sz w:val="24"/>
        </w:rPr>
        <w:t>и</w:t>
      </w:r>
      <w:r w:rsidR="001464DA" w:rsidRPr="001464DA">
        <w:rPr>
          <w:sz w:val="24"/>
        </w:rPr>
        <w:t xml:space="preserve">: </w:t>
      </w:r>
      <w:r w:rsidR="001E71DE">
        <w:rPr>
          <w:sz w:val="24"/>
        </w:rPr>
        <w:t>Бензин А-76</w:t>
      </w:r>
    </w:p>
    <w:p w:rsidR="009733E9" w:rsidRDefault="001464DA" w:rsidP="001464DA">
      <w:pPr>
        <w:spacing w:line="276" w:lineRule="auto"/>
        <w:ind w:left="0"/>
        <w:rPr>
          <w:sz w:val="24"/>
        </w:rPr>
      </w:pPr>
      <w:r w:rsidRPr="001464DA">
        <w:rPr>
          <w:sz w:val="24"/>
        </w:rPr>
        <w:t xml:space="preserve">Описание: </w:t>
      </w:r>
      <w:r w:rsidR="001E71DE">
        <w:rPr>
          <w:sz w:val="24"/>
        </w:rPr>
        <w:t>Бензин А-76</w:t>
      </w:r>
    </w:p>
    <w:p w:rsidR="00B22990" w:rsidRPr="00B4330A" w:rsidRDefault="00B22990" w:rsidP="001464DA">
      <w:pPr>
        <w:spacing w:line="276" w:lineRule="auto"/>
        <w:ind w:left="0"/>
        <w:rPr>
          <w:sz w:val="24"/>
        </w:rPr>
      </w:pPr>
    </w:p>
    <w:p w:rsidR="001464DA" w:rsidRPr="004909AC" w:rsidRDefault="001464DA" w:rsidP="004909AC">
      <w:pPr>
        <w:pStyle w:val="STTABLE"/>
        <w:ind w:firstLine="0"/>
        <w:jc w:val="left"/>
        <w:rPr>
          <w:sz w:val="24"/>
        </w:rPr>
      </w:pPr>
      <w:r w:rsidRPr="004909AC">
        <w:rPr>
          <w:sz w:val="24"/>
        </w:rPr>
        <w:t>Таблица. Параметры горючей нагрузки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  <w:tblCaption w:val="Таблица 10. Параметры горючей нагрузки"/>
      </w:tblPr>
      <w:tblGrid>
        <w:gridCol w:w="5211"/>
        <w:gridCol w:w="2459"/>
        <w:gridCol w:w="1226"/>
        <w:gridCol w:w="1298"/>
      </w:tblGrid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Параметр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Единица измерения</w:t>
            </w:r>
          </w:p>
        </w:tc>
        <w:tc>
          <w:tcPr>
            <w:tcW w:w="601" w:type="pct"/>
          </w:tcPr>
          <w:p w:rsidR="004909AC" w:rsidRPr="001464DA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1464DA">
              <w:rPr>
                <w:rFonts w:ascii="Times New Roman" w:hAnsi="Times New Roman"/>
                <w:szCs w:val="24"/>
              </w:rPr>
              <w:t>Значение</w:t>
            </w:r>
          </w:p>
        </w:tc>
        <w:tc>
          <w:tcPr>
            <w:tcW w:w="553" w:type="pct"/>
          </w:tcPr>
          <w:p w:rsidR="004909AC" w:rsidRPr="004909AC" w:rsidRDefault="004909AC" w:rsidP="001464DA">
            <w:pPr>
              <w:pStyle w:val="TABLHEAD"/>
              <w:spacing w:after="0"/>
              <w:rPr>
                <w:rFonts w:ascii="Times New Roman" w:hAnsi="Times New Roman"/>
                <w:szCs w:val="24"/>
              </w:rPr>
            </w:pPr>
            <w:r w:rsidRPr="004909AC">
              <w:rPr>
                <w:rFonts w:ascii="Times New Roman" w:hAnsi="Times New Roman"/>
                <w:szCs w:val="24"/>
              </w:rPr>
              <w:t>Источник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Низшая теплота сгорания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кДж/кг</w:t>
            </w:r>
          </w:p>
        </w:tc>
        <w:tc>
          <w:tcPr>
            <w:tcW w:w="601" w:type="pct"/>
          </w:tcPr>
          <w:p>
            <w:r>
              <w:t>43200.0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Линейная скорость распространения пламени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м/с</w:t>
            </w:r>
          </w:p>
        </w:tc>
        <w:tc>
          <w:tcPr>
            <w:tcW w:w="601" w:type="pct"/>
          </w:tcPr>
          <w:p>
            <w:r>
              <w:t>0.0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Удельная массовая скорость выгорания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Start"/>
            <w:r w:rsidRPr="001464DA">
              <w:rPr>
                <w:rFonts w:ascii="Times New Roman" w:hAnsi="Times New Roman"/>
                <w:sz w:val="24"/>
                <w:szCs w:val="24"/>
              </w:rPr>
              <w:t>/(</w:t>
            </w:r>
            <w:proofErr w:type="gramEnd"/>
            <w:r w:rsidRPr="001464DA">
              <w:rPr>
                <w:rFonts w:ascii="Times New Roman" w:hAnsi="Times New Roman"/>
                <w:sz w:val="24"/>
                <w:szCs w:val="24"/>
              </w:rPr>
              <w:t>м² ∙ с)</w:t>
            </w:r>
          </w:p>
        </w:tc>
        <w:tc>
          <w:tcPr>
            <w:tcW w:w="601" w:type="pct"/>
          </w:tcPr>
          <w:p>
            <w:r>
              <w:t>0.0585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Коэффициент полноты сгорания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—</w:t>
            </w:r>
          </w:p>
        </w:tc>
        <w:tc>
          <w:tcPr>
            <w:tcW w:w="601" w:type="pct"/>
          </w:tcPr>
          <w:p>
            <w:r>
              <w:t>0.93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Дымообразующая способность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64DA">
              <w:rPr>
                <w:rFonts w:ascii="Times New Roman" w:hAnsi="Times New Roman"/>
                <w:sz w:val="24"/>
                <w:szCs w:val="24"/>
              </w:rPr>
              <w:t>Нп</w:t>
            </w:r>
            <w:proofErr w:type="spellEnd"/>
            <w:r w:rsidRPr="001464DA">
              <w:rPr>
                <w:rFonts w:ascii="Times New Roman" w:hAnsi="Times New Roman"/>
                <w:sz w:val="24"/>
                <w:szCs w:val="24"/>
              </w:rPr>
              <w:t xml:space="preserve"> ∙ м²/кг</w:t>
            </w:r>
          </w:p>
        </w:tc>
        <w:tc>
          <w:tcPr>
            <w:tcW w:w="601" w:type="pct"/>
          </w:tcPr>
          <w:p>
            <w:r>
              <w:t>256.0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Потребление кислорода (О₂)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>
            <w:r>
              <w:t>3.405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углекислого газа (СО₂)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>
            <w:r>
              <w:t>2.92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угарного газа (CO)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>
            <w:r>
              <w:t>0.175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Выделение хлористого водорода (</w:t>
            </w:r>
            <w:proofErr w:type="spellStart"/>
            <w:r w:rsidRPr="001464DA">
              <w:rPr>
                <w:rFonts w:ascii="Times New Roman" w:hAnsi="Times New Roman"/>
                <w:sz w:val="24"/>
                <w:szCs w:val="24"/>
              </w:rPr>
              <w:t>HCl</w:t>
            </w:r>
            <w:proofErr w:type="spellEnd"/>
            <w:r w:rsidRPr="001464D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кг/кг</w:t>
            </w:r>
          </w:p>
        </w:tc>
        <w:tc>
          <w:tcPr>
            <w:tcW w:w="601" w:type="pct"/>
          </w:tcPr>
          <w:p>
            <w:r>
              <w:t>0.0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  <w:tr w:rsidR="004909AC" w:rsidRPr="001464DA" w:rsidTr="004909AC">
        <w:trPr>
          <w:jc w:val="center"/>
        </w:trPr>
        <w:tc>
          <w:tcPr>
            <w:tcW w:w="259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Критическое значение теплового потока</w:t>
            </w:r>
          </w:p>
        </w:tc>
        <w:tc>
          <w:tcPr>
            <w:tcW w:w="1248" w:type="pct"/>
          </w:tcPr>
          <w:p w:rsidR="004909AC" w:rsidRPr="001464DA" w:rsidRDefault="004909AC" w:rsidP="001464DA">
            <w:pPr>
              <w:pStyle w:val="TABLCONT"/>
              <w:spacing w:after="0"/>
              <w:rPr>
                <w:sz w:val="24"/>
                <w:szCs w:val="24"/>
              </w:rPr>
            </w:pPr>
            <w:r w:rsidRPr="001464DA">
              <w:rPr>
                <w:rFonts w:ascii="Times New Roman" w:hAnsi="Times New Roman"/>
                <w:sz w:val="24"/>
                <w:szCs w:val="24"/>
              </w:rPr>
              <w:t>кВт/м²</w:t>
            </w:r>
          </w:p>
        </w:tc>
        <w:tc>
          <w:tcPr>
            <w:tcW w:w="601" w:type="pct"/>
          </w:tcPr>
          <w:p>
            <w:r>
              <w:t>8.0</w:t>
            </w:r>
          </w:p>
        </w:tc>
        <w:tc>
          <w:tcPr>
            <w:tcW w:w="553" w:type="pct"/>
          </w:tcPr>
          <w:p>
            <w:r>
              <w:t>[1]</w:t>
            </w:r>
          </w:p>
        </w:tc>
      </w:tr>
    </w:tbl>
    <w:p w:rsidR="004909AC" w:rsidRDefault="004909AC" w:rsidP="004909AC">
      <w:pPr>
        <w:spacing w:line="276" w:lineRule="auto"/>
        <w:ind w:left="0"/>
        <w:rPr>
          <w:sz w:val="24"/>
        </w:rPr>
      </w:pPr>
    </w:p>
    <w:p w:rsidR="004909AC" w:rsidRPr="001464DA" w:rsidRDefault="004909AC" w:rsidP="004909AC">
      <w:pPr>
        <w:spacing w:line="276" w:lineRule="auto"/>
        <w:ind w:left="0"/>
        <w:rPr>
          <w:sz w:val="24"/>
        </w:rPr>
      </w:pPr>
      <w:r>
        <w:rPr>
          <w:sz w:val="24"/>
        </w:rPr>
        <w:t>Список источников</w:t>
      </w:r>
      <w:r w:rsidRPr="001464DA">
        <w:rPr>
          <w:sz w:val="24"/>
        </w:rPr>
        <w:t>:</w:t>
      </w:r>
    </w:p>
    <w:p w:rsidR="004909AC" w:rsidRPr="001464DA" w:rsidRDefault="004909AC" w:rsidP="004909AC">
      <w:pPr>
        <w:spacing w:line="276" w:lineRule="auto"/>
        <w:ind w:left="0"/>
        <w:rPr>
          <w:sz w:val="24"/>
        </w:rPr>
      </w:pPr>
      <w:r>
        <w:rPr>
          <w:sz w:val="24"/>
        </w:rPr>
        <w:t>1. Кошмаров Ю. А. Прогнозирование опасных факторов пожара в помещении: Учебное пособие. — М.: Академия ГПС МВД России, 2000. — 118 С.</w:t>
        <w:br/>
        <w:t>2. Пособие по определению расчетных величин пожарного риска для производственных объектов / 2-ое изд., испр. и доп. / М.: ВНИИПО, 2019. - 334 С.</w:t>
      </w:r>
      <w:bookmarkStart w:id="0" w:name="_GoBack"/>
      <w:bookmarkEnd w:id="0"/>
    </w:p>
    <w:sectPr w:rsidR="004909AC" w:rsidRPr="001464DA" w:rsidSect="00C2443E">
      <w:pgSz w:w="11906" w:h="16838"/>
      <w:pgMar w:top="1134" w:right="85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krobat Black">
    <w:panose1 w:val="00000A00000000000000"/>
    <w:charset w:val="CC"/>
    <w:family w:val="auto"/>
    <w:pitch w:val="variable"/>
    <w:sig w:usb0="00000207" w:usb1="00000000" w:usb2="00000000" w:usb3="00000000" w:csb0="00000097" w:csb1="00000000"/>
  </w:font>
  <w:font w:name="Akrobat ExtraBold">
    <w:panose1 w:val="000009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A1"/>
    <w:rsid w:val="00011052"/>
    <w:rsid w:val="00076802"/>
    <w:rsid w:val="001464DA"/>
    <w:rsid w:val="00172D74"/>
    <w:rsid w:val="001E09A8"/>
    <w:rsid w:val="001E71DE"/>
    <w:rsid w:val="00236D8D"/>
    <w:rsid w:val="00272684"/>
    <w:rsid w:val="00346E78"/>
    <w:rsid w:val="004909AC"/>
    <w:rsid w:val="004A332C"/>
    <w:rsid w:val="004C2AA1"/>
    <w:rsid w:val="005164B2"/>
    <w:rsid w:val="00521D98"/>
    <w:rsid w:val="00592167"/>
    <w:rsid w:val="00692B76"/>
    <w:rsid w:val="00951C7D"/>
    <w:rsid w:val="009733E9"/>
    <w:rsid w:val="00B22990"/>
    <w:rsid w:val="00B4330A"/>
    <w:rsid w:val="00B4743B"/>
    <w:rsid w:val="00C2443E"/>
    <w:rsid w:val="00DA70B3"/>
    <w:rsid w:val="00EA1D1F"/>
    <w:rsid w:val="00FC023F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A925"/>
  <w15:chartTrackingRefBased/>
  <w15:docId w15:val="{7547054A-88B6-4A17-8749-F06AC1C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left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802"/>
  </w:style>
  <w:style w:type="paragraph" w:styleId="1">
    <w:name w:val="heading 1"/>
    <w:basedOn w:val="a"/>
    <w:next w:val="a"/>
    <w:link w:val="10"/>
    <w:autoRedefine/>
    <w:uiPriority w:val="9"/>
    <w:qFormat/>
    <w:rsid w:val="00172D74"/>
    <w:pPr>
      <w:keepNext/>
      <w:keepLines/>
      <w:spacing w:after="200" w:line="240" w:lineRule="auto"/>
      <w:ind w:left="0"/>
      <w:jc w:val="left"/>
      <w:outlineLvl w:val="0"/>
    </w:pPr>
    <w:rPr>
      <w:rFonts w:ascii="Akrobat Black" w:eastAsiaTheme="majorEastAsia" w:hAnsi="Akrobat Black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76802"/>
    <w:pPr>
      <w:keepNext/>
      <w:keepLines/>
      <w:spacing w:before="40"/>
      <w:ind w:left="0"/>
      <w:jc w:val="center"/>
      <w:outlineLvl w:val="1"/>
    </w:pPr>
    <w:rPr>
      <w:rFonts w:ascii="Akrobat ExtraBold" w:eastAsiaTheme="majorEastAsia" w:hAnsi="Akrobat ExtraBold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D74"/>
    <w:rPr>
      <w:rFonts w:ascii="Akrobat Black" w:eastAsiaTheme="majorEastAsia" w:hAnsi="Akrobat Black" w:cstheme="majorBidi"/>
      <w:b/>
      <w:color w:val="auto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02"/>
    <w:rPr>
      <w:rFonts w:ascii="Akrobat ExtraBold" w:eastAsiaTheme="majorEastAsia" w:hAnsi="Akrobat ExtraBold" w:cstheme="majorBidi"/>
      <w:color w:val="000000" w:themeColor="text1"/>
      <w:sz w:val="28"/>
      <w:szCs w:val="26"/>
    </w:rPr>
  </w:style>
  <w:style w:type="paragraph" w:customStyle="1" w:styleId="ST">
    <w:name w:val="ST"/>
    <w:link w:val="ST0"/>
    <w:qFormat/>
    <w:rsid w:val="001464DA"/>
    <w:pPr>
      <w:ind w:left="0" w:firstLine="709"/>
    </w:pPr>
    <w:rPr>
      <w:rFonts w:cs="Times New Roman"/>
      <w:color w:val="auto"/>
      <w:szCs w:val="28"/>
    </w:rPr>
  </w:style>
  <w:style w:type="character" w:customStyle="1" w:styleId="ST0">
    <w:name w:val="ST Знак"/>
    <w:basedOn w:val="a0"/>
    <w:link w:val="ST"/>
    <w:rsid w:val="001464DA"/>
    <w:rPr>
      <w:rFonts w:cs="Times New Roman"/>
      <w:color w:val="auto"/>
      <w:szCs w:val="28"/>
    </w:rPr>
  </w:style>
  <w:style w:type="table" w:styleId="a3">
    <w:name w:val="Table Grid"/>
    <w:uiPriority w:val="59"/>
    <w:rsid w:val="001464DA"/>
    <w:pPr>
      <w:spacing w:line="240" w:lineRule="auto"/>
      <w:ind w:left="0"/>
      <w:jc w:val="left"/>
    </w:pPr>
    <w:rPr>
      <w:rFonts w:asciiTheme="minorHAnsi" w:hAnsiTheme="minorHAnsi"/>
      <w:color w:val="auto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TABLE">
    <w:name w:val="STTABLE"/>
    <w:basedOn w:val="ST"/>
    <w:link w:val="STTABLE0"/>
    <w:qFormat/>
    <w:rsid w:val="001464DA"/>
    <w:pPr>
      <w:keepNext/>
      <w:jc w:val="right"/>
    </w:pPr>
  </w:style>
  <w:style w:type="character" w:customStyle="1" w:styleId="STTABLE0">
    <w:name w:val="STTABLE Знак"/>
    <w:basedOn w:val="ST0"/>
    <w:link w:val="STTABLE"/>
    <w:rsid w:val="001464DA"/>
    <w:rPr>
      <w:rFonts w:cs="Times New Roman"/>
      <w:color w:val="auto"/>
      <w:szCs w:val="28"/>
    </w:rPr>
  </w:style>
  <w:style w:type="paragraph" w:customStyle="1" w:styleId="TABLHEAD">
    <w:name w:val="TABLHEAD"/>
    <w:link w:val="TABLHEAD0"/>
    <w:qFormat/>
    <w:rsid w:val="001464DA"/>
    <w:pPr>
      <w:spacing w:after="200" w:line="240" w:lineRule="auto"/>
      <w:ind w:left="0"/>
      <w:jc w:val="center"/>
    </w:pPr>
    <w:rPr>
      <w:rFonts w:cs="Times New Roman"/>
      <w:b/>
      <w:color w:val="auto"/>
      <w:sz w:val="24"/>
      <w:szCs w:val="28"/>
    </w:rPr>
  </w:style>
  <w:style w:type="paragraph" w:customStyle="1" w:styleId="TABLCONT">
    <w:name w:val="TABLCONT"/>
    <w:basedOn w:val="a"/>
    <w:link w:val="TABLCONT0"/>
    <w:qFormat/>
    <w:rsid w:val="001464DA"/>
    <w:pPr>
      <w:spacing w:after="200" w:line="276" w:lineRule="auto"/>
      <w:ind w:left="0"/>
      <w:jc w:val="left"/>
    </w:pPr>
    <w:rPr>
      <w:rFonts w:cs="Times New Roman"/>
      <w:color w:val="auto"/>
      <w:sz w:val="22"/>
    </w:rPr>
  </w:style>
  <w:style w:type="character" w:customStyle="1" w:styleId="TABLHEAD0">
    <w:name w:val="TABLHEAD Знак"/>
    <w:basedOn w:val="ST0"/>
    <w:link w:val="TABLHEAD"/>
    <w:rsid w:val="001464DA"/>
    <w:rPr>
      <w:rFonts w:cs="Times New Roman"/>
      <w:b/>
      <w:color w:val="auto"/>
      <w:sz w:val="24"/>
      <w:szCs w:val="28"/>
    </w:rPr>
  </w:style>
  <w:style w:type="character" w:customStyle="1" w:styleId="TABLCONT0">
    <w:name w:val="TABLCONT Знак"/>
    <w:basedOn w:val="a0"/>
    <w:link w:val="TABLCONT"/>
    <w:rsid w:val="001464DA"/>
    <w:rPr>
      <w:rFonts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2024-06-14T13:55:00Z</dcterms:created>
  <dcterms:modified xsi:type="dcterms:W3CDTF">2024-06-14T16:09:00Z</dcterms:modified>
</cp:coreProperties>
</file>