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9068307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B9DDDAE" w14:textId="0E9876D2" w:rsidR="00E159F5" w:rsidRDefault="00E159F5">
          <w:pPr>
            <w:pStyle w:val="TOCHeading"/>
          </w:pPr>
          <w:r>
            <w:t>Contents</w:t>
          </w:r>
        </w:p>
        <w:p w14:paraId="24DED6EE" w14:textId="7A25885D" w:rsidR="00E159F5" w:rsidRDefault="00E159F5">
          <w:pPr>
            <w:pStyle w:val="TOC1"/>
            <w:tabs>
              <w:tab w:val="right" w:leader="dot" w:pos="9350"/>
            </w:tabs>
            <w:rPr>
              <w:noProof/>
            </w:rPr>
          </w:pPr>
          <w:r>
            <w:fldChar w:fldCharType="begin"/>
          </w:r>
          <w:r>
            <w:instrText xml:space="preserve"> TOC \o "1-3" \h \z \u </w:instrText>
          </w:r>
          <w:r>
            <w:fldChar w:fldCharType="separate"/>
          </w:r>
          <w:hyperlink w:anchor="_Toc225518591" w:history="1">
            <w:r w:rsidRPr="003021A9">
              <w:rPr>
                <w:rStyle w:val="Hyperlink"/>
                <w:rFonts w:ascii="Times New Roman" w:eastAsia="Times New Roman" w:hAnsi="Times New Roman" w:cs="Times New Roman"/>
                <w:b/>
                <w:bCs/>
                <w:noProof/>
                <w:kern w:val="36"/>
              </w:rPr>
              <w:t>Mastering Plant Identification: A Comprehensive Guide to Botanical Taxonomy, Morphology, and Field Diagnostics</w:t>
            </w:r>
            <w:r>
              <w:rPr>
                <w:noProof/>
                <w:webHidden/>
              </w:rPr>
              <w:tab/>
            </w:r>
            <w:r>
              <w:rPr>
                <w:noProof/>
                <w:webHidden/>
              </w:rPr>
              <w:fldChar w:fldCharType="begin"/>
            </w:r>
            <w:r>
              <w:rPr>
                <w:noProof/>
                <w:webHidden/>
              </w:rPr>
              <w:instrText xml:space="preserve"> PAGEREF _Toc225518591 \h </w:instrText>
            </w:r>
            <w:r>
              <w:rPr>
                <w:noProof/>
                <w:webHidden/>
              </w:rPr>
            </w:r>
            <w:r>
              <w:rPr>
                <w:noProof/>
                <w:webHidden/>
              </w:rPr>
              <w:fldChar w:fldCharType="separate"/>
            </w:r>
            <w:r>
              <w:rPr>
                <w:noProof/>
                <w:webHidden/>
              </w:rPr>
              <w:t>3</w:t>
            </w:r>
            <w:r>
              <w:rPr>
                <w:noProof/>
                <w:webHidden/>
              </w:rPr>
              <w:fldChar w:fldCharType="end"/>
            </w:r>
          </w:hyperlink>
        </w:p>
        <w:p w14:paraId="13E81F76" w14:textId="083E57B2" w:rsidR="00E159F5" w:rsidRDefault="00E159F5">
          <w:pPr>
            <w:pStyle w:val="TOC2"/>
            <w:tabs>
              <w:tab w:val="right" w:leader="dot" w:pos="9350"/>
            </w:tabs>
            <w:rPr>
              <w:noProof/>
            </w:rPr>
          </w:pPr>
          <w:hyperlink w:anchor="_Toc225518592" w:history="1">
            <w:r w:rsidRPr="003021A9">
              <w:rPr>
                <w:rStyle w:val="Hyperlink"/>
                <w:rFonts w:ascii="Times New Roman" w:eastAsia="Times New Roman" w:hAnsi="Times New Roman" w:cs="Times New Roman"/>
                <w:b/>
                <w:bCs/>
                <w:noProof/>
              </w:rPr>
              <w:t>1. Foundations of Botanical Taxonomy and Nomenclature</w:t>
            </w:r>
            <w:r>
              <w:rPr>
                <w:noProof/>
                <w:webHidden/>
              </w:rPr>
              <w:tab/>
            </w:r>
            <w:r>
              <w:rPr>
                <w:noProof/>
                <w:webHidden/>
              </w:rPr>
              <w:fldChar w:fldCharType="begin"/>
            </w:r>
            <w:r>
              <w:rPr>
                <w:noProof/>
                <w:webHidden/>
              </w:rPr>
              <w:instrText xml:space="preserve"> PAGEREF _Toc225518592 \h </w:instrText>
            </w:r>
            <w:r>
              <w:rPr>
                <w:noProof/>
                <w:webHidden/>
              </w:rPr>
            </w:r>
            <w:r>
              <w:rPr>
                <w:noProof/>
                <w:webHidden/>
              </w:rPr>
              <w:fldChar w:fldCharType="separate"/>
            </w:r>
            <w:r>
              <w:rPr>
                <w:noProof/>
                <w:webHidden/>
              </w:rPr>
              <w:t>3</w:t>
            </w:r>
            <w:r>
              <w:rPr>
                <w:noProof/>
                <w:webHidden/>
              </w:rPr>
              <w:fldChar w:fldCharType="end"/>
            </w:r>
          </w:hyperlink>
        </w:p>
        <w:p w14:paraId="4B0BB1C8" w14:textId="38F883D0" w:rsidR="00E159F5" w:rsidRDefault="00E159F5">
          <w:pPr>
            <w:pStyle w:val="TOC3"/>
            <w:tabs>
              <w:tab w:val="right" w:leader="dot" w:pos="9350"/>
            </w:tabs>
            <w:rPr>
              <w:noProof/>
            </w:rPr>
          </w:pPr>
          <w:hyperlink w:anchor="_Toc225518593" w:history="1">
            <w:r w:rsidRPr="003021A9">
              <w:rPr>
                <w:rStyle w:val="Hyperlink"/>
                <w:rFonts w:ascii="Times New Roman" w:eastAsia="Times New Roman" w:hAnsi="Times New Roman" w:cs="Times New Roman"/>
                <w:b/>
                <w:bCs/>
                <w:noProof/>
              </w:rPr>
              <w:t>1.1 The History and Mechanics of Binomial Nomenclature</w:t>
            </w:r>
            <w:r>
              <w:rPr>
                <w:noProof/>
                <w:webHidden/>
              </w:rPr>
              <w:tab/>
            </w:r>
            <w:r>
              <w:rPr>
                <w:noProof/>
                <w:webHidden/>
              </w:rPr>
              <w:fldChar w:fldCharType="begin"/>
            </w:r>
            <w:r>
              <w:rPr>
                <w:noProof/>
                <w:webHidden/>
              </w:rPr>
              <w:instrText xml:space="preserve"> PAGEREF _Toc225518593 \h </w:instrText>
            </w:r>
            <w:r>
              <w:rPr>
                <w:noProof/>
                <w:webHidden/>
              </w:rPr>
            </w:r>
            <w:r>
              <w:rPr>
                <w:noProof/>
                <w:webHidden/>
              </w:rPr>
              <w:fldChar w:fldCharType="separate"/>
            </w:r>
            <w:r>
              <w:rPr>
                <w:noProof/>
                <w:webHidden/>
              </w:rPr>
              <w:t>3</w:t>
            </w:r>
            <w:r>
              <w:rPr>
                <w:noProof/>
                <w:webHidden/>
              </w:rPr>
              <w:fldChar w:fldCharType="end"/>
            </w:r>
          </w:hyperlink>
        </w:p>
        <w:p w14:paraId="1AB01D2D" w14:textId="7018F658" w:rsidR="00E159F5" w:rsidRDefault="00E159F5">
          <w:pPr>
            <w:pStyle w:val="TOC3"/>
            <w:tabs>
              <w:tab w:val="right" w:leader="dot" w:pos="9350"/>
            </w:tabs>
            <w:rPr>
              <w:noProof/>
            </w:rPr>
          </w:pPr>
          <w:hyperlink w:anchor="_Toc225518594" w:history="1">
            <w:r w:rsidRPr="003021A9">
              <w:rPr>
                <w:rStyle w:val="Hyperlink"/>
                <w:rFonts w:ascii="Times New Roman" w:eastAsia="Times New Roman" w:hAnsi="Times New Roman" w:cs="Times New Roman"/>
                <w:b/>
                <w:bCs/>
                <w:noProof/>
              </w:rPr>
              <w:t>1.2 The Hierarchical Classification System</w:t>
            </w:r>
            <w:r>
              <w:rPr>
                <w:noProof/>
                <w:webHidden/>
              </w:rPr>
              <w:tab/>
            </w:r>
            <w:r>
              <w:rPr>
                <w:noProof/>
                <w:webHidden/>
              </w:rPr>
              <w:fldChar w:fldCharType="begin"/>
            </w:r>
            <w:r>
              <w:rPr>
                <w:noProof/>
                <w:webHidden/>
              </w:rPr>
              <w:instrText xml:space="preserve"> PAGEREF _Toc225518594 \h </w:instrText>
            </w:r>
            <w:r>
              <w:rPr>
                <w:noProof/>
                <w:webHidden/>
              </w:rPr>
            </w:r>
            <w:r>
              <w:rPr>
                <w:noProof/>
                <w:webHidden/>
              </w:rPr>
              <w:fldChar w:fldCharType="separate"/>
            </w:r>
            <w:r>
              <w:rPr>
                <w:noProof/>
                <w:webHidden/>
              </w:rPr>
              <w:t>4</w:t>
            </w:r>
            <w:r>
              <w:rPr>
                <w:noProof/>
                <w:webHidden/>
              </w:rPr>
              <w:fldChar w:fldCharType="end"/>
            </w:r>
          </w:hyperlink>
        </w:p>
        <w:p w14:paraId="715C00D1" w14:textId="4DA6D114" w:rsidR="00E159F5" w:rsidRDefault="00E159F5">
          <w:pPr>
            <w:pStyle w:val="TOC2"/>
            <w:tabs>
              <w:tab w:val="right" w:leader="dot" w:pos="9350"/>
            </w:tabs>
            <w:rPr>
              <w:noProof/>
            </w:rPr>
          </w:pPr>
          <w:hyperlink w:anchor="_Toc225518595" w:history="1">
            <w:r w:rsidRPr="003021A9">
              <w:rPr>
                <w:rStyle w:val="Hyperlink"/>
                <w:rFonts w:ascii="Times New Roman" w:eastAsia="Times New Roman" w:hAnsi="Times New Roman" w:cs="Times New Roman"/>
                <w:b/>
                <w:bCs/>
                <w:noProof/>
              </w:rPr>
              <w:t>2. Vegetative Morphology: The Architecture of Roots, Stems, and Leaves</w:t>
            </w:r>
            <w:r>
              <w:rPr>
                <w:noProof/>
                <w:webHidden/>
              </w:rPr>
              <w:tab/>
            </w:r>
            <w:r>
              <w:rPr>
                <w:noProof/>
                <w:webHidden/>
              </w:rPr>
              <w:fldChar w:fldCharType="begin"/>
            </w:r>
            <w:r>
              <w:rPr>
                <w:noProof/>
                <w:webHidden/>
              </w:rPr>
              <w:instrText xml:space="preserve"> PAGEREF _Toc225518595 \h </w:instrText>
            </w:r>
            <w:r>
              <w:rPr>
                <w:noProof/>
                <w:webHidden/>
              </w:rPr>
            </w:r>
            <w:r>
              <w:rPr>
                <w:noProof/>
                <w:webHidden/>
              </w:rPr>
              <w:fldChar w:fldCharType="separate"/>
            </w:r>
            <w:r>
              <w:rPr>
                <w:noProof/>
                <w:webHidden/>
              </w:rPr>
              <w:t>5</w:t>
            </w:r>
            <w:r>
              <w:rPr>
                <w:noProof/>
                <w:webHidden/>
              </w:rPr>
              <w:fldChar w:fldCharType="end"/>
            </w:r>
          </w:hyperlink>
        </w:p>
        <w:p w14:paraId="719837FA" w14:textId="5AEAD8FC" w:rsidR="00E159F5" w:rsidRDefault="00E159F5">
          <w:pPr>
            <w:pStyle w:val="TOC3"/>
            <w:tabs>
              <w:tab w:val="right" w:leader="dot" w:pos="9350"/>
            </w:tabs>
            <w:rPr>
              <w:noProof/>
            </w:rPr>
          </w:pPr>
          <w:hyperlink w:anchor="_Toc225518596" w:history="1">
            <w:r w:rsidRPr="003021A9">
              <w:rPr>
                <w:rStyle w:val="Hyperlink"/>
                <w:rFonts w:ascii="Times New Roman" w:eastAsia="Times New Roman" w:hAnsi="Times New Roman" w:cs="Times New Roman"/>
                <w:b/>
                <w:bCs/>
                <w:noProof/>
              </w:rPr>
              <w:t>2.1 Root Systems and Subterranean Structures</w:t>
            </w:r>
            <w:r>
              <w:rPr>
                <w:noProof/>
                <w:webHidden/>
              </w:rPr>
              <w:tab/>
            </w:r>
            <w:r>
              <w:rPr>
                <w:noProof/>
                <w:webHidden/>
              </w:rPr>
              <w:fldChar w:fldCharType="begin"/>
            </w:r>
            <w:r>
              <w:rPr>
                <w:noProof/>
                <w:webHidden/>
              </w:rPr>
              <w:instrText xml:space="preserve"> PAGEREF _Toc225518596 \h </w:instrText>
            </w:r>
            <w:r>
              <w:rPr>
                <w:noProof/>
                <w:webHidden/>
              </w:rPr>
            </w:r>
            <w:r>
              <w:rPr>
                <w:noProof/>
                <w:webHidden/>
              </w:rPr>
              <w:fldChar w:fldCharType="separate"/>
            </w:r>
            <w:r>
              <w:rPr>
                <w:noProof/>
                <w:webHidden/>
              </w:rPr>
              <w:t>5</w:t>
            </w:r>
            <w:r>
              <w:rPr>
                <w:noProof/>
                <w:webHidden/>
              </w:rPr>
              <w:fldChar w:fldCharType="end"/>
            </w:r>
          </w:hyperlink>
        </w:p>
        <w:p w14:paraId="77A85AF1" w14:textId="6F42FF1F" w:rsidR="00E159F5" w:rsidRDefault="00E159F5">
          <w:pPr>
            <w:pStyle w:val="TOC3"/>
            <w:tabs>
              <w:tab w:val="right" w:leader="dot" w:pos="9350"/>
            </w:tabs>
            <w:rPr>
              <w:noProof/>
            </w:rPr>
          </w:pPr>
          <w:hyperlink w:anchor="_Toc225518597" w:history="1">
            <w:r w:rsidRPr="003021A9">
              <w:rPr>
                <w:rStyle w:val="Hyperlink"/>
                <w:rFonts w:ascii="Times New Roman" w:eastAsia="Times New Roman" w:hAnsi="Times New Roman" w:cs="Times New Roman"/>
                <w:b/>
                <w:bCs/>
                <w:noProof/>
              </w:rPr>
              <w:t>2.2 Stem Architecture and Plant Habit</w:t>
            </w:r>
            <w:r>
              <w:rPr>
                <w:noProof/>
                <w:webHidden/>
              </w:rPr>
              <w:tab/>
            </w:r>
            <w:r>
              <w:rPr>
                <w:noProof/>
                <w:webHidden/>
              </w:rPr>
              <w:fldChar w:fldCharType="begin"/>
            </w:r>
            <w:r>
              <w:rPr>
                <w:noProof/>
                <w:webHidden/>
              </w:rPr>
              <w:instrText xml:space="preserve"> PAGEREF _Toc225518597 \h </w:instrText>
            </w:r>
            <w:r>
              <w:rPr>
                <w:noProof/>
                <w:webHidden/>
              </w:rPr>
            </w:r>
            <w:r>
              <w:rPr>
                <w:noProof/>
                <w:webHidden/>
              </w:rPr>
              <w:fldChar w:fldCharType="separate"/>
            </w:r>
            <w:r>
              <w:rPr>
                <w:noProof/>
                <w:webHidden/>
              </w:rPr>
              <w:t>6</w:t>
            </w:r>
            <w:r>
              <w:rPr>
                <w:noProof/>
                <w:webHidden/>
              </w:rPr>
              <w:fldChar w:fldCharType="end"/>
            </w:r>
          </w:hyperlink>
        </w:p>
        <w:p w14:paraId="10B5C9C3" w14:textId="1F0E6F92" w:rsidR="00E159F5" w:rsidRDefault="00E159F5">
          <w:pPr>
            <w:pStyle w:val="TOC3"/>
            <w:tabs>
              <w:tab w:val="right" w:leader="dot" w:pos="9350"/>
            </w:tabs>
            <w:rPr>
              <w:noProof/>
            </w:rPr>
          </w:pPr>
          <w:hyperlink w:anchor="_Toc225518598" w:history="1">
            <w:r w:rsidRPr="003021A9">
              <w:rPr>
                <w:rStyle w:val="Hyperlink"/>
                <w:rFonts w:ascii="Times New Roman" w:eastAsia="Times New Roman" w:hAnsi="Times New Roman" w:cs="Times New Roman"/>
                <w:b/>
                <w:bCs/>
                <w:noProof/>
              </w:rPr>
              <w:t>2.3 Leaf Morphology: The Photosynthetic Engine</w:t>
            </w:r>
            <w:r>
              <w:rPr>
                <w:noProof/>
                <w:webHidden/>
              </w:rPr>
              <w:tab/>
            </w:r>
            <w:r>
              <w:rPr>
                <w:noProof/>
                <w:webHidden/>
              </w:rPr>
              <w:fldChar w:fldCharType="begin"/>
            </w:r>
            <w:r>
              <w:rPr>
                <w:noProof/>
                <w:webHidden/>
              </w:rPr>
              <w:instrText xml:space="preserve"> PAGEREF _Toc225518598 \h </w:instrText>
            </w:r>
            <w:r>
              <w:rPr>
                <w:noProof/>
                <w:webHidden/>
              </w:rPr>
            </w:r>
            <w:r>
              <w:rPr>
                <w:noProof/>
                <w:webHidden/>
              </w:rPr>
              <w:fldChar w:fldCharType="separate"/>
            </w:r>
            <w:r>
              <w:rPr>
                <w:noProof/>
                <w:webHidden/>
              </w:rPr>
              <w:t>6</w:t>
            </w:r>
            <w:r>
              <w:rPr>
                <w:noProof/>
                <w:webHidden/>
              </w:rPr>
              <w:fldChar w:fldCharType="end"/>
            </w:r>
          </w:hyperlink>
        </w:p>
        <w:p w14:paraId="2909FB35" w14:textId="7554F496" w:rsidR="00E159F5" w:rsidRDefault="00E159F5">
          <w:pPr>
            <w:pStyle w:val="TOC2"/>
            <w:tabs>
              <w:tab w:val="right" w:leader="dot" w:pos="9350"/>
            </w:tabs>
            <w:rPr>
              <w:noProof/>
            </w:rPr>
          </w:pPr>
          <w:hyperlink w:anchor="_Toc225518599" w:history="1">
            <w:r w:rsidRPr="003021A9">
              <w:rPr>
                <w:rStyle w:val="Hyperlink"/>
                <w:rFonts w:ascii="Times New Roman" w:eastAsia="Times New Roman" w:hAnsi="Times New Roman" w:cs="Times New Roman"/>
                <w:b/>
                <w:bCs/>
                <w:noProof/>
              </w:rPr>
              <w:t>3. Reproductive Morphology: Flowers, Fruits, and Inflorescences</w:t>
            </w:r>
            <w:r>
              <w:rPr>
                <w:noProof/>
                <w:webHidden/>
              </w:rPr>
              <w:tab/>
            </w:r>
            <w:r>
              <w:rPr>
                <w:noProof/>
                <w:webHidden/>
              </w:rPr>
              <w:fldChar w:fldCharType="begin"/>
            </w:r>
            <w:r>
              <w:rPr>
                <w:noProof/>
                <w:webHidden/>
              </w:rPr>
              <w:instrText xml:space="preserve"> PAGEREF _Toc225518599 \h </w:instrText>
            </w:r>
            <w:r>
              <w:rPr>
                <w:noProof/>
                <w:webHidden/>
              </w:rPr>
            </w:r>
            <w:r>
              <w:rPr>
                <w:noProof/>
                <w:webHidden/>
              </w:rPr>
              <w:fldChar w:fldCharType="separate"/>
            </w:r>
            <w:r>
              <w:rPr>
                <w:noProof/>
                <w:webHidden/>
              </w:rPr>
              <w:t>9</w:t>
            </w:r>
            <w:r>
              <w:rPr>
                <w:noProof/>
                <w:webHidden/>
              </w:rPr>
              <w:fldChar w:fldCharType="end"/>
            </w:r>
          </w:hyperlink>
        </w:p>
        <w:p w14:paraId="7EF6F106" w14:textId="1D15BA66" w:rsidR="00E159F5" w:rsidRDefault="00E159F5">
          <w:pPr>
            <w:pStyle w:val="TOC3"/>
            <w:tabs>
              <w:tab w:val="right" w:leader="dot" w:pos="9350"/>
            </w:tabs>
            <w:rPr>
              <w:noProof/>
            </w:rPr>
          </w:pPr>
          <w:hyperlink w:anchor="_Toc225518600" w:history="1">
            <w:r w:rsidRPr="003021A9">
              <w:rPr>
                <w:rStyle w:val="Hyperlink"/>
                <w:rFonts w:ascii="Times New Roman" w:eastAsia="Times New Roman" w:hAnsi="Times New Roman" w:cs="Times New Roman"/>
                <w:b/>
                <w:bCs/>
                <w:noProof/>
              </w:rPr>
              <w:t>3.1 Floral Anatomy and Symmetry</w:t>
            </w:r>
            <w:r>
              <w:rPr>
                <w:noProof/>
                <w:webHidden/>
              </w:rPr>
              <w:tab/>
            </w:r>
            <w:r>
              <w:rPr>
                <w:noProof/>
                <w:webHidden/>
              </w:rPr>
              <w:fldChar w:fldCharType="begin"/>
            </w:r>
            <w:r>
              <w:rPr>
                <w:noProof/>
                <w:webHidden/>
              </w:rPr>
              <w:instrText xml:space="preserve"> PAGEREF _Toc225518600 \h </w:instrText>
            </w:r>
            <w:r>
              <w:rPr>
                <w:noProof/>
                <w:webHidden/>
              </w:rPr>
            </w:r>
            <w:r>
              <w:rPr>
                <w:noProof/>
                <w:webHidden/>
              </w:rPr>
              <w:fldChar w:fldCharType="separate"/>
            </w:r>
            <w:r>
              <w:rPr>
                <w:noProof/>
                <w:webHidden/>
              </w:rPr>
              <w:t>9</w:t>
            </w:r>
            <w:r>
              <w:rPr>
                <w:noProof/>
                <w:webHidden/>
              </w:rPr>
              <w:fldChar w:fldCharType="end"/>
            </w:r>
          </w:hyperlink>
        </w:p>
        <w:p w14:paraId="62896C0A" w14:textId="44900C7F" w:rsidR="00E159F5" w:rsidRDefault="00E159F5">
          <w:pPr>
            <w:pStyle w:val="TOC3"/>
            <w:tabs>
              <w:tab w:val="right" w:leader="dot" w:pos="9350"/>
            </w:tabs>
            <w:rPr>
              <w:noProof/>
            </w:rPr>
          </w:pPr>
          <w:hyperlink w:anchor="_Toc225518601" w:history="1">
            <w:r w:rsidRPr="003021A9">
              <w:rPr>
                <w:rStyle w:val="Hyperlink"/>
                <w:rFonts w:ascii="Times New Roman" w:eastAsia="Times New Roman" w:hAnsi="Times New Roman" w:cs="Times New Roman"/>
                <w:b/>
                <w:bCs/>
                <w:noProof/>
              </w:rPr>
              <w:t>3.2 Fruit Classifications</w:t>
            </w:r>
            <w:r>
              <w:rPr>
                <w:noProof/>
                <w:webHidden/>
              </w:rPr>
              <w:tab/>
            </w:r>
            <w:r>
              <w:rPr>
                <w:noProof/>
                <w:webHidden/>
              </w:rPr>
              <w:fldChar w:fldCharType="begin"/>
            </w:r>
            <w:r>
              <w:rPr>
                <w:noProof/>
                <w:webHidden/>
              </w:rPr>
              <w:instrText xml:space="preserve"> PAGEREF _Toc225518601 \h </w:instrText>
            </w:r>
            <w:r>
              <w:rPr>
                <w:noProof/>
                <w:webHidden/>
              </w:rPr>
            </w:r>
            <w:r>
              <w:rPr>
                <w:noProof/>
                <w:webHidden/>
              </w:rPr>
              <w:fldChar w:fldCharType="separate"/>
            </w:r>
            <w:r>
              <w:rPr>
                <w:noProof/>
                <w:webHidden/>
              </w:rPr>
              <w:t>10</w:t>
            </w:r>
            <w:r>
              <w:rPr>
                <w:noProof/>
                <w:webHidden/>
              </w:rPr>
              <w:fldChar w:fldCharType="end"/>
            </w:r>
          </w:hyperlink>
        </w:p>
        <w:p w14:paraId="4D029506" w14:textId="548F8111" w:rsidR="00E159F5" w:rsidRDefault="00E159F5">
          <w:pPr>
            <w:pStyle w:val="TOC3"/>
            <w:tabs>
              <w:tab w:val="right" w:leader="dot" w:pos="9350"/>
            </w:tabs>
            <w:rPr>
              <w:noProof/>
            </w:rPr>
          </w:pPr>
          <w:hyperlink w:anchor="_Toc225518602" w:history="1">
            <w:r w:rsidRPr="003021A9">
              <w:rPr>
                <w:rStyle w:val="Hyperlink"/>
                <w:rFonts w:ascii="Times New Roman" w:eastAsia="Times New Roman" w:hAnsi="Times New Roman" w:cs="Times New Roman"/>
                <w:b/>
                <w:bCs/>
                <w:noProof/>
              </w:rPr>
              <w:t>3.3 Inflorescence Architecture</w:t>
            </w:r>
            <w:r>
              <w:rPr>
                <w:noProof/>
                <w:webHidden/>
              </w:rPr>
              <w:tab/>
            </w:r>
            <w:r>
              <w:rPr>
                <w:noProof/>
                <w:webHidden/>
              </w:rPr>
              <w:fldChar w:fldCharType="begin"/>
            </w:r>
            <w:r>
              <w:rPr>
                <w:noProof/>
                <w:webHidden/>
              </w:rPr>
              <w:instrText xml:space="preserve"> PAGEREF _Toc225518602 \h </w:instrText>
            </w:r>
            <w:r>
              <w:rPr>
                <w:noProof/>
                <w:webHidden/>
              </w:rPr>
            </w:r>
            <w:r>
              <w:rPr>
                <w:noProof/>
                <w:webHidden/>
              </w:rPr>
              <w:fldChar w:fldCharType="separate"/>
            </w:r>
            <w:r>
              <w:rPr>
                <w:noProof/>
                <w:webHidden/>
              </w:rPr>
              <w:t>11</w:t>
            </w:r>
            <w:r>
              <w:rPr>
                <w:noProof/>
                <w:webHidden/>
              </w:rPr>
              <w:fldChar w:fldCharType="end"/>
            </w:r>
          </w:hyperlink>
        </w:p>
        <w:p w14:paraId="771BD567" w14:textId="50AF8B3C" w:rsidR="00E159F5" w:rsidRDefault="00E159F5">
          <w:pPr>
            <w:pStyle w:val="TOC2"/>
            <w:tabs>
              <w:tab w:val="right" w:leader="dot" w:pos="9350"/>
            </w:tabs>
            <w:rPr>
              <w:noProof/>
            </w:rPr>
          </w:pPr>
          <w:hyperlink w:anchor="_Toc225518603" w:history="1">
            <w:r w:rsidRPr="003021A9">
              <w:rPr>
                <w:rStyle w:val="Hyperlink"/>
                <w:rFonts w:ascii="Times New Roman" w:eastAsia="Times New Roman" w:hAnsi="Times New Roman" w:cs="Times New Roman"/>
                <w:b/>
                <w:bCs/>
                <w:noProof/>
              </w:rPr>
              <w:t>4. Diagnostic Characteristics of Major Plant Families</w:t>
            </w:r>
            <w:r>
              <w:rPr>
                <w:noProof/>
                <w:webHidden/>
              </w:rPr>
              <w:tab/>
            </w:r>
            <w:r>
              <w:rPr>
                <w:noProof/>
                <w:webHidden/>
              </w:rPr>
              <w:fldChar w:fldCharType="begin"/>
            </w:r>
            <w:r>
              <w:rPr>
                <w:noProof/>
                <w:webHidden/>
              </w:rPr>
              <w:instrText xml:space="preserve"> PAGEREF _Toc225518603 \h </w:instrText>
            </w:r>
            <w:r>
              <w:rPr>
                <w:noProof/>
                <w:webHidden/>
              </w:rPr>
            </w:r>
            <w:r>
              <w:rPr>
                <w:noProof/>
                <w:webHidden/>
              </w:rPr>
              <w:fldChar w:fldCharType="separate"/>
            </w:r>
            <w:r>
              <w:rPr>
                <w:noProof/>
                <w:webHidden/>
              </w:rPr>
              <w:t>12</w:t>
            </w:r>
            <w:r>
              <w:rPr>
                <w:noProof/>
                <w:webHidden/>
              </w:rPr>
              <w:fldChar w:fldCharType="end"/>
            </w:r>
          </w:hyperlink>
        </w:p>
        <w:p w14:paraId="01D6C28A" w14:textId="584C1E91" w:rsidR="00E159F5" w:rsidRDefault="00E159F5">
          <w:pPr>
            <w:pStyle w:val="TOC3"/>
            <w:tabs>
              <w:tab w:val="right" w:leader="dot" w:pos="9350"/>
            </w:tabs>
            <w:rPr>
              <w:noProof/>
            </w:rPr>
          </w:pPr>
          <w:hyperlink w:anchor="_Toc225518604" w:history="1">
            <w:r w:rsidRPr="003021A9">
              <w:rPr>
                <w:rStyle w:val="Hyperlink"/>
                <w:rFonts w:ascii="Times New Roman" w:eastAsia="Times New Roman" w:hAnsi="Times New Roman" w:cs="Times New Roman"/>
                <w:b/>
                <w:bCs/>
                <w:noProof/>
              </w:rPr>
              <w:t>4.1 The "Big Eight" Widespread Plant Families</w:t>
            </w:r>
            <w:r>
              <w:rPr>
                <w:noProof/>
                <w:webHidden/>
              </w:rPr>
              <w:tab/>
            </w:r>
            <w:r>
              <w:rPr>
                <w:noProof/>
                <w:webHidden/>
              </w:rPr>
              <w:fldChar w:fldCharType="begin"/>
            </w:r>
            <w:r>
              <w:rPr>
                <w:noProof/>
                <w:webHidden/>
              </w:rPr>
              <w:instrText xml:space="preserve"> PAGEREF _Toc225518604 \h </w:instrText>
            </w:r>
            <w:r>
              <w:rPr>
                <w:noProof/>
                <w:webHidden/>
              </w:rPr>
            </w:r>
            <w:r>
              <w:rPr>
                <w:noProof/>
                <w:webHidden/>
              </w:rPr>
              <w:fldChar w:fldCharType="separate"/>
            </w:r>
            <w:r>
              <w:rPr>
                <w:noProof/>
                <w:webHidden/>
              </w:rPr>
              <w:t>12</w:t>
            </w:r>
            <w:r>
              <w:rPr>
                <w:noProof/>
                <w:webHidden/>
              </w:rPr>
              <w:fldChar w:fldCharType="end"/>
            </w:r>
          </w:hyperlink>
        </w:p>
        <w:p w14:paraId="26F1CDD3" w14:textId="02CB1206" w:rsidR="00E159F5" w:rsidRDefault="00E159F5">
          <w:pPr>
            <w:pStyle w:val="TOC3"/>
            <w:tabs>
              <w:tab w:val="right" w:leader="dot" w:pos="9350"/>
            </w:tabs>
            <w:rPr>
              <w:noProof/>
            </w:rPr>
          </w:pPr>
          <w:hyperlink w:anchor="_Toc225518605" w:history="1">
            <w:r w:rsidRPr="003021A9">
              <w:rPr>
                <w:rStyle w:val="Hyperlink"/>
                <w:rFonts w:ascii="Times New Roman" w:eastAsia="Times New Roman" w:hAnsi="Times New Roman" w:cs="Times New Roman"/>
                <w:b/>
                <w:bCs/>
                <w:noProof/>
              </w:rPr>
              <w:t>4.2 Other Notable Temperate and Tropical Families</w:t>
            </w:r>
            <w:r>
              <w:rPr>
                <w:noProof/>
                <w:webHidden/>
              </w:rPr>
              <w:tab/>
            </w:r>
            <w:r>
              <w:rPr>
                <w:noProof/>
                <w:webHidden/>
              </w:rPr>
              <w:fldChar w:fldCharType="begin"/>
            </w:r>
            <w:r>
              <w:rPr>
                <w:noProof/>
                <w:webHidden/>
              </w:rPr>
              <w:instrText xml:space="preserve"> PAGEREF _Toc225518605 \h </w:instrText>
            </w:r>
            <w:r>
              <w:rPr>
                <w:noProof/>
                <w:webHidden/>
              </w:rPr>
            </w:r>
            <w:r>
              <w:rPr>
                <w:noProof/>
                <w:webHidden/>
              </w:rPr>
              <w:fldChar w:fldCharType="separate"/>
            </w:r>
            <w:r>
              <w:rPr>
                <w:noProof/>
                <w:webHidden/>
              </w:rPr>
              <w:t>14</w:t>
            </w:r>
            <w:r>
              <w:rPr>
                <w:noProof/>
                <w:webHidden/>
              </w:rPr>
              <w:fldChar w:fldCharType="end"/>
            </w:r>
          </w:hyperlink>
        </w:p>
        <w:p w14:paraId="2571D925" w14:textId="7DE9C853" w:rsidR="00E159F5" w:rsidRDefault="00E159F5">
          <w:pPr>
            <w:pStyle w:val="TOC2"/>
            <w:tabs>
              <w:tab w:val="right" w:leader="dot" w:pos="9350"/>
            </w:tabs>
            <w:rPr>
              <w:noProof/>
            </w:rPr>
          </w:pPr>
          <w:hyperlink w:anchor="_Toc225518606" w:history="1">
            <w:r w:rsidRPr="003021A9">
              <w:rPr>
                <w:rStyle w:val="Hyperlink"/>
                <w:rFonts w:ascii="Times New Roman" w:eastAsia="Times New Roman" w:hAnsi="Times New Roman" w:cs="Times New Roman"/>
                <w:b/>
                <w:bCs/>
                <w:noProof/>
              </w:rPr>
              <w:t>5. Regional Endemism and Cultivation: The Philippine Context</w:t>
            </w:r>
            <w:r>
              <w:rPr>
                <w:noProof/>
                <w:webHidden/>
              </w:rPr>
              <w:tab/>
            </w:r>
            <w:r>
              <w:rPr>
                <w:noProof/>
                <w:webHidden/>
              </w:rPr>
              <w:fldChar w:fldCharType="begin"/>
            </w:r>
            <w:r>
              <w:rPr>
                <w:noProof/>
                <w:webHidden/>
              </w:rPr>
              <w:instrText xml:space="preserve"> PAGEREF _Toc225518606 \h </w:instrText>
            </w:r>
            <w:r>
              <w:rPr>
                <w:noProof/>
                <w:webHidden/>
              </w:rPr>
            </w:r>
            <w:r>
              <w:rPr>
                <w:noProof/>
                <w:webHidden/>
              </w:rPr>
              <w:fldChar w:fldCharType="separate"/>
            </w:r>
            <w:r>
              <w:rPr>
                <w:noProof/>
                <w:webHidden/>
              </w:rPr>
              <w:t>15</w:t>
            </w:r>
            <w:r>
              <w:rPr>
                <w:noProof/>
                <w:webHidden/>
              </w:rPr>
              <w:fldChar w:fldCharType="end"/>
            </w:r>
          </w:hyperlink>
        </w:p>
        <w:p w14:paraId="1BA4217B" w14:textId="678188FA" w:rsidR="00E159F5" w:rsidRDefault="00E159F5">
          <w:pPr>
            <w:pStyle w:val="TOC3"/>
            <w:tabs>
              <w:tab w:val="right" w:leader="dot" w:pos="9350"/>
            </w:tabs>
            <w:rPr>
              <w:noProof/>
            </w:rPr>
          </w:pPr>
          <w:hyperlink w:anchor="_Toc225518607" w:history="1">
            <w:r w:rsidRPr="003021A9">
              <w:rPr>
                <w:rStyle w:val="Hyperlink"/>
                <w:rFonts w:ascii="Times New Roman" w:eastAsia="Times New Roman" w:hAnsi="Times New Roman" w:cs="Times New Roman"/>
                <w:b/>
                <w:bCs/>
                <w:noProof/>
              </w:rPr>
              <w:t>5.1 Endemic and Threatened Flora</w:t>
            </w:r>
            <w:r>
              <w:rPr>
                <w:noProof/>
                <w:webHidden/>
              </w:rPr>
              <w:tab/>
            </w:r>
            <w:r>
              <w:rPr>
                <w:noProof/>
                <w:webHidden/>
              </w:rPr>
              <w:fldChar w:fldCharType="begin"/>
            </w:r>
            <w:r>
              <w:rPr>
                <w:noProof/>
                <w:webHidden/>
              </w:rPr>
              <w:instrText xml:space="preserve"> PAGEREF _Toc225518607 \h </w:instrText>
            </w:r>
            <w:r>
              <w:rPr>
                <w:noProof/>
                <w:webHidden/>
              </w:rPr>
            </w:r>
            <w:r>
              <w:rPr>
                <w:noProof/>
                <w:webHidden/>
              </w:rPr>
              <w:fldChar w:fldCharType="separate"/>
            </w:r>
            <w:r>
              <w:rPr>
                <w:noProof/>
                <w:webHidden/>
              </w:rPr>
              <w:t>15</w:t>
            </w:r>
            <w:r>
              <w:rPr>
                <w:noProof/>
                <w:webHidden/>
              </w:rPr>
              <w:fldChar w:fldCharType="end"/>
            </w:r>
          </w:hyperlink>
        </w:p>
        <w:p w14:paraId="02A538A4" w14:textId="576DE342" w:rsidR="00E159F5" w:rsidRDefault="00E159F5">
          <w:pPr>
            <w:pStyle w:val="TOC3"/>
            <w:tabs>
              <w:tab w:val="right" w:leader="dot" w:pos="9350"/>
            </w:tabs>
            <w:rPr>
              <w:noProof/>
            </w:rPr>
          </w:pPr>
          <w:hyperlink w:anchor="_Toc225518608" w:history="1">
            <w:r w:rsidRPr="003021A9">
              <w:rPr>
                <w:rStyle w:val="Hyperlink"/>
                <w:rFonts w:ascii="Times New Roman" w:eastAsia="Times New Roman" w:hAnsi="Times New Roman" w:cs="Times New Roman"/>
                <w:b/>
                <w:bCs/>
                <w:noProof/>
              </w:rPr>
              <w:t>5.2 Common Cultivated Species</w:t>
            </w:r>
            <w:r>
              <w:rPr>
                <w:noProof/>
                <w:webHidden/>
              </w:rPr>
              <w:tab/>
            </w:r>
            <w:r>
              <w:rPr>
                <w:noProof/>
                <w:webHidden/>
              </w:rPr>
              <w:fldChar w:fldCharType="begin"/>
            </w:r>
            <w:r>
              <w:rPr>
                <w:noProof/>
                <w:webHidden/>
              </w:rPr>
              <w:instrText xml:space="preserve"> PAGEREF _Toc225518608 \h </w:instrText>
            </w:r>
            <w:r>
              <w:rPr>
                <w:noProof/>
                <w:webHidden/>
              </w:rPr>
            </w:r>
            <w:r>
              <w:rPr>
                <w:noProof/>
                <w:webHidden/>
              </w:rPr>
              <w:fldChar w:fldCharType="separate"/>
            </w:r>
            <w:r>
              <w:rPr>
                <w:noProof/>
                <w:webHidden/>
              </w:rPr>
              <w:t>16</w:t>
            </w:r>
            <w:r>
              <w:rPr>
                <w:noProof/>
                <w:webHidden/>
              </w:rPr>
              <w:fldChar w:fldCharType="end"/>
            </w:r>
          </w:hyperlink>
        </w:p>
        <w:p w14:paraId="177A8D99" w14:textId="7532C968" w:rsidR="00E159F5" w:rsidRDefault="00E159F5">
          <w:pPr>
            <w:pStyle w:val="TOC2"/>
            <w:tabs>
              <w:tab w:val="right" w:leader="dot" w:pos="9350"/>
            </w:tabs>
            <w:rPr>
              <w:noProof/>
            </w:rPr>
          </w:pPr>
          <w:hyperlink w:anchor="_Toc225518609" w:history="1">
            <w:r w:rsidRPr="003021A9">
              <w:rPr>
                <w:rStyle w:val="Hyperlink"/>
                <w:rFonts w:ascii="Times New Roman" w:eastAsia="Times New Roman" w:hAnsi="Times New Roman" w:cs="Times New Roman"/>
                <w:b/>
                <w:bCs/>
                <w:noProof/>
              </w:rPr>
              <w:t>6. Analytical Frameworks: Navigating Dichotomous Keys</w:t>
            </w:r>
            <w:r>
              <w:rPr>
                <w:noProof/>
                <w:webHidden/>
              </w:rPr>
              <w:tab/>
            </w:r>
            <w:r>
              <w:rPr>
                <w:noProof/>
                <w:webHidden/>
              </w:rPr>
              <w:fldChar w:fldCharType="begin"/>
            </w:r>
            <w:r>
              <w:rPr>
                <w:noProof/>
                <w:webHidden/>
              </w:rPr>
              <w:instrText xml:space="preserve"> PAGEREF _Toc225518609 \h </w:instrText>
            </w:r>
            <w:r>
              <w:rPr>
                <w:noProof/>
                <w:webHidden/>
              </w:rPr>
            </w:r>
            <w:r>
              <w:rPr>
                <w:noProof/>
                <w:webHidden/>
              </w:rPr>
              <w:fldChar w:fldCharType="separate"/>
            </w:r>
            <w:r>
              <w:rPr>
                <w:noProof/>
                <w:webHidden/>
              </w:rPr>
              <w:t>16</w:t>
            </w:r>
            <w:r>
              <w:rPr>
                <w:noProof/>
                <w:webHidden/>
              </w:rPr>
              <w:fldChar w:fldCharType="end"/>
            </w:r>
          </w:hyperlink>
        </w:p>
        <w:p w14:paraId="5396EBE4" w14:textId="2A0C28EC" w:rsidR="00E159F5" w:rsidRDefault="00E159F5">
          <w:pPr>
            <w:pStyle w:val="TOC3"/>
            <w:tabs>
              <w:tab w:val="right" w:leader="dot" w:pos="9350"/>
            </w:tabs>
            <w:rPr>
              <w:noProof/>
            </w:rPr>
          </w:pPr>
          <w:hyperlink w:anchor="_Toc225518610" w:history="1">
            <w:r w:rsidRPr="003021A9">
              <w:rPr>
                <w:rStyle w:val="Hyperlink"/>
                <w:rFonts w:ascii="Times New Roman" w:eastAsia="Times New Roman" w:hAnsi="Times New Roman" w:cs="Times New Roman"/>
                <w:b/>
                <w:bCs/>
                <w:noProof/>
              </w:rPr>
              <w:t>6.1 Key Architecture</w:t>
            </w:r>
            <w:r>
              <w:rPr>
                <w:noProof/>
                <w:webHidden/>
              </w:rPr>
              <w:tab/>
            </w:r>
            <w:r>
              <w:rPr>
                <w:noProof/>
                <w:webHidden/>
              </w:rPr>
              <w:fldChar w:fldCharType="begin"/>
            </w:r>
            <w:r>
              <w:rPr>
                <w:noProof/>
                <w:webHidden/>
              </w:rPr>
              <w:instrText xml:space="preserve"> PAGEREF _Toc225518610 \h </w:instrText>
            </w:r>
            <w:r>
              <w:rPr>
                <w:noProof/>
                <w:webHidden/>
              </w:rPr>
            </w:r>
            <w:r>
              <w:rPr>
                <w:noProof/>
                <w:webHidden/>
              </w:rPr>
              <w:fldChar w:fldCharType="separate"/>
            </w:r>
            <w:r>
              <w:rPr>
                <w:noProof/>
                <w:webHidden/>
              </w:rPr>
              <w:t>16</w:t>
            </w:r>
            <w:r>
              <w:rPr>
                <w:noProof/>
                <w:webHidden/>
              </w:rPr>
              <w:fldChar w:fldCharType="end"/>
            </w:r>
          </w:hyperlink>
        </w:p>
        <w:p w14:paraId="5FE47B58" w14:textId="73B717B1" w:rsidR="00E159F5" w:rsidRDefault="00E159F5">
          <w:pPr>
            <w:pStyle w:val="TOC3"/>
            <w:tabs>
              <w:tab w:val="right" w:leader="dot" w:pos="9350"/>
            </w:tabs>
            <w:rPr>
              <w:noProof/>
            </w:rPr>
          </w:pPr>
          <w:hyperlink w:anchor="_Toc225518611" w:history="1">
            <w:r w:rsidRPr="003021A9">
              <w:rPr>
                <w:rStyle w:val="Hyperlink"/>
                <w:rFonts w:ascii="Times New Roman" w:eastAsia="Times New Roman" w:hAnsi="Times New Roman" w:cs="Times New Roman"/>
                <w:b/>
                <w:bCs/>
                <w:noProof/>
              </w:rPr>
              <w:t>6.2 Methodological Application and Walkthrough</w:t>
            </w:r>
            <w:r>
              <w:rPr>
                <w:noProof/>
                <w:webHidden/>
              </w:rPr>
              <w:tab/>
            </w:r>
            <w:r>
              <w:rPr>
                <w:noProof/>
                <w:webHidden/>
              </w:rPr>
              <w:fldChar w:fldCharType="begin"/>
            </w:r>
            <w:r>
              <w:rPr>
                <w:noProof/>
                <w:webHidden/>
              </w:rPr>
              <w:instrText xml:space="preserve"> PAGEREF _Toc225518611 \h </w:instrText>
            </w:r>
            <w:r>
              <w:rPr>
                <w:noProof/>
                <w:webHidden/>
              </w:rPr>
            </w:r>
            <w:r>
              <w:rPr>
                <w:noProof/>
                <w:webHidden/>
              </w:rPr>
              <w:fldChar w:fldCharType="separate"/>
            </w:r>
            <w:r>
              <w:rPr>
                <w:noProof/>
                <w:webHidden/>
              </w:rPr>
              <w:t>16</w:t>
            </w:r>
            <w:r>
              <w:rPr>
                <w:noProof/>
                <w:webHidden/>
              </w:rPr>
              <w:fldChar w:fldCharType="end"/>
            </w:r>
          </w:hyperlink>
        </w:p>
        <w:p w14:paraId="5B5CBFED" w14:textId="034A6400" w:rsidR="00E159F5" w:rsidRDefault="00E159F5">
          <w:pPr>
            <w:pStyle w:val="TOC2"/>
            <w:tabs>
              <w:tab w:val="right" w:leader="dot" w:pos="9350"/>
            </w:tabs>
            <w:rPr>
              <w:noProof/>
            </w:rPr>
          </w:pPr>
          <w:hyperlink w:anchor="_Toc225518612" w:history="1">
            <w:r w:rsidRPr="003021A9">
              <w:rPr>
                <w:rStyle w:val="Hyperlink"/>
                <w:rFonts w:ascii="Times New Roman" w:eastAsia="Times New Roman" w:hAnsi="Times New Roman" w:cs="Times New Roman"/>
                <w:b/>
                <w:bCs/>
                <w:noProof/>
              </w:rPr>
              <w:t>7. Field Equipment: Magnification and Diagnostic Photography</w:t>
            </w:r>
            <w:r>
              <w:rPr>
                <w:noProof/>
                <w:webHidden/>
              </w:rPr>
              <w:tab/>
            </w:r>
            <w:r>
              <w:rPr>
                <w:noProof/>
                <w:webHidden/>
              </w:rPr>
              <w:fldChar w:fldCharType="begin"/>
            </w:r>
            <w:r>
              <w:rPr>
                <w:noProof/>
                <w:webHidden/>
              </w:rPr>
              <w:instrText xml:space="preserve"> PAGEREF _Toc225518612 \h </w:instrText>
            </w:r>
            <w:r>
              <w:rPr>
                <w:noProof/>
                <w:webHidden/>
              </w:rPr>
            </w:r>
            <w:r>
              <w:rPr>
                <w:noProof/>
                <w:webHidden/>
              </w:rPr>
              <w:fldChar w:fldCharType="separate"/>
            </w:r>
            <w:r>
              <w:rPr>
                <w:noProof/>
                <w:webHidden/>
              </w:rPr>
              <w:t>17</w:t>
            </w:r>
            <w:r>
              <w:rPr>
                <w:noProof/>
                <w:webHidden/>
              </w:rPr>
              <w:fldChar w:fldCharType="end"/>
            </w:r>
          </w:hyperlink>
        </w:p>
        <w:p w14:paraId="103BC297" w14:textId="6E42C83A" w:rsidR="00E159F5" w:rsidRDefault="00E159F5">
          <w:pPr>
            <w:pStyle w:val="TOC3"/>
            <w:tabs>
              <w:tab w:val="right" w:leader="dot" w:pos="9350"/>
            </w:tabs>
            <w:rPr>
              <w:noProof/>
            </w:rPr>
          </w:pPr>
          <w:hyperlink w:anchor="_Toc225518613" w:history="1">
            <w:r w:rsidRPr="003021A9">
              <w:rPr>
                <w:rStyle w:val="Hyperlink"/>
                <w:rFonts w:ascii="Times New Roman" w:eastAsia="Times New Roman" w:hAnsi="Times New Roman" w:cs="Times New Roman"/>
                <w:b/>
                <w:bCs/>
                <w:noProof/>
              </w:rPr>
              <w:t>7.1 The Botanical Hand Lens (Loupe)</w:t>
            </w:r>
            <w:r>
              <w:rPr>
                <w:noProof/>
                <w:webHidden/>
              </w:rPr>
              <w:tab/>
            </w:r>
            <w:r>
              <w:rPr>
                <w:noProof/>
                <w:webHidden/>
              </w:rPr>
              <w:fldChar w:fldCharType="begin"/>
            </w:r>
            <w:r>
              <w:rPr>
                <w:noProof/>
                <w:webHidden/>
              </w:rPr>
              <w:instrText xml:space="preserve"> PAGEREF _Toc225518613 \h </w:instrText>
            </w:r>
            <w:r>
              <w:rPr>
                <w:noProof/>
                <w:webHidden/>
              </w:rPr>
            </w:r>
            <w:r>
              <w:rPr>
                <w:noProof/>
                <w:webHidden/>
              </w:rPr>
              <w:fldChar w:fldCharType="separate"/>
            </w:r>
            <w:r>
              <w:rPr>
                <w:noProof/>
                <w:webHidden/>
              </w:rPr>
              <w:t>17</w:t>
            </w:r>
            <w:r>
              <w:rPr>
                <w:noProof/>
                <w:webHidden/>
              </w:rPr>
              <w:fldChar w:fldCharType="end"/>
            </w:r>
          </w:hyperlink>
        </w:p>
        <w:p w14:paraId="5FA4C603" w14:textId="3E285449" w:rsidR="00E159F5" w:rsidRDefault="00E159F5">
          <w:pPr>
            <w:pStyle w:val="TOC3"/>
            <w:tabs>
              <w:tab w:val="right" w:leader="dot" w:pos="9350"/>
            </w:tabs>
            <w:rPr>
              <w:noProof/>
            </w:rPr>
          </w:pPr>
          <w:hyperlink w:anchor="_Toc225518614" w:history="1">
            <w:r w:rsidRPr="003021A9">
              <w:rPr>
                <w:rStyle w:val="Hyperlink"/>
                <w:rFonts w:ascii="Times New Roman" w:eastAsia="Times New Roman" w:hAnsi="Times New Roman" w:cs="Times New Roman"/>
                <w:b/>
                <w:bCs/>
                <w:noProof/>
              </w:rPr>
              <w:t>7.2 Diagnostic Photography</w:t>
            </w:r>
            <w:r>
              <w:rPr>
                <w:noProof/>
                <w:webHidden/>
              </w:rPr>
              <w:tab/>
            </w:r>
            <w:r>
              <w:rPr>
                <w:noProof/>
                <w:webHidden/>
              </w:rPr>
              <w:fldChar w:fldCharType="begin"/>
            </w:r>
            <w:r>
              <w:rPr>
                <w:noProof/>
                <w:webHidden/>
              </w:rPr>
              <w:instrText xml:space="preserve"> PAGEREF _Toc225518614 \h </w:instrText>
            </w:r>
            <w:r>
              <w:rPr>
                <w:noProof/>
                <w:webHidden/>
              </w:rPr>
            </w:r>
            <w:r>
              <w:rPr>
                <w:noProof/>
                <w:webHidden/>
              </w:rPr>
              <w:fldChar w:fldCharType="separate"/>
            </w:r>
            <w:r>
              <w:rPr>
                <w:noProof/>
                <w:webHidden/>
              </w:rPr>
              <w:t>18</w:t>
            </w:r>
            <w:r>
              <w:rPr>
                <w:noProof/>
                <w:webHidden/>
              </w:rPr>
              <w:fldChar w:fldCharType="end"/>
            </w:r>
          </w:hyperlink>
        </w:p>
        <w:p w14:paraId="4F4D52E8" w14:textId="3B29886E" w:rsidR="00E159F5" w:rsidRDefault="00E159F5">
          <w:pPr>
            <w:pStyle w:val="TOC2"/>
            <w:tabs>
              <w:tab w:val="right" w:leader="dot" w:pos="9350"/>
            </w:tabs>
            <w:rPr>
              <w:noProof/>
            </w:rPr>
          </w:pPr>
          <w:hyperlink w:anchor="_Toc225518615" w:history="1">
            <w:r w:rsidRPr="003021A9">
              <w:rPr>
                <w:rStyle w:val="Hyperlink"/>
                <w:rFonts w:ascii="Times New Roman" w:eastAsia="Times New Roman" w:hAnsi="Times New Roman" w:cs="Times New Roman"/>
                <w:b/>
                <w:bCs/>
                <w:noProof/>
              </w:rPr>
              <w:t>8. Specimen Preservation and Herbarium Curation</w:t>
            </w:r>
            <w:r>
              <w:rPr>
                <w:noProof/>
                <w:webHidden/>
              </w:rPr>
              <w:tab/>
            </w:r>
            <w:r>
              <w:rPr>
                <w:noProof/>
                <w:webHidden/>
              </w:rPr>
              <w:fldChar w:fldCharType="begin"/>
            </w:r>
            <w:r>
              <w:rPr>
                <w:noProof/>
                <w:webHidden/>
              </w:rPr>
              <w:instrText xml:space="preserve"> PAGEREF _Toc225518615 \h </w:instrText>
            </w:r>
            <w:r>
              <w:rPr>
                <w:noProof/>
                <w:webHidden/>
              </w:rPr>
            </w:r>
            <w:r>
              <w:rPr>
                <w:noProof/>
                <w:webHidden/>
              </w:rPr>
              <w:fldChar w:fldCharType="separate"/>
            </w:r>
            <w:r>
              <w:rPr>
                <w:noProof/>
                <w:webHidden/>
              </w:rPr>
              <w:t>18</w:t>
            </w:r>
            <w:r>
              <w:rPr>
                <w:noProof/>
                <w:webHidden/>
              </w:rPr>
              <w:fldChar w:fldCharType="end"/>
            </w:r>
          </w:hyperlink>
        </w:p>
        <w:p w14:paraId="647264BF" w14:textId="6341A0FB" w:rsidR="00E159F5" w:rsidRDefault="00E159F5">
          <w:pPr>
            <w:pStyle w:val="TOC3"/>
            <w:tabs>
              <w:tab w:val="right" w:leader="dot" w:pos="9350"/>
            </w:tabs>
            <w:rPr>
              <w:noProof/>
            </w:rPr>
          </w:pPr>
          <w:hyperlink w:anchor="_Toc225518616" w:history="1">
            <w:r w:rsidRPr="003021A9">
              <w:rPr>
                <w:rStyle w:val="Hyperlink"/>
                <w:rFonts w:ascii="Times New Roman" w:eastAsia="Times New Roman" w:hAnsi="Times New Roman" w:cs="Times New Roman"/>
                <w:b/>
                <w:bCs/>
                <w:noProof/>
              </w:rPr>
              <w:t>8.1 Field Collection Protocols</w:t>
            </w:r>
            <w:r>
              <w:rPr>
                <w:noProof/>
                <w:webHidden/>
              </w:rPr>
              <w:tab/>
            </w:r>
            <w:r>
              <w:rPr>
                <w:noProof/>
                <w:webHidden/>
              </w:rPr>
              <w:fldChar w:fldCharType="begin"/>
            </w:r>
            <w:r>
              <w:rPr>
                <w:noProof/>
                <w:webHidden/>
              </w:rPr>
              <w:instrText xml:space="preserve"> PAGEREF _Toc225518616 \h </w:instrText>
            </w:r>
            <w:r>
              <w:rPr>
                <w:noProof/>
                <w:webHidden/>
              </w:rPr>
            </w:r>
            <w:r>
              <w:rPr>
                <w:noProof/>
                <w:webHidden/>
              </w:rPr>
              <w:fldChar w:fldCharType="separate"/>
            </w:r>
            <w:r>
              <w:rPr>
                <w:noProof/>
                <w:webHidden/>
              </w:rPr>
              <w:t>18</w:t>
            </w:r>
            <w:r>
              <w:rPr>
                <w:noProof/>
                <w:webHidden/>
              </w:rPr>
              <w:fldChar w:fldCharType="end"/>
            </w:r>
          </w:hyperlink>
        </w:p>
        <w:p w14:paraId="138FE4C2" w14:textId="3E7992E9" w:rsidR="00E159F5" w:rsidRDefault="00E159F5">
          <w:pPr>
            <w:pStyle w:val="TOC3"/>
            <w:tabs>
              <w:tab w:val="right" w:leader="dot" w:pos="9350"/>
            </w:tabs>
            <w:rPr>
              <w:noProof/>
            </w:rPr>
          </w:pPr>
          <w:hyperlink w:anchor="_Toc225518617" w:history="1">
            <w:r w:rsidRPr="003021A9">
              <w:rPr>
                <w:rStyle w:val="Hyperlink"/>
                <w:rFonts w:ascii="Times New Roman" w:eastAsia="Times New Roman" w:hAnsi="Times New Roman" w:cs="Times New Roman"/>
                <w:b/>
                <w:bCs/>
                <w:noProof/>
              </w:rPr>
              <w:t>8.2 Pressing and Preservation Mechanics</w:t>
            </w:r>
            <w:r>
              <w:rPr>
                <w:noProof/>
                <w:webHidden/>
              </w:rPr>
              <w:tab/>
            </w:r>
            <w:r>
              <w:rPr>
                <w:noProof/>
                <w:webHidden/>
              </w:rPr>
              <w:fldChar w:fldCharType="begin"/>
            </w:r>
            <w:r>
              <w:rPr>
                <w:noProof/>
                <w:webHidden/>
              </w:rPr>
              <w:instrText xml:space="preserve"> PAGEREF _Toc225518617 \h </w:instrText>
            </w:r>
            <w:r>
              <w:rPr>
                <w:noProof/>
                <w:webHidden/>
              </w:rPr>
            </w:r>
            <w:r>
              <w:rPr>
                <w:noProof/>
                <w:webHidden/>
              </w:rPr>
              <w:fldChar w:fldCharType="separate"/>
            </w:r>
            <w:r>
              <w:rPr>
                <w:noProof/>
                <w:webHidden/>
              </w:rPr>
              <w:t>19</w:t>
            </w:r>
            <w:r>
              <w:rPr>
                <w:noProof/>
                <w:webHidden/>
              </w:rPr>
              <w:fldChar w:fldCharType="end"/>
            </w:r>
          </w:hyperlink>
        </w:p>
        <w:p w14:paraId="12479323" w14:textId="4BAD40CD" w:rsidR="00E159F5" w:rsidRDefault="00E159F5">
          <w:pPr>
            <w:pStyle w:val="TOC2"/>
            <w:tabs>
              <w:tab w:val="right" w:leader="dot" w:pos="9350"/>
            </w:tabs>
            <w:rPr>
              <w:noProof/>
            </w:rPr>
          </w:pPr>
          <w:hyperlink w:anchor="_Toc225518618" w:history="1">
            <w:r w:rsidRPr="003021A9">
              <w:rPr>
                <w:rStyle w:val="Hyperlink"/>
                <w:rFonts w:ascii="Times New Roman" w:eastAsia="Times New Roman" w:hAnsi="Times New Roman" w:cs="Times New Roman"/>
                <w:b/>
                <w:bCs/>
                <w:noProof/>
              </w:rPr>
              <w:t>9. Cybertaxonomy and Digital Identification Tools</w:t>
            </w:r>
            <w:r>
              <w:rPr>
                <w:noProof/>
                <w:webHidden/>
              </w:rPr>
              <w:tab/>
            </w:r>
            <w:r>
              <w:rPr>
                <w:noProof/>
                <w:webHidden/>
              </w:rPr>
              <w:fldChar w:fldCharType="begin"/>
            </w:r>
            <w:r>
              <w:rPr>
                <w:noProof/>
                <w:webHidden/>
              </w:rPr>
              <w:instrText xml:space="preserve"> PAGEREF _Toc225518618 \h </w:instrText>
            </w:r>
            <w:r>
              <w:rPr>
                <w:noProof/>
                <w:webHidden/>
              </w:rPr>
            </w:r>
            <w:r>
              <w:rPr>
                <w:noProof/>
                <w:webHidden/>
              </w:rPr>
              <w:fldChar w:fldCharType="separate"/>
            </w:r>
            <w:r>
              <w:rPr>
                <w:noProof/>
                <w:webHidden/>
              </w:rPr>
              <w:t>19</w:t>
            </w:r>
            <w:r>
              <w:rPr>
                <w:noProof/>
                <w:webHidden/>
              </w:rPr>
              <w:fldChar w:fldCharType="end"/>
            </w:r>
          </w:hyperlink>
        </w:p>
        <w:p w14:paraId="5EE46314" w14:textId="04A3BB74" w:rsidR="00E159F5" w:rsidRDefault="00E159F5">
          <w:pPr>
            <w:pStyle w:val="TOC3"/>
            <w:tabs>
              <w:tab w:val="right" w:leader="dot" w:pos="9350"/>
            </w:tabs>
            <w:rPr>
              <w:noProof/>
            </w:rPr>
          </w:pPr>
          <w:hyperlink w:anchor="_Toc225518619" w:history="1">
            <w:r w:rsidRPr="003021A9">
              <w:rPr>
                <w:rStyle w:val="Hyperlink"/>
                <w:rFonts w:ascii="Times New Roman" w:eastAsia="Times New Roman" w:hAnsi="Times New Roman" w:cs="Times New Roman"/>
                <w:b/>
                <w:bCs/>
                <w:noProof/>
              </w:rPr>
              <w:t>9.1 Algorithmic and Mobile Identification Applications</w:t>
            </w:r>
            <w:r>
              <w:rPr>
                <w:noProof/>
                <w:webHidden/>
              </w:rPr>
              <w:tab/>
            </w:r>
            <w:r>
              <w:rPr>
                <w:noProof/>
                <w:webHidden/>
              </w:rPr>
              <w:fldChar w:fldCharType="begin"/>
            </w:r>
            <w:r>
              <w:rPr>
                <w:noProof/>
                <w:webHidden/>
              </w:rPr>
              <w:instrText xml:space="preserve"> PAGEREF _Toc225518619 \h </w:instrText>
            </w:r>
            <w:r>
              <w:rPr>
                <w:noProof/>
                <w:webHidden/>
              </w:rPr>
            </w:r>
            <w:r>
              <w:rPr>
                <w:noProof/>
                <w:webHidden/>
              </w:rPr>
              <w:fldChar w:fldCharType="separate"/>
            </w:r>
            <w:r>
              <w:rPr>
                <w:noProof/>
                <w:webHidden/>
              </w:rPr>
              <w:t>19</w:t>
            </w:r>
            <w:r>
              <w:rPr>
                <w:noProof/>
                <w:webHidden/>
              </w:rPr>
              <w:fldChar w:fldCharType="end"/>
            </w:r>
          </w:hyperlink>
        </w:p>
        <w:p w14:paraId="7AB9ED66" w14:textId="783442E7" w:rsidR="00E159F5" w:rsidRDefault="00E159F5">
          <w:pPr>
            <w:pStyle w:val="TOC3"/>
            <w:tabs>
              <w:tab w:val="right" w:leader="dot" w:pos="9350"/>
            </w:tabs>
            <w:rPr>
              <w:noProof/>
            </w:rPr>
          </w:pPr>
          <w:hyperlink w:anchor="_Toc225518620" w:history="1">
            <w:r w:rsidRPr="003021A9">
              <w:rPr>
                <w:rStyle w:val="Hyperlink"/>
                <w:rFonts w:ascii="Times New Roman" w:eastAsia="Times New Roman" w:hAnsi="Times New Roman" w:cs="Times New Roman"/>
                <w:b/>
                <w:bCs/>
                <w:noProof/>
              </w:rPr>
              <w:t>9.2 Regional Digital Floras and Databases</w:t>
            </w:r>
            <w:r>
              <w:rPr>
                <w:noProof/>
                <w:webHidden/>
              </w:rPr>
              <w:tab/>
            </w:r>
            <w:r>
              <w:rPr>
                <w:noProof/>
                <w:webHidden/>
              </w:rPr>
              <w:fldChar w:fldCharType="begin"/>
            </w:r>
            <w:r>
              <w:rPr>
                <w:noProof/>
                <w:webHidden/>
              </w:rPr>
              <w:instrText xml:space="preserve"> PAGEREF _Toc225518620 \h </w:instrText>
            </w:r>
            <w:r>
              <w:rPr>
                <w:noProof/>
                <w:webHidden/>
              </w:rPr>
            </w:r>
            <w:r>
              <w:rPr>
                <w:noProof/>
                <w:webHidden/>
              </w:rPr>
              <w:fldChar w:fldCharType="separate"/>
            </w:r>
            <w:r>
              <w:rPr>
                <w:noProof/>
                <w:webHidden/>
              </w:rPr>
              <w:t>20</w:t>
            </w:r>
            <w:r>
              <w:rPr>
                <w:noProof/>
                <w:webHidden/>
              </w:rPr>
              <w:fldChar w:fldCharType="end"/>
            </w:r>
          </w:hyperlink>
        </w:p>
        <w:p w14:paraId="49D55AEA" w14:textId="3E0CEC2F" w:rsidR="00E159F5" w:rsidRDefault="00E159F5">
          <w:pPr>
            <w:pStyle w:val="TOC2"/>
            <w:tabs>
              <w:tab w:val="right" w:leader="dot" w:pos="9350"/>
            </w:tabs>
            <w:rPr>
              <w:noProof/>
            </w:rPr>
          </w:pPr>
          <w:hyperlink w:anchor="_Toc225518621" w:history="1">
            <w:r w:rsidRPr="003021A9">
              <w:rPr>
                <w:rStyle w:val="Hyperlink"/>
                <w:rFonts w:ascii="Times New Roman" w:eastAsia="Times New Roman" w:hAnsi="Times New Roman" w:cs="Times New Roman"/>
                <w:b/>
                <w:bCs/>
                <w:noProof/>
              </w:rPr>
              <w:t>10. Ethical Guidelines and Legal Frameworks</w:t>
            </w:r>
            <w:r>
              <w:rPr>
                <w:noProof/>
                <w:webHidden/>
              </w:rPr>
              <w:tab/>
            </w:r>
            <w:r>
              <w:rPr>
                <w:noProof/>
                <w:webHidden/>
              </w:rPr>
              <w:fldChar w:fldCharType="begin"/>
            </w:r>
            <w:r>
              <w:rPr>
                <w:noProof/>
                <w:webHidden/>
              </w:rPr>
              <w:instrText xml:space="preserve"> PAGEREF _Toc225518621 \h </w:instrText>
            </w:r>
            <w:r>
              <w:rPr>
                <w:noProof/>
                <w:webHidden/>
              </w:rPr>
            </w:r>
            <w:r>
              <w:rPr>
                <w:noProof/>
                <w:webHidden/>
              </w:rPr>
              <w:fldChar w:fldCharType="separate"/>
            </w:r>
            <w:r>
              <w:rPr>
                <w:noProof/>
                <w:webHidden/>
              </w:rPr>
              <w:t>20</w:t>
            </w:r>
            <w:r>
              <w:rPr>
                <w:noProof/>
                <w:webHidden/>
              </w:rPr>
              <w:fldChar w:fldCharType="end"/>
            </w:r>
          </w:hyperlink>
        </w:p>
        <w:p w14:paraId="190D9C66" w14:textId="38E2C25E" w:rsidR="00E159F5" w:rsidRDefault="00E159F5">
          <w:pPr>
            <w:pStyle w:val="TOC3"/>
            <w:tabs>
              <w:tab w:val="right" w:leader="dot" w:pos="9350"/>
            </w:tabs>
            <w:rPr>
              <w:noProof/>
            </w:rPr>
          </w:pPr>
          <w:hyperlink w:anchor="_Toc225518622" w:history="1">
            <w:r w:rsidRPr="003021A9">
              <w:rPr>
                <w:rStyle w:val="Hyperlink"/>
                <w:rFonts w:ascii="Times New Roman" w:eastAsia="Times New Roman" w:hAnsi="Times New Roman" w:cs="Times New Roman"/>
                <w:b/>
                <w:bCs/>
                <w:noProof/>
              </w:rPr>
              <w:t>10.1 Field Ethics and the 1-in-20 Rule</w:t>
            </w:r>
            <w:r>
              <w:rPr>
                <w:noProof/>
                <w:webHidden/>
              </w:rPr>
              <w:tab/>
            </w:r>
            <w:r>
              <w:rPr>
                <w:noProof/>
                <w:webHidden/>
              </w:rPr>
              <w:fldChar w:fldCharType="begin"/>
            </w:r>
            <w:r>
              <w:rPr>
                <w:noProof/>
                <w:webHidden/>
              </w:rPr>
              <w:instrText xml:space="preserve"> PAGEREF _Toc225518622 \h </w:instrText>
            </w:r>
            <w:r>
              <w:rPr>
                <w:noProof/>
                <w:webHidden/>
              </w:rPr>
            </w:r>
            <w:r>
              <w:rPr>
                <w:noProof/>
                <w:webHidden/>
              </w:rPr>
              <w:fldChar w:fldCharType="separate"/>
            </w:r>
            <w:r>
              <w:rPr>
                <w:noProof/>
                <w:webHidden/>
              </w:rPr>
              <w:t>21</w:t>
            </w:r>
            <w:r>
              <w:rPr>
                <w:noProof/>
                <w:webHidden/>
              </w:rPr>
              <w:fldChar w:fldCharType="end"/>
            </w:r>
          </w:hyperlink>
        </w:p>
        <w:p w14:paraId="3A35C348" w14:textId="40BD6E7E" w:rsidR="00E159F5" w:rsidRDefault="00E159F5">
          <w:pPr>
            <w:pStyle w:val="TOC3"/>
            <w:tabs>
              <w:tab w:val="right" w:leader="dot" w:pos="9350"/>
            </w:tabs>
            <w:rPr>
              <w:noProof/>
            </w:rPr>
          </w:pPr>
          <w:hyperlink w:anchor="_Toc225518623" w:history="1">
            <w:r w:rsidRPr="003021A9">
              <w:rPr>
                <w:rStyle w:val="Hyperlink"/>
                <w:rFonts w:ascii="Times New Roman" w:eastAsia="Times New Roman" w:hAnsi="Times New Roman" w:cs="Times New Roman"/>
                <w:b/>
                <w:bCs/>
                <w:noProof/>
              </w:rPr>
              <w:t>10.2 Legal Frameworks: The Philippine Context (Republic Act No. 9147)</w:t>
            </w:r>
            <w:r>
              <w:rPr>
                <w:noProof/>
                <w:webHidden/>
              </w:rPr>
              <w:tab/>
            </w:r>
            <w:r>
              <w:rPr>
                <w:noProof/>
                <w:webHidden/>
              </w:rPr>
              <w:fldChar w:fldCharType="begin"/>
            </w:r>
            <w:r>
              <w:rPr>
                <w:noProof/>
                <w:webHidden/>
              </w:rPr>
              <w:instrText xml:space="preserve"> PAGEREF _Toc225518623 \h </w:instrText>
            </w:r>
            <w:r>
              <w:rPr>
                <w:noProof/>
                <w:webHidden/>
              </w:rPr>
            </w:r>
            <w:r>
              <w:rPr>
                <w:noProof/>
                <w:webHidden/>
              </w:rPr>
              <w:fldChar w:fldCharType="separate"/>
            </w:r>
            <w:r>
              <w:rPr>
                <w:noProof/>
                <w:webHidden/>
              </w:rPr>
              <w:t>21</w:t>
            </w:r>
            <w:r>
              <w:rPr>
                <w:noProof/>
                <w:webHidden/>
              </w:rPr>
              <w:fldChar w:fldCharType="end"/>
            </w:r>
          </w:hyperlink>
        </w:p>
        <w:p w14:paraId="3B916CE9" w14:textId="6D169D6D" w:rsidR="00E159F5" w:rsidRDefault="00E159F5">
          <w:pPr>
            <w:pStyle w:val="TOC2"/>
            <w:tabs>
              <w:tab w:val="right" w:leader="dot" w:pos="9350"/>
            </w:tabs>
            <w:rPr>
              <w:noProof/>
            </w:rPr>
          </w:pPr>
          <w:hyperlink w:anchor="_Toc225518624" w:history="1">
            <w:r w:rsidRPr="003021A9">
              <w:rPr>
                <w:rStyle w:val="Hyperlink"/>
                <w:rFonts w:ascii="Times New Roman" w:eastAsia="Times New Roman" w:hAnsi="Times New Roman" w:cs="Times New Roman"/>
                <w:b/>
                <w:bCs/>
                <w:noProof/>
              </w:rPr>
              <w:t>11. Conclusion</w:t>
            </w:r>
            <w:r>
              <w:rPr>
                <w:noProof/>
                <w:webHidden/>
              </w:rPr>
              <w:tab/>
            </w:r>
            <w:r>
              <w:rPr>
                <w:noProof/>
                <w:webHidden/>
              </w:rPr>
              <w:fldChar w:fldCharType="begin"/>
            </w:r>
            <w:r>
              <w:rPr>
                <w:noProof/>
                <w:webHidden/>
              </w:rPr>
              <w:instrText xml:space="preserve"> PAGEREF _Toc225518624 \h </w:instrText>
            </w:r>
            <w:r>
              <w:rPr>
                <w:noProof/>
                <w:webHidden/>
              </w:rPr>
            </w:r>
            <w:r>
              <w:rPr>
                <w:noProof/>
                <w:webHidden/>
              </w:rPr>
              <w:fldChar w:fldCharType="separate"/>
            </w:r>
            <w:r>
              <w:rPr>
                <w:noProof/>
                <w:webHidden/>
              </w:rPr>
              <w:t>21</w:t>
            </w:r>
            <w:r>
              <w:rPr>
                <w:noProof/>
                <w:webHidden/>
              </w:rPr>
              <w:fldChar w:fldCharType="end"/>
            </w:r>
          </w:hyperlink>
        </w:p>
        <w:p w14:paraId="324E2498" w14:textId="699EDD30" w:rsidR="00E159F5" w:rsidRDefault="00E159F5">
          <w:r>
            <w:rPr>
              <w:b/>
              <w:bCs/>
              <w:noProof/>
            </w:rPr>
            <w:fldChar w:fldCharType="end"/>
          </w:r>
        </w:p>
      </w:sdtContent>
    </w:sdt>
    <w:p w14:paraId="508BA761" w14:textId="77777777" w:rsidR="00E159F5" w:rsidRDefault="00E159F5" w:rsidP="00E159F5">
      <w:pPr>
        <w:spacing w:before="100" w:beforeAutospacing="1" w:after="120" w:line="240" w:lineRule="auto"/>
        <w:outlineLvl w:val="0"/>
        <w:rPr>
          <w:rFonts w:ascii="Times New Roman" w:eastAsia="Times New Roman" w:hAnsi="Times New Roman" w:cs="Times New Roman"/>
          <w:b/>
          <w:bCs/>
          <w:color w:val="1F1F1F"/>
          <w:kern w:val="36"/>
          <w:sz w:val="48"/>
          <w:szCs w:val="48"/>
        </w:rPr>
      </w:pPr>
      <w:bookmarkStart w:id="0" w:name="_Toc225518591"/>
    </w:p>
    <w:p w14:paraId="7982BA72" w14:textId="77777777" w:rsidR="00E159F5" w:rsidRDefault="00E159F5" w:rsidP="00E159F5">
      <w:pPr>
        <w:spacing w:before="100" w:beforeAutospacing="1" w:after="120" w:line="240" w:lineRule="auto"/>
        <w:outlineLvl w:val="0"/>
        <w:rPr>
          <w:rFonts w:ascii="Times New Roman" w:eastAsia="Times New Roman" w:hAnsi="Times New Roman" w:cs="Times New Roman"/>
          <w:b/>
          <w:bCs/>
          <w:color w:val="1F1F1F"/>
          <w:kern w:val="36"/>
          <w:sz w:val="48"/>
          <w:szCs w:val="48"/>
        </w:rPr>
      </w:pPr>
    </w:p>
    <w:p w14:paraId="1D59E7D2" w14:textId="77777777" w:rsidR="00E159F5" w:rsidRDefault="00E159F5" w:rsidP="00E159F5">
      <w:pPr>
        <w:spacing w:before="100" w:beforeAutospacing="1" w:after="120" w:line="240" w:lineRule="auto"/>
        <w:outlineLvl w:val="0"/>
        <w:rPr>
          <w:rFonts w:ascii="Times New Roman" w:eastAsia="Times New Roman" w:hAnsi="Times New Roman" w:cs="Times New Roman"/>
          <w:b/>
          <w:bCs/>
          <w:color w:val="1F1F1F"/>
          <w:kern w:val="36"/>
          <w:sz w:val="48"/>
          <w:szCs w:val="48"/>
        </w:rPr>
      </w:pPr>
    </w:p>
    <w:p w14:paraId="4E14FF3A" w14:textId="77777777" w:rsidR="00E159F5" w:rsidRDefault="00E159F5" w:rsidP="00E159F5">
      <w:pPr>
        <w:spacing w:before="100" w:beforeAutospacing="1" w:after="120" w:line="240" w:lineRule="auto"/>
        <w:outlineLvl w:val="0"/>
        <w:rPr>
          <w:rFonts w:ascii="Times New Roman" w:eastAsia="Times New Roman" w:hAnsi="Times New Roman" w:cs="Times New Roman"/>
          <w:b/>
          <w:bCs/>
          <w:color w:val="1F1F1F"/>
          <w:kern w:val="36"/>
          <w:sz w:val="48"/>
          <w:szCs w:val="48"/>
        </w:rPr>
      </w:pPr>
    </w:p>
    <w:p w14:paraId="342FB5F7" w14:textId="77777777" w:rsidR="00E159F5" w:rsidRDefault="00E159F5" w:rsidP="00E159F5">
      <w:pPr>
        <w:spacing w:before="100" w:beforeAutospacing="1" w:after="120" w:line="240" w:lineRule="auto"/>
        <w:outlineLvl w:val="0"/>
        <w:rPr>
          <w:rFonts w:ascii="Times New Roman" w:eastAsia="Times New Roman" w:hAnsi="Times New Roman" w:cs="Times New Roman"/>
          <w:b/>
          <w:bCs/>
          <w:color w:val="1F1F1F"/>
          <w:kern w:val="36"/>
          <w:sz w:val="48"/>
          <w:szCs w:val="48"/>
        </w:rPr>
      </w:pPr>
    </w:p>
    <w:p w14:paraId="1D699824" w14:textId="77777777" w:rsidR="00E159F5" w:rsidRDefault="00E159F5" w:rsidP="00E159F5">
      <w:pPr>
        <w:spacing w:before="100" w:beforeAutospacing="1" w:after="120" w:line="240" w:lineRule="auto"/>
        <w:outlineLvl w:val="0"/>
        <w:rPr>
          <w:rFonts w:ascii="Times New Roman" w:eastAsia="Times New Roman" w:hAnsi="Times New Roman" w:cs="Times New Roman"/>
          <w:b/>
          <w:bCs/>
          <w:color w:val="1F1F1F"/>
          <w:kern w:val="36"/>
          <w:sz w:val="48"/>
          <w:szCs w:val="48"/>
        </w:rPr>
      </w:pPr>
    </w:p>
    <w:p w14:paraId="15EC432F" w14:textId="77777777" w:rsidR="00E159F5" w:rsidRDefault="00E159F5" w:rsidP="00E159F5">
      <w:pPr>
        <w:spacing w:before="100" w:beforeAutospacing="1" w:after="120" w:line="240" w:lineRule="auto"/>
        <w:outlineLvl w:val="0"/>
        <w:rPr>
          <w:rFonts w:ascii="Times New Roman" w:eastAsia="Times New Roman" w:hAnsi="Times New Roman" w:cs="Times New Roman"/>
          <w:b/>
          <w:bCs/>
          <w:color w:val="1F1F1F"/>
          <w:kern w:val="36"/>
          <w:sz w:val="48"/>
          <w:szCs w:val="48"/>
        </w:rPr>
      </w:pPr>
    </w:p>
    <w:p w14:paraId="002357C7" w14:textId="77777777" w:rsidR="00E159F5" w:rsidRDefault="00E159F5" w:rsidP="00E159F5">
      <w:pPr>
        <w:spacing w:before="100" w:beforeAutospacing="1" w:after="120" w:line="240" w:lineRule="auto"/>
        <w:outlineLvl w:val="0"/>
        <w:rPr>
          <w:rFonts w:ascii="Times New Roman" w:eastAsia="Times New Roman" w:hAnsi="Times New Roman" w:cs="Times New Roman"/>
          <w:b/>
          <w:bCs/>
          <w:color w:val="1F1F1F"/>
          <w:kern w:val="36"/>
          <w:sz w:val="48"/>
          <w:szCs w:val="48"/>
        </w:rPr>
      </w:pPr>
    </w:p>
    <w:p w14:paraId="668B6945" w14:textId="77777777" w:rsidR="00E159F5" w:rsidRDefault="00E159F5" w:rsidP="00E159F5">
      <w:pPr>
        <w:spacing w:before="100" w:beforeAutospacing="1" w:after="120" w:line="240" w:lineRule="auto"/>
        <w:outlineLvl w:val="0"/>
        <w:rPr>
          <w:rFonts w:ascii="Times New Roman" w:eastAsia="Times New Roman" w:hAnsi="Times New Roman" w:cs="Times New Roman"/>
          <w:b/>
          <w:bCs/>
          <w:color w:val="1F1F1F"/>
          <w:kern w:val="36"/>
          <w:sz w:val="48"/>
          <w:szCs w:val="48"/>
        </w:rPr>
      </w:pPr>
    </w:p>
    <w:p w14:paraId="2F178484" w14:textId="77777777" w:rsidR="00E159F5" w:rsidRDefault="00E159F5" w:rsidP="00E159F5">
      <w:pPr>
        <w:spacing w:before="100" w:beforeAutospacing="1" w:after="120" w:line="240" w:lineRule="auto"/>
        <w:outlineLvl w:val="0"/>
        <w:rPr>
          <w:rFonts w:ascii="Times New Roman" w:eastAsia="Times New Roman" w:hAnsi="Times New Roman" w:cs="Times New Roman"/>
          <w:b/>
          <w:bCs/>
          <w:color w:val="1F1F1F"/>
          <w:kern w:val="36"/>
          <w:sz w:val="48"/>
          <w:szCs w:val="48"/>
        </w:rPr>
      </w:pPr>
    </w:p>
    <w:p w14:paraId="20605836" w14:textId="77777777" w:rsidR="00E159F5" w:rsidRDefault="00E159F5" w:rsidP="00E159F5">
      <w:pPr>
        <w:spacing w:before="100" w:beforeAutospacing="1" w:after="120" w:line="240" w:lineRule="auto"/>
        <w:outlineLvl w:val="0"/>
        <w:rPr>
          <w:rFonts w:ascii="Times New Roman" w:eastAsia="Times New Roman" w:hAnsi="Times New Roman" w:cs="Times New Roman"/>
          <w:b/>
          <w:bCs/>
          <w:color w:val="1F1F1F"/>
          <w:kern w:val="36"/>
          <w:sz w:val="48"/>
          <w:szCs w:val="48"/>
        </w:rPr>
      </w:pPr>
    </w:p>
    <w:p w14:paraId="4125CA4C" w14:textId="77777777" w:rsidR="00E159F5" w:rsidRDefault="00E159F5" w:rsidP="00E159F5">
      <w:pPr>
        <w:spacing w:before="100" w:beforeAutospacing="1" w:after="120" w:line="240" w:lineRule="auto"/>
        <w:outlineLvl w:val="0"/>
        <w:rPr>
          <w:rFonts w:ascii="Times New Roman" w:eastAsia="Times New Roman" w:hAnsi="Times New Roman" w:cs="Times New Roman"/>
          <w:b/>
          <w:bCs/>
          <w:color w:val="1F1F1F"/>
          <w:kern w:val="36"/>
          <w:sz w:val="48"/>
          <w:szCs w:val="48"/>
        </w:rPr>
      </w:pPr>
    </w:p>
    <w:p w14:paraId="50154172" w14:textId="77777777" w:rsidR="00E159F5" w:rsidRDefault="00E159F5" w:rsidP="00E159F5">
      <w:pPr>
        <w:spacing w:before="100" w:beforeAutospacing="1" w:after="120" w:line="240" w:lineRule="auto"/>
        <w:outlineLvl w:val="0"/>
        <w:rPr>
          <w:rFonts w:ascii="Times New Roman" w:eastAsia="Times New Roman" w:hAnsi="Times New Roman" w:cs="Times New Roman"/>
          <w:b/>
          <w:bCs/>
          <w:color w:val="1F1F1F"/>
          <w:kern w:val="36"/>
          <w:sz w:val="48"/>
          <w:szCs w:val="48"/>
        </w:rPr>
      </w:pPr>
    </w:p>
    <w:p w14:paraId="6C02CE00" w14:textId="61CEA823" w:rsidR="00E159F5" w:rsidRPr="00E159F5" w:rsidRDefault="00E159F5" w:rsidP="00E159F5">
      <w:pPr>
        <w:spacing w:before="100" w:beforeAutospacing="1" w:after="120" w:line="240" w:lineRule="auto"/>
        <w:outlineLvl w:val="0"/>
        <w:rPr>
          <w:rFonts w:ascii="Times New Roman" w:eastAsia="Times New Roman" w:hAnsi="Times New Roman" w:cs="Times New Roman"/>
          <w:b/>
          <w:bCs/>
          <w:color w:val="1F1F1F"/>
          <w:kern w:val="36"/>
          <w:sz w:val="48"/>
          <w:szCs w:val="48"/>
        </w:rPr>
      </w:pPr>
      <w:r w:rsidRPr="00E159F5">
        <w:rPr>
          <w:rFonts w:ascii="Times New Roman" w:eastAsia="Times New Roman" w:hAnsi="Times New Roman" w:cs="Times New Roman"/>
          <w:b/>
          <w:bCs/>
          <w:color w:val="1F1F1F"/>
          <w:kern w:val="36"/>
          <w:sz w:val="48"/>
          <w:szCs w:val="48"/>
        </w:rPr>
        <w:lastRenderedPageBreak/>
        <w:t>Mastering Plant Identification: A Comprehensive Guide to Botanical Taxonomy, Morphology, and Field Diagnostics</w:t>
      </w:r>
      <w:bookmarkEnd w:id="0"/>
    </w:p>
    <w:p w14:paraId="42A5BDA0" w14:textId="77777777" w:rsidR="00E159F5" w:rsidRPr="00E159F5" w:rsidRDefault="00E159F5" w:rsidP="00E159F5">
      <w:pPr>
        <w:spacing w:before="100" w:beforeAutospacing="1" w:after="24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t>The precise identification of plant species is the foundational pillar upon which ecology, conservation biology, agriculture, and pharmacognosy rest. Without a rigorous methodological approach to botanical taxonomy and field diagnostics, the intricate web of global biodiversity remains largely inaccessible. The discipline of plant identification requires an intimate understanding of plant morphology, the structural mechanics of floral and vegetative anatomy, and the evolutionary relationships codified within taxonomic systems. Furthermore, modern botanical fieldwork demands a synthesis of classical skills—such as herbarium specimen preservation and the operation of dichotomous keys—with contemporary digital tools, advanced optical equipment, and strict adherence to regional conservation ethics.</w:t>
      </w:r>
    </w:p>
    <w:p w14:paraId="6B68850E" w14:textId="77777777" w:rsidR="00E159F5" w:rsidRPr="00E159F5" w:rsidRDefault="00E159F5" w:rsidP="00E159F5">
      <w:pPr>
        <w:spacing w:before="100" w:beforeAutospacing="1" w:after="24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t>This comprehensive report provides an exhaustive examination of the methodologies, terminologies, and frameworks required to master plant identification. By synthesizing morphological data, taxonomic principles, diagnostic field techniques, cybertaxonomy, and legal frameworks, the subsequent analysis serves as an advanced curriculum and study material for systematic botany.</w:t>
      </w:r>
    </w:p>
    <w:p w14:paraId="23C55370" w14:textId="77777777" w:rsidR="00E159F5" w:rsidRPr="00E159F5" w:rsidRDefault="00E159F5" w:rsidP="00E159F5">
      <w:pPr>
        <w:spacing w:before="100" w:beforeAutospacing="1" w:after="120" w:line="240" w:lineRule="auto"/>
        <w:outlineLvl w:val="1"/>
        <w:rPr>
          <w:rFonts w:ascii="Times New Roman" w:eastAsia="Times New Roman" w:hAnsi="Times New Roman" w:cs="Times New Roman"/>
          <w:b/>
          <w:bCs/>
          <w:color w:val="1F1F1F"/>
          <w:sz w:val="36"/>
          <w:szCs w:val="36"/>
        </w:rPr>
      </w:pPr>
      <w:bookmarkStart w:id="1" w:name="_Toc225518592"/>
      <w:r w:rsidRPr="00E159F5">
        <w:rPr>
          <w:rFonts w:ascii="Times New Roman" w:eastAsia="Times New Roman" w:hAnsi="Times New Roman" w:cs="Times New Roman"/>
          <w:b/>
          <w:bCs/>
          <w:color w:val="1F1F1F"/>
          <w:sz w:val="36"/>
          <w:szCs w:val="36"/>
        </w:rPr>
        <w:t>1. Foundations of Botanical Taxonomy and Nomenclature</w:t>
      </w:r>
      <w:bookmarkEnd w:id="1"/>
    </w:p>
    <w:p w14:paraId="641EB226"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science of classifying organisms according to shared characteristics, evolutionary history, and phylogenetic relationships is known as taxonomy or systematics. Plant taxonomy provides a universal scientific language that transcends regional dialects and common names, ensuring that a species observed in the montane forests of the Philippines is recognized identically by researchers in Europe or the Americas.</w:t>
      </w:r>
    </w:p>
    <w:p w14:paraId="08A53A11"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2" w:name="_Toc225518593"/>
      <w:r w:rsidRPr="00E159F5">
        <w:rPr>
          <w:rFonts w:ascii="Times New Roman" w:eastAsia="Times New Roman" w:hAnsi="Times New Roman" w:cs="Times New Roman"/>
          <w:b/>
          <w:bCs/>
          <w:color w:val="1F1F1F"/>
          <w:sz w:val="27"/>
          <w:szCs w:val="27"/>
        </w:rPr>
        <w:t>1.1 The History and Mechanics of Binomial Nomenclature</w:t>
      </w:r>
      <w:bookmarkEnd w:id="2"/>
    </w:p>
    <w:p w14:paraId="45B164FC"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Before the mid-18th century, plants were identified by cumbersome polynomial descriptions known as </w:t>
      </w:r>
      <w:r w:rsidRPr="00E159F5">
        <w:rPr>
          <w:rFonts w:ascii="Times New Roman" w:eastAsia="Times New Roman" w:hAnsi="Times New Roman" w:cs="Times New Roman"/>
          <w:i/>
          <w:iCs/>
          <w:color w:val="1F1F1F"/>
          <w:sz w:val="24"/>
          <w:szCs w:val="24"/>
          <w:bdr w:val="none" w:sz="0" w:space="0" w:color="auto" w:frame="1"/>
        </w:rPr>
        <w:t>differentiae specificae</w:t>
      </w:r>
      <w:r w:rsidRPr="00E159F5">
        <w:rPr>
          <w:rFonts w:ascii="Times New Roman" w:eastAsia="Times New Roman" w:hAnsi="Times New Roman" w:cs="Times New Roman"/>
          <w:color w:val="1F1F1F"/>
          <w:sz w:val="24"/>
          <w:szCs w:val="24"/>
          <w:bdr w:val="none" w:sz="0" w:space="0" w:color="auto" w:frame="1"/>
        </w:rPr>
        <w:t xml:space="preserve">, which consisted of long, unwieldy Latin phrases describing a plant's entire character. The modern system of binomial nomenclature was popularized and standardized by the Swedish naturalist Carolus Linnaeus in his monumental 1753 publication, </w:t>
      </w:r>
      <w:r w:rsidRPr="00E159F5">
        <w:rPr>
          <w:rFonts w:ascii="Times New Roman" w:eastAsia="Times New Roman" w:hAnsi="Times New Roman" w:cs="Times New Roman"/>
          <w:i/>
          <w:iCs/>
          <w:color w:val="1F1F1F"/>
          <w:sz w:val="24"/>
          <w:szCs w:val="24"/>
          <w:bdr w:val="none" w:sz="0" w:space="0" w:color="auto" w:frame="1"/>
        </w:rPr>
        <w:t>Species Plantarum</w:t>
      </w:r>
      <w:r w:rsidRPr="00E159F5">
        <w:rPr>
          <w:rFonts w:ascii="Times New Roman" w:eastAsia="Times New Roman" w:hAnsi="Times New Roman" w:cs="Times New Roman"/>
          <w:color w:val="1F1F1F"/>
          <w:sz w:val="24"/>
          <w:szCs w:val="24"/>
          <w:bdr w:val="none" w:sz="0" w:space="0" w:color="auto" w:frame="1"/>
        </w:rPr>
        <w:t xml:space="preserve">. Linnaeus streamlined the classification of nearly 8,000 plant species by assigning a single-word descriptor, the </w:t>
      </w:r>
      <w:r w:rsidRPr="00E159F5">
        <w:rPr>
          <w:rFonts w:ascii="Times New Roman" w:eastAsia="Times New Roman" w:hAnsi="Times New Roman" w:cs="Times New Roman"/>
          <w:i/>
          <w:iCs/>
          <w:color w:val="1F1F1F"/>
          <w:sz w:val="24"/>
          <w:szCs w:val="24"/>
          <w:bdr w:val="none" w:sz="0" w:space="0" w:color="auto" w:frame="1"/>
        </w:rPr>
        <w:t>nomen triviale</w:t>
      </w:r>
      <w:r w:rsidRPr="00E159F5">
        <w:rPr>
          <w:rFonts w:ascii="Times New Roman" w:eastAsia="Times New Roman" w:hAnsi="Times New Roman" w:cs="Times New Roman"/>
          <w:color w:val="1F1F1F"/>
          <w:sz w:val="24"/>
          <w:szCs w:val="24"/>
          <w:bdr w:val="none" w:sz="0" w:space="0" w:color="auto" w:frame="1"/>
        </w:rPr>
        <w:t xml:space="preserve"> or specific epithet, which, when paired with the genus name, formed a unique two-part binomial name.</w:t>
      </w:r>
    </w:p>
    <w:p w14:paraId="417BE3F9"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The rules governing this nomenclature are meticulously maintained by the International Code of Botanical Nomenclature (ICBN), which traces its origins to the first international rules published </w:t>
      </w:r>
      <w:r w:rsidRPr="00E159F5">
        <w:rPr>
          <w:rFonts w:ascii="Times New Roman" w:eastAsia="Times New Roman" w:hAnsi="Times New Roman" w:cs="Times New Roman"/>
          <w:color w:val="1F1F1F"/>
          <w:sz w:val="24"/>
          <w:szCs w:val="24"/>
          <w:bdr w:val="none" w:sz="0" w:space="0" w:color="auto" w:frame="1"/>
        </w:rPr>
        <w:lastRenderedPageBreak/>
        <w:t>by Swiss botanist Alphonse de Candolle in 1867. The ICBN dictates strict formatting conventions:</w:t>
      </w:r>
    </w:p>
    <w:p w14:paraId="48E5ABC9" w14:textId="77777777" w:rsidR="00E159F5" w:rsidRPr="00E159F5" w:rsidRDefault="00E159F5" w:rsidP="00E159F5">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genus name is always capitalized, while the species epithet is written in lowercase, and both must be italicized or underlined.</w:t>
      </w:r>
    </w:p>
    <w:p w14:paraId="2DFC202D" w14:textId="77777777" w:rsidR="00E159F5" w:rsidRPr="00E159F5" w:rsidRDefault="00E159F5" w:rsidP="00E159F5">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The scientific name is followed by an authority abbreviation, representing the botanist who first validly published the name. For example, in </w:t>
      </w:r>
      <w:r w:rsidRPr="00E159F5">
        <w:rPr>
          <w:rFonts w:ascii="Times New Roman" w:eastAsia="Times New Roman" w:hAnsi="Times New Roman" w:cs="Times New Roman"/>
          <w:i/>
          <w:iCs/>
          <w:color w:val="1F1F1F"/>
          <w:sz w:val="24"/>
          <w:szCs w:val="24"/>
          <w:bdr w:val="none" w:sz="0" w:space="0" w:color="auto" w:frame="1"/>
        </w:rPr>
        <w:t>Phaseolus vulgaris</w:t>
      </w:r>
      <w:r w:rsidRPr="00E159F5">
        <w:rPr>
          <w:rFonts w:ascii="Times New Roman" w:eastAsia="Times New Roman" w:hAnsi="Times New Roman" w:cs="Times New Roman"/>
          <w:color w:val="1F1F1F"/>
          <w:sz w:val="24"/>
          <w:szCs w:val="24"/>
          <w:bdr w:val="none" w:sz="0" w:space="0" w:color="auto" w:frame="1"/>
        </w:rPr>
        <w:t xml:space="preserve"> L., the "L." signifies Linnaeus. Another example is </w:t>
      </w:r>
      <w:r w:rsidRPr="00E159F5">
        <w:rPr>
          <w:rFonts w:ascii="Times New Roman" w:eastAsia="Times New Roman" w:hAnsi="Times New Roman" w:cs="Times New Roman"/>
          <w:i/>
          <w:iCs/>
          <w:color w:val="1F1F1F"/>
          <w:sz w:val="24"/>
          <w:szCs w:val="24"/>
          <w:bdr w:val="none" w:sz="0" w:space="0" w:color="auto" w:frame="1"/>
        </w:rPr>
        <w:t>Phaseolus acutifolius</w:t>
      </w:r>
      <w:r w:rsidRPr="00E159F5">
        <w:rPr>
          <w:rFonts w:ascii="Times New Roman" w:eastAsia="Times New Roman" w:hAnsi="Times New Roman" w:cs="Times New Roman"/>
          <w:color w:val="1F1F1F"/>
          <w:sz w:val="24"/>
          <w:szCs w:val="24"/>
          <w:bdr w:val="none" w:sz="0" w:space="0" w:color="auto" w:frame="1"/>
        </w:rPr>
        <w:t xml:space="preserve"> A. Gray, where A. Gray is the naming authority.</w:t>
      </w:r>
    </w:p>
    <w:p w14:paraId="3C6B363D" w14:textId="77777777" w:rsidR="00E159F5" w:rsidRPr="00E159F5" w:rsidRDefault="00E159F5" w:rsidP="00E159F5">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If a species is later reclassified into a new genus, the original naming authority is placed in parentheses, followed by the botanist who made the revision.</w:t>
      </w:r>
    </w:p>
    <w:p w14:paraId="780C9E78" w14:textId="77777777" w:rsidR="00E159F5" w:rsidRPr="00E159F5" w:rsidRDefault="00E159F5" w:rsidP="00E159F5">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Hybrids are denoted by an "x" placed between the genus and specific epithet for interspecific crosses, or before the genus for intergeneric crosses.</w:t>
      </w:r>
    </w:p>
    <w:p w14:paraId="17285968"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The stability of botanical names is governed by the principle of priority; the earliest validly published name for a taxon (starting from </w:t>
      </w:r>
      <w:r w:rsidRPr="00E159F5">
        <w:rPr>
          <w:rFonts w:ascii="Times New Roman" w:eastAsia="Times New Roman" w:hAnsi="Times New Roman" w:cs="Times New Roman"/>
          <w:i/>
          <w:iCs/>
          <w:color w:val="1F1F1F"/>
          <w:sz w:val="24"/>
          <w:szCs w:val="24"/>
          <w:bdr w:val="none" w:sz="0" w:space="0" w:color="auto" w:frame="1"/>
        </w:rPr>
        <w:t>Species Plantarum</w:t>
      </w:r>
      <w:r w:rsidRPr="00E159F5">
        <w:rPr>
          <w:rFonts w:ascii="Times New Roman" w:eastAsia="Times New Roman" w:hAnsi="Times New Roman" w:cs="Times New Roman"/>
          <w:color w:val="1F1F1F"/>
          <w:sz w:val="24"/>
          <w:szCs w:val="24"/>
          <w:bdr w:val="none" w:sz="0" w:space="0" w:color="auto" w:frame="1"/>
        </w:rPr>
        <w:t xml:space="preserve">) is the accepted one, while subsequent names become synonyms. For example, </w:t>
      </w:r>
      <w:r w:rsidRPr="00E159F5">
        <w:rPr>
          <w:rFonts w:ascii="Times New Roman" w:eastAsia="Times New Roman" w:hAnsi="Times New Roman" w:cs="Times New Roman"/>
          <w:i/>
          <w:iCs/>
          <w:color w:val="1F1F1F"/>
          <w:sz w:val="24"/>
          <w:szCs w:val="24"/>
          <w:bdr w:val="none" w:sz="0" w:space="0" w:color="auto" w:frame="1"/>
        </w:rPr>
        <w:t>Gustavia augusta</w:t>
      </w:r>
      <w:r w:rsidRPr="00E159F5">
        <w:rPr>
          <w:rFonts w:ascii="Times New Roman" w:eastAsia="Times New Roman" w:hAnsi="Times New Roman" w:cs="Times New Roman"/>
          <w:color w:val="1F1F1F"/>
          <w:sz w:val="24"/>
          <w:szCs w:val="24"/>
          <w:bdr w:val="none" w:sz="0" w:space="0" w:color="auto" w:frame="1"/>
        </w:rPr>
        <w:t xml:space="preserve"> L. was published in a 1775 edition of Linnaeus's work. When John Miers later described the same species as </w:t>
      </w:r>
      <w:r w:rsidRPr="00E159F5">
        <w:rPr>
          <w:rFonts w:ascii="Times New Roman" w:eastAsia="Times New Roman" w:hAnsi="Times New Roman" w:cs="Times New Roman"/>
          <w:i/>
          <w:iCs/>
          <w:color w:val="1F1F1F"/>
          <w:sz w:val="24"/>
          <w:szCs w:val="24"/>
          <w:bdr w:val="none" w:sz="0" w:space="0" w:color="auto" w:frame="1"/>
        </w:rPr>
        <w:t>Gustavia antillana</w:t>
      </w:r>
      <w:r w:rsidRPr="00E159F5">
        <w:rPr>
          <w:rFonts w:ascii="Times New Roman" w:eastAsia="Times New Roman" w:hAnsi="Times New Roman" w:cs="Times New Roman"/>
          <w:color w:val="1F1F1F"/>
          <w:sz w:val="24"/>
          <w:szCs w:val="24"/>
          <w:bdr w:val="none" w:sz="0" w:space="0" w:color="auto" w:frame="1"/>
        </w:rPr>
        <w:t xml:space="preserve"> Miers in 1874—basing his classification on minute variations like the presence of trichomes in young plants—his name was relegated to a synonym, as </w:t>
      </w:r>
      <w:r w:rsidRPr="00E159F5">
        <w:rPr>
          <w:rFonts w:ascii="Times New Roman" w:eastAsia="Times New Roman" w:hAnsi="Times New Roman" w:cs="Times New Roman"/>
          <w:i/>
          <w:iCs/>
          <w:color w:val="1F1F1F"/>
          <w:sz w:val="24"/>
          <w:szCs w:val="24"/>
          <w:bdr w:val="none" w:sz="0" w:space="0" w:color="auto" w:frame="1"/>
        </w:rPr>
        <w:t>G. augusta</w:t>
      </w:r>
      <w:r w:rsidRPr="00E159F5">
        <w:rPr>
          <w:rFonts w:ascii="Times New Roman" w:eastAsia="Times New Roman" w:hAnsi="Times New Roman" w:cs="Times New Roman"/>
          <w:color w:val="1F1F1F"/>
          <w:sz w:val="24"/>
          <w:szCs w:val="24"/>
          <w:bdr w:val="none" w:sz="0" w:space="0" w:color="auto" w:frame="1"/>
        </w:rPr>
        <w:t xml:space="preserve"> held priority. Even major plant families may possess dual accepted names due to historical precedent; for example, the carrot family is officially recognized as both Apiaceae and Umbelliferae, and the daisy family as Asteraceae and Compositae.</w:t>
      </w:r>
    </w:p>
    <w:p w14:paraId="01FAAF58"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3" w:name="_Toc225518594"/>
      <w:r w:rsidRPr="00E159F5">
        <w:rPr>
          <w:rFonts w:ascii="Times New Roman" w:eastAsia="Times New Roman" w:hAnsi="Times New Roman" w:cs="Times New Roman"/>
          <w:b/>
          <w:bCs/>
          <w:color w:val="1F1F1F"/>
          <w:sz w:val="27"/>
          <w:szCs w:val="27"/>
        </w:rPr>
        <w:t>1.2 The Hierarchical Classification System</w:t>
      </w:r>
      <w:bookmarkEnd w:id="3"/>
    </w:p>
    <w:p w14:paraId="09257E2A"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Plant classification operates on a strict phylogenetic hierarchy, where each successive category is a subordinate subset of a superior grouping. This system reflects evolutionary divergence and genetic relatedness.</w:t>
      </w:r>
    </w:p>
    <w:tbl>
      <w:tblPr>
        <w:tblW w:w="0" w:type="auto"/>
        <w:tblCellSpacing w:w="15" w:type="dxa"/>
        <w:tblCellMar>
          <w:left w:w="0" w:type="dxa"/>
          <w:right w:w="0" w:type="dxa"/>
        </w:tblCellMar>
        <w:tblLook w:val="04A0" w:firstRow="1" w:lastRow="0" w:firstColumn="1" w:lastColumn="0" w:noHBand="0" w:noVBand="1"/>
      </w:tblPr>
      <w:tblGrid>
        <w:gridCol w:w="1766"/>
        <w:gridCol w:w="6436"/>
        <w:gridCol w:w="1142"/>
      </w:tblGrid>
      <w:tr w:rsidR="00E159F5" w:rsidRPr="00E159F5" w14:paraId="3D3281E4" w14:textId="77777777" w:rsidTr="00E159F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5D7C4"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Taxonomic Rank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3681E"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Diagnostic Description and Historical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DFD13"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Source</w:t>
            </w:r>
          </w:p>
        </w:tc>
      </w:tr>
      <w:tr w:rsidR="00E159F5" w:rsidRPr="00E159F5" w14:paraId="2B4CA883"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DE65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Kingdom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966C7"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highest rank, encompassing all plants (Plantae).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8A05B"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702356AA"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9812F"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Phylum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DA883"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 major grouping below the kingdom level, such as Tracheophyta (vascular plants).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68B86"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62170DA0"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0A06F"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792B8"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Introduced by French botanist Joseph Pitton de Tournefort in 1684, organizing major lineages.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49939"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7B5ED4E2"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29EE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5B27F"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Groups of related families. Modern classifications rely heavily on the Angiosperm Phylogeny Group (APG IV) system, which organizes flowering plants into clades such as Eudicots, Rosids, and Asterids, followed by specific orders like Malvales or Asterales.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D71AD"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148548DC"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9D68B"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lastRenderedPageBreak/>
              <w:t>Family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85075"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 crucial identification unit in field botany. Plants grouped into families share highly conserved morphological characteristics, particularly in their reproductive structures.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3A106"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2F0D0F3B"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8E60E"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Genus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E8185"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grouping of closely related, genetically similar species. Forms the first part of the binomial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BD4BC"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29A6DF5E"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E2998"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Species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E79EB"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An interbreeding group of individuals capable of producing fertile offspring.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81412"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41A3CDB1"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3D10D"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Subspecies / Variant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7802B"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Denotes localized variations within a species due to environmental, climatic, or geographic isolation.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CBE0D"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bl>
    <w:p w14:paraId="4416D864" w14:textId="77777777" w:rsidR="00E159F5" w:rsidRPr="00E159F5" w:rsidRDefault="00E159F5" w:rsidP="00E159F5">
      <w:pPr>
        <w:spacing w:before="100" w:beforeAutospacing="1" w:after="120" w:line="240" w:lineRule="auto"/>
        <w:outlineLvl w:val="1"/>
        <w:rPr>
          <w:rFonts w:ascii="Times New Roman" w:eastAsia="Times New Roman" w:hAnsi="Times New Roman" w:cs="Times New Roman"/>
          <w:b/>
          <w:bCs/>
          <w:color w:val="1F1F1F"/>
          <w:sz w:val="36"/>
          <w:szCs w:val="36"/>
        </w:rPr>
      </w:pPr>
      <w:bookmarkStart w:id="4" w:name="_Toc225518595"/>
      <w:r w:rsidRPr="00E159F5">
        <w:rPr>
          <w:rFonts w:ascii="Times New Roman" w:eastAsia="Times New Roman" w:hAnsi="Times New Roman" w:cs="Times New Roman"/>
          <w:b/>
          <w:bCs/>
          <w:color w:val="1F1F1F"/>
          <w:sz w:val="36"/>
          <w:szCs w:val="36"/>
        </w:rPr>
        <w:t>2. Vegetative Morphology: The Architecture of Roots, Stems, and Leaves</w:t>
      </w:r>
      <w:bookmarkEnd w:id="4"/>
    </w:p>
    <w:p w14:paraId="3B784D0B"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Morphology—the study of the physical form and external structure of plants—is the primary toolkit for field identification. Environmental stressors heavily influence vegetative structures, resulting in significant phenotypic plasticity. However, understanding the foundational architecture of plants is essential for systematic characterization.</w:t>
      </w:r>
    </w:p>
    <w:p w14:paraId="11307B3C"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At the highest level of vegetative distinction, angiosperms (flowering plants) are divided into two primary clades: monocots and dicots. Monocots possess a single seed leaf (cotyledon), parallel leaf venation, scattered vascular bundles within the stem, and flower parts arranged in multiples of three. Dicots possess two seed leaves, palmate or pinnate net-like leaf venation, vascular bundles arranged in a distinct ring, and flower parts generally in multiples of four or five.</w:t>
      </w:r>
    </w:p>
    <w:p w14:paraId="0BF47747"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5" w:name="_Toc225518596"/>
      <w:r w:rsidRPr="00E159F5">
        <w:rPr>
          <w:rFonts w:ascii="Times New Roman" w:eastAsia="Times New Roman" w:hAnsi="Times New Roman" w:cs="Times New Roman"/>
          <w:b/>
          <w:bCs/>
          <w:color w:val="1F1F1F"/>
          <w:sz w:val="27"/>
          <w:szCs w:val="27"/>
        </w:rPr>
        <w:t>2.1 Root Systems and Subterranean Structures</w:t>
      </w:r>
      <w:bookmarkEnd w:id="5"/>
    </w:p>
    <w:p w14:paraId="3C90A766"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subterranean framework of a plant dictates its habit, ecological adaptability, and survival strategies. Roots anchor the plant, absorb water and dissolved minerals, and store products of photosynthesis such as carbohydrates and proteins.</w:t>
      </w:r>
    </w:p>
    <w:p w14:paraId="1472CE45"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Anatomically, the root is protected by an outer epidermis that gives rise to root hairs—delicate, unicellular extensions that drastically maximize the absorptive surface area required for water uptake. Beneath the epidermis lies the cortex, which is separated from the inner vascular cylinder (pericycle) by a single layer of cells known as the endodermis. The endodermis contains the Casparian strip, a highly specialized, impermeable layer that allows the plant to strictly regulate which substances enter the vascular pipeline. Roots also exhibit gravitropism, directing their growth in response to gravitational pull.</w:t>
      </w:r>
    </w:p>
    <w:p w14:paraId="135FFB38" w14:textId="77777777" w:rsidR="00E159F5" w:rsidRPr="00E159F5" w:rsidRDefault="00E159F5" w:rsidP="00E159F5">
      <w:pPr>
        <w:spacing w:before="100" w:beforeAutospacing="1" w:after="12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lastRenderedPageBreak/>
        <w:t>Different root and underground stem modifications serve specific evolutionary purposes:</w:t>
      </w:r>
    </w:p>
    <w:p w14:paraId="64355820" w14:textId="77777777" w:rsidR="00E159F5" w:rsidRPr="00E159F5" w:rsidRDefault="00E159F5" w:rsidP="00E159F5">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Taproot:</w:t>
      </w:r>
      <w:r w:rsidRPr="00E159F5">
        <w:rPr>
          <w:rFonts w:ascii="Times New Roman" w:eastAsia="Times New Roman" w:hAnsi="Times New Roman" w:cs="Times New Roman"/>
          <w:color w:val="1F1F1F"/>
          <w:sz w:val="24"/>
          <w:szCs w:val="24"/>
          <w:bdr w:val="none" w:sz="0" w:space="0" w:color="auto" w:frame="1"/>
        </w:rPr>
        <w:t xml:space="preserve"> A primary, dominant root growing straight downward, typical of dicots.</w:t>
      </w:r>
    </w:p>
    <w:p w14:paraId="6D82BA16" w14:textId="77777777" w:rsidR="00E159F5" w:rsidRPr="00E159F5" w:rsidRDefault="00E159F5" w:rsidP="00E159F5">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Secondary/Fibrous Roots:</w:t>
      </w:r>
      <w:r w:rsidRPr="00E159F5">
        <w:rPr>
          <w:rFonts w:ascii="Times New Roman" w:eastAsia="Times New Roman" w:hAnsi="Times New Roman" w:cs="Times New Roman"/>
          <w:color w:val="1F1F1F"/>
          <w:sz w:val="24"/>
          <w:szCs w:val="24"/>
          <w:bdr w:val="none" w:sz="0" w:space="0" w:color="auto" w:frame="1"/>
        </w:rPr>
        <w:t xml:space="preserve"> A network of branching roots lacking a dominant central axis.</w:t>
      </w:r>
    </w:p>
    <w:p w14:paraId="4B29BE80" w14:textId="77777777" w:rsidR="00E159F5" w:rsidRPr="00E159F5" w:rsidRDefault="00E159F5" w:rsidP="00E159F5">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Adventitious Roots:</w:t>
      </w:r>
      <w:r w:rsidRPr="00E159F5">
        <w:rPr>
          <w:rFonts w:ascii="Times New Roman" w:eastAsia="Times New Roman" w:hAnsi="Times New Roman" w:cs="Times New Roman"/>
          <w:color w:val="1F1F1F"/>
          <w:sz w:val="24"/>
          <w:szCs w:val="24"/>
          <w:bdr w:val="none" w:sz="0" w:space="0" w:color="auto" w:frame="1"/>
        </w:rPr>
        <w:t xml:space="preserve"> Roots that emerge from non-root tissue, such as stems or leaves, aiding in climbing or stabilization.</w:t>
      </w:r>
    </w:p>
    <w:p w14:paraId="1B7E0C8B" w14:textId="77777777" w:rsidR="00E159F5" w:rsidRPr="00E159F5" w:rsidRDefault="00E159F5" w:rsidP="00E159F5">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Rhizome:</w:t>
      </w:r>
      <w:r w:rsidRPr="00E159F5">
        <w:rPr>
          <w:rFonts w:ascii="Times New Roman" w:eastAsia="Times New Roman" w:hAnsi="Times New Roman" w:cs="Times New Roman"/>
          <w:color w:val="1F1F1F"/>
          <w:sz w:val="24"/>
          <w:szCs w:val="24"/>
          <w:bdr w:val="none" w:sz="0" w:space="0" w:color="auto" w:frame="1"/>
        </w:rPr>
        <w:t xml:space="preserve"> A horizontal underground stem that issues roots and shoots from its nodes, often acting as a spreading mechanism.</w:t>
      </w:r>
    </w:p>
    <w:p w14:paraId="4DB3F461" w14:textId="77777777" w:rsidR="00E159F5" w:rsidRPr="00E159F5" w:rsidRDefault="00E159F5" w:rsidP="00E159F5">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Stolon:</w:t>
      </w:r>
      <w:r w:rsidRPr="00E159F5">
        <w:rPr>
          <w:rFonts w:ascii="Times New Roman" w:eastAsia="Times New Roman" w:hAnsi="Times New Roman" w:cs="Times New Roman"/>
          <w:color w:val="1F1F1F"/>
          <w:sz w:val="24"/>
          <w:szCs w:val="24"/>
          <w:bdr w:val="none" w:sz="0" w:space="0" w:color="auto" w:frame="1"/>
        </w:rPr>
        <w:t xml:space="preserve"> A vegetative shoot (runner) spreading along the ground surface, rooting at the nodes to produce new plantlets.</w:t>
      </w:r>
    </w:p>
    <w:p w14:paraId="0BB31CCF" w14:textId="77777777" w:rsidR="00E159F5" w:rsidRPr="00E159F5" w:rsidRDefault="00E159F5" w:rsidP="00E159F5">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Tuber:</w:t>
      </w:r>
      <w:r w:rsidRPr="00E159F5">
        <w:rPr>
          <w:rFonts w:ascii="Times New Roman" w:eastAsia="Times New Roman" w:hAnsi="Times New Roman" w:cs="Times New Roman"/>
          <w:color w:val="1F1F1F"/>
          <w:sz w:val="24"/>
          <w:szCs w:val="24"/>
          <w:bdr w:val="none" w:sz="0" w:space="0" w:color="auto" w:frame="1"/>
        </w:rPr>
        <w:t xml:space="preserve"> A thickened, fleshy underground stem branch serving as a storage organ, distinguished by the presence of axillary buds or "eyes".</w:t>
      </w:r>
    </w:p>
    <w:p w14:paraId="7164F66E" w14:textId="77777777" w:rsidR="00E159F5" w:rsidRPr="00E159F5" w:rsidRDefault="00E159F5" w:rsidP="00E159F5">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Bulb:</w:t>
      </w:r>
      <w:r w:rsidRPr="00E159F5">
        <w:rPr>
          <w:rFonts w:ascii="Times New Roman" w:eastAsia="Times New Roman" w:hAnsi="Times New Roman" w:cs="Times New Roman"/>
          <w:color w:val="1F1F1F"/>
          <w:sz w:val="24"/>
          <w:szCs w:val="24"/>
          <w:bdr w:val="none" w:sz="0" w:space="0" w:color="auto" w:frame="1"/>
        </w:rPr>
        <w:t xml:space="preserve"> A short, vertical underground shoot featuring modified, thickened leaf bases developed specifically as food storage organs. Small secondary bulbs are termed bulbils or bulblets.</w:t>
      </w:r>
    </w:p>
    <w:p w14:paraId="494ED3DE" w14:textId="77777777" w:rsidR="00E159F5" w:rsidRPr="00E159F5" w:rsidRDefault="00E159F5" w:rsidP="00E159F5">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Corm:</w:t>
      </w:r>
      <w:r w:rsidRPr="00E159F5">
        <w:rPr>
          <w:rFonts w:ascii="Times New Roman" w:eastAsia="Times New Roman" w:hAnsi="Times New Roman" w:cs="Times New Roman"/>
          <w:color w:val="1F1F1F"/>
          <w:sz w:val="24"/>
          <w:szCs w:val="24"/>
          <w:bdr w:val="none" w:sz="0" w:space="0" w:color="auto" w:frame="1"/>
        </w:rPr>
        <w:t xml:space="preserve"> A swollen underground plant stem base, similar to a bulb but composed of solid stem tissue rather than layered leaves.</w:t>
      </w:r>
    </w:p>
    <w:p w14:paraId="7022D9DE"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6" w:name="_Toc225518597"/>
      <w:r w:rsidRPr="00E159F5">
        <w:rPr>
          <w:rFonts w:ascii="Times New Roman" w:eastAsia="Times New Roman" w:hAnsi="Times New Roman" w:cs="Times New Roman"/>
          <w:b/>
          <w:bCs/>
          <w:color w:val="1F1F1F"/>
          <w:sz w:val="27"/>
          <w:szCs w:val="27"/>
        </w:rPr>
        <w:t>2.2 Stem Architecture and Plant Habit</w:t>
      </w:r>
      <w:bookmarkEnd w:id="6"/>
    </w:p>
    <w:p w14:paraId="040CFAE9"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Above ground, stems are characterized by nodes (the points of leaf or branch attachment) and internodes (the spaces between nodes). In the axil—the angle formed between the upper side of the stem and the attaching leaf petiole—an axillary bud is present, which possesses the meristematic potential to develop into a lateral branch or an inflorescence.</w:t>
      </w:r>
    </w:p>
    <w:p w14:paraId="0102676F"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overall growth pattern of the stem defines the plant's habit, which may be described as erect, ascending, sprawling, creeping, or climbing. Plants may be herbaceous (lacking woody tissue above ground), frutescent (shrub-like), or arborescent (tree-like). Some plants exhibit an acaulescent habit, meaning they lack a visible above-ground stem, with leaves radiating directly from the ground in a basal rosette. Stems may also feature aerenchyma, a specialized parenchyma tissue with large air pockets designed for flotation in aquatic species.</w:t>
      </w:r>
    </w:p>
    <w:p w14:paraId="5446B5EF"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7" w:name="_Toc225518598"/>
      <w:r w:rsidRPr="00E159F5">
        <w:rPr>
          <w:rFonts w:ascii="Times New Roman" w:eastAsia="Times New Roman" w:hAnsi="Times New Roman" w:cs="Times New Roman"/>
          <w:b/>
          <w:bCs/>
          <w:color w:val="1F1F1F"/>
          <w:sz w:val="27"/>
          <w:szCs w:val="27"/>
        </w:rPr>
        <w:t>2.3 Leaf Morphology: The Photosynthetic Engine</w:t>
      </w:r>
      <w:bookmarkEnd w:id="7"/>
    </w:p>
    <w:p w14:paraId="37BE7CE6"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Leaves exhibit an astonishing array of morphological adaptations. A fundamental distinction exists between a simple leaf, consisting of a single continuous blade, and a compound leaf, where the blade is divided into distinct leaflets (pinnae or pinnules) attached to a central axis called a rachis. Compound leaves may be categorized as even pinnate (paripinnate), odd pinnate (imparipinnate), bipinnate, trifoliate, digitate, or palmate.</w:t>
      </w:r>
    </w:p>
    <w:p w14:paraId="21CA5827"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The attachment arrangement of leaves on the stem, known as phyllotaxy, is a critical diagnostic feature. Arrangements include alternate (one leaf per node in a spiral), opposite (two leaves attached at the same node on opposing sides), and whorled (three or more leaves radiating from a single node). The attachment mechanism itself varies; leaves can be petiolate (possessing a stalk), sessile (attached directly to the stem without a stalk), clasping, sheathing, perfoliate </w:t>
      </w:r>
      <w:r w:rsidRPr="00E159F5">
        <w:rPr>
          <w:rFonts w:ascii="Times New Roman" w:eastAsia="Times New Roman" w:hAnsi="Times New Roman" w:cs="Times New Roman"/>
          <w:color w:val="1F1F1F"/>
          <w:sz w:val="24"/>
          <w:szCs w:val="24"/>
          <w:bdr w:val="none" w:sz="0" w:space="0" w:color="auto" w:frame="1"/>
        </w:rPr>
        <w:lastRenderedPageBreak/>
        <w:t>(where the stem appears to pierce through the leaf), or peltate (where the petiole attaches to the center of the blade's underside, like an umbrella). In the bud, the upper surface of the leaf facing the stem is termed adaxial, while the outward-facing lower surface is abaxial.</w:t>
      </w:r>
    </w:p>
    <w:p w14:paraId="6AA4866A" w14:textId="77777777" w:rsidR="00E159F5" w:rsidRPr="00E159F5" w:rsidRDefault="00E159F5" w:rsidP="00E159F5">
      <w:pPr>
        <w:spacing w:before="100" w:beforeAutospacing="1" w:after="24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t>To standardize botanical descriptions, specific terminology is utilized to describe leaf shapes, apices (tips), bases, and margins.</w:t>
      </w:r>
    </w:p>
    <w:p w14:paraId="44C57DD4" w14:textId="77777777" w:rsidR="00E159F5" w:rsidRPr="00E159F5" w:rsidRDefault="00E159F5" w:rsidP="00E159F5">
      <w:pPr>
        <w:spacing w:before="100" w:beforeAutospacing="1" w:after="120" w:line="240" w:lineRule="auto"/>
        <w:outlineLvl w:val="3"/>
        <w:rPr>
          <w:rFonts w:ascii="Times New Roman" w:eastAsia="Times New Roman" w:hAnsi="Times New Roman" w:cs="Times New Roman"/>
          <w:b/>
          <w:bCs/>
          <w:color w:val="1F1F1F"/>
          <w:sz w:val="24"/>
          <w:szCs w:val="24"/>
        </w:rPr>
      </w:pPr>
      <w:r w:rsidRPr="00E159F5">
        <w:rPr>
          <w:rFonts w:ascii="Times New Roman" w:eastAsia="Times New Roman" w:hAnsi="Times New Roman" w:cs="Times New Roman"/>
          <w:b/>
          <w:bCs/>
          <w:color w:val="1F1F1F"/>
          <w:sz w:val="24"/>
          <w:szCs w:val="24"/>
        </w:rPr>
        <w:t>2.3.1 Leaf Shapes and Outlines</w:t>
      </w:r>
    </w:p>
    <w:tbl>
      <w:tblPr>
        <w:tblW w:w="0" w:type="auto"/>
        <w:tblCellSpacing w:w="15" w:type="dxa"/>
        <w:tblCellMar>
          <w:left w:w="0" w:type="dxa"/>
          <w:right w:w="0" w:type="dxa"/>
        </w:tblCellMar>
        <w:tblLook w:val="04A0" w:firstRow="1" w:lastRow="0" w:firstColumn="1" w:lastColumn="0" w:noHBand="0" w:noVBand="1"/>
      </w:tblPr>
      <w:tblGrid>
        <w:gridCol w:w="2212"/>
        <w:gridCol w:w="5990"/>
        <w:gridCol w:w="1142"/>
      </w:tblGrid>
      <w:tr w:rsidR="00E159F5" w:rsidRPr="00E159F5" w14:paraId="3E44AC4C" w14:textId="77777777" w:rsidTr="00E159F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90861"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Shape Terminology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34D54"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Diagnostic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A4C1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Source</w:t>
            </w:r>
          </w:p>
        </w:tc>
      </w:tr>
      <w:tr w:rsidR="00E159F5" w:rsidRPr="00E159F5" w14:paraId="3E3B01C7"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2B912"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Linear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2E318"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Long and very narrow, resembling a blade of grass; margins are roughly parallel.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EFDCB"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706F7A71"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00F7F"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Lanceolate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F8407"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Longer than wide, widest below the middle, tapering to a point like a lance tip.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8FB5B"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6F783621"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93D95"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Oblanceolate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C69B4"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inverse of lanceolate; widest above the middle, tapering toward the 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FD982"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00C1BEE2"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1767D"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Ovate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B85D5"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Egg-shaped, with the widest portion situated near the petiole.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A0FEC"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13EEEEE5"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49807"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Obovate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919AA"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inverse of ovate; egg-shaped but with the widest portion near the apex.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A5AED"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20D6DFE9"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F94E4"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Elliptic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FD688"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Oval-shaped, with the widest point in the center and tapering equally to both ends.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5E1DE"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4F3E6D85"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8B473"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Orbicular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F9291"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Circular in outline.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6A901"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6D3A3C2F"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C5F36"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Rhomboid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D509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Diamond-shaped.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89C1F"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583878C8"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3B8A1"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Deltoid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EE582"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Triangular in shape.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79128"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4DF51444"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E74EA"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Sagittate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7E9D5"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Arrowhead-shaped, with the lower basal lobes folded or pointing downward.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26C63"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7F7B4F69"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749BF"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Hastate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50471"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Arrowhead-shaped, but with the basal lobes pointing outward abruptly.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85E03"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3E4C2019"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2636F"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Palmate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D6F91"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Hand-shaped, with lobes or leaflets radiating outward from the 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DEA24"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6E635FEE"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841B1"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lastRenderedPageBreak/>
              <w:t>Terete / Subulate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CD846"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Cylindrical or awl-shaped.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1DF62"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bl>
    <w:p w14:paraId="7564298A" w14:textId="77777777" w:rsidR="00E159F5" w:rsidRPr="00E159F5" w:rsidRDefault="00E159F5" w:rsidP="00E159F5">
      <w:pPr>
        <w:spacing w:before="100" w:beforeAutospacing="1" w:after="120" w:line="240" w:lineRule="auto"/>
        <w:outlineLvl w:val="3"/>
        <w:rPr>
          <w:rFonts w:ascii="Times New Roman" w:eastAsia="Times New Roman" w:hAnsi="Times New Roman" w:cs="Times New Roman"/>
          <w:b/>
          <w:bCs/>
          <w:color w:val="1F1F1F"/>
          <w:sz w:val="24"/>
          <w:szCs w:val="24"/>
        </w:rPr>
      </w:pPr>
      <w:r w:rsidRPr="00E159F5">
        <w:rPr>
          <w:rFonts w:ascii="Times New Roman" w:eastAsia="Times New Roman" w:hAnsi="Times New Roman" w:cs="Times New Roman"/>
          <w:b/>
          <w:bCs/>
          <w:color w:val="1F1F1F"/>
          <w:sz w:val="24"/>
          <w:szCs w:val="24"/>
        </w:rPr>
        <w:t>2.3.2 Leaf Apices (Tips) and Bases</w:t>
      </w:r>
    </w:p>
    <w:tbl>
      <w:tblPr>
        <w:tblW w:w="0" w:type="auto"/>
        <w:tblCellSpacing w:w="15" w:type="dxa"/>
        <w:tblCellMar>
          <w:left w:w="0" w:type="dxa"/>
          <w:right w:w="0" w:type="dxa"/>
        </w:tblCellMar>
        <w:tblLook w:val="04A0" w:firstRow="1" w:lastRow="0" w:firstColumn="1" w:lastColumn="0" w:noHBand="0" w:noVBand="1"/>
      </w:tblPr>
      <w:tblGrid>
        <w:gridCol w:w="2338"/>
        <w:gridCol w:w="5864"/>
        <w:gridCol w:w="1142"/>
      </w:tblGrid>
      <w:tr w:rsidR="00E159F5" w:rsidRPr="00E159F5" w14:paraId="3D5D604F" w14:textId="77777777" w:rsidTr="00E159F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A9715"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Tip/Base Terminology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2D586"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Diagnostic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647CE"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Source</w:t>
            </w:r>
          </w:p>
        </w:tc>
      </w:tr>
      <w:tr w:rsidR="00E159F5" w:rsidRPr="00E159F5" w14:paraId="253A53C6"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4929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Acuminate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76C5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Leaf margins forming a sharp terminal angle of less than 45 degrees, often prolonged.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31646"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3BD1DBA7"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C8C53"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Acute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02B3C"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Leaf margins forming a terminal or basal angle between 45 and 90 degrees.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789E4"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286A88BC"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457C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Obtuse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768E5"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 blunt tip or base with an angle greater than 90 degrees.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FF4AE"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0013935B"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C5FC1"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Cuspidate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21F37"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Tip is sharp, appearing as two curves meeting abruptly at the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47259"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35BC3279"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8C76E"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Mucronate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7716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Tip ends in a small, sharp point that is a direct continuation of the leaf midrib.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529AA"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72B43837"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919D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Emarginate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FE978"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tip is slightly indented or notched.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CA78A"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498EFEF6"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D8314"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Auriculate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A5BB9"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base features ear-shaped appendages projecting near the petiole.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DB0A8"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35E6BFD0"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80CCB"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Cuneate / Truncate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F9107"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Wedge-shaped base (cuneate) or appearing chopped off straight across (truncate).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B85BF"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bl>
    <w:p w14:paraId="705956B7" w14:textId="77777777" w:rsidR="00E159F5" w:rsidRPr="00E159F5" w:rsidRDefault="00E159F5" w:rsidP="00E159F5">
      <w:pPr>
        <w:spacing w:before="100" w:beforeAutospacing="1" w:after="120" w:line="240" w:lineRule="auto"/>
        <w:outlineLvl w:val="3"/>
        <w:rPr>
          <w:rFonts w:ascii="Times New Roman" w:eastAsia="Times New Roman" w:hAnsi="Times New Roman" w:cs="Times New Roman"/>
          <w:b/>
          <w:bCs/>
          <w:color w:val="1F1F1F"/>
          <w:sz w:val="24"/>
          <w:szCs w:val="24"/>
        </w:rPr>
      </w:pPr>
      <w:r w:rsidRPr="00E159F5">
        <w:rPr>
          <w:rFonts w:ascii="Times New Roman" w:eastAsia="Times New Roman" w:hAnsi="Times New Roman" w:cs="Times New Roman"/>
          <w:b/>
          <w:bCs/>
          <w:color w:val="1F1F1F"/>
          <w:sz w:val="24"/>
          <w:szCs w:val="24"/>
        </w:rPr>
        <w:t>2.3.3 Leaf Margins (Edges)</w:t>
      </w:r>
    </w:p>
    <w:tbl>
      <w:tblPr>
        <w:tblW w:w="0" w:type="auto"/>
        <w:tblCellSpacing w:w="15" w:type="dxa"/>
        <w:tblCellMar>
          <w:left w:w="0" w:type="dxa"/>
          <w:right w:w="0" w:type="dxa"/>
        </w:tblCellMar>
        <w:tblLook w:val="04A0" w:firstRow="1" w:lastRow="0" w:firstColumn="1" w:lastColumn="0" w:noHBand="0" w:noVBand="1"/>
      </w:tblPr>
      <w:tblGrid>
        <w:gridCol w:w="2242"/>
        <w:gridCol w:w="5960"/>
        <w:gridCol w:w="1142"/>
      </w:tblGrid>
      <w:tr w:rsidR="00E159F5" w:rsidRPr="00E159F5" w14:paraId="7AFA447C" w14:textId="77777777" w:rsidTr="00E159F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0A79D"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Margin Terminology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AF2B3"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Diagnostic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D8D8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Source</w:t>
            </w:r>
          </w:p>
        </w:tc>
      </w:tr>
      <w:tr w:rsidR="00E159F5" w:rsidRPr="00E159F5" w14:paraId="4BB3DD18"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232D8"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Entire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57497"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Smooth and continuous, completely lacking any teeth, serrations, or indentations.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6A2E4"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74723AA0"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5BA82"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Serrate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0F06E"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Toothed like a saw, with sharp teeth pointing forward toward the apex.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498AF"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500BE783"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01026"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lastRenderedPageBreak/>
              <w:t>Serrulate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85DBD"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Finely serrate with very small forward-pointing teeth.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116FE"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598C9E4B"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D733D"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Dentate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AE585"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Toothed, with the teeth pointing directly outward perpendicularly.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3EA9F"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0BF4622F"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1767F"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Denticulate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B920C"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Finely dentate.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E9AC5"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4E83A677"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75B8C"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Crenate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FE5B9"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Featuring rounded or scalloped teeth.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CB835"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09B0F8E6"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5FB93"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Undulate / Sinuate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0EFCC"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Wavy along the margin, lacking distinct sharp teeth.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C4431"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441CFB6C"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95503"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Lobed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F3C8A"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Deeply indented, with incisions not reaching the midrib (pinnately or palmately lobed).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25BE9"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6F54429B"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628CA"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Revolute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79CF4"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Margins that are rolled downward and inward toward the abaxial (under) surface.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D3919"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bl>
    <w:p w14:paraId="0E8C1BF0" w14:textId="77777777" w:rsidR="00E159F5" w:rsidRPr="00E159F5" w:rsidRDefault="00E159F5" w:rsidP="00E159F5">
      <w:pPr>
        <w:spacing w:before="100" w:beforeAutospacing="1" w:after="120" w:line="240" w:lineRule="auto"/>
        <w:outlineLvl w:val="1"/>
        <w:rPr>
          <w:rFonts w:ascii="Times New Roman" w:eastAsia="Times New Roman" w:hAnsi="Times New Roman" w:cs="Times New Roman"/>
          <w:b/>
          <w:bCs/>
          <w:color w:val="1F1F1F"/>
          <w:sz w:val="36"/>
          <w:szCs w:val="36"/>
        </w:rPr>
      </w:pPr>
      <w:bookmarkStart w:id="8" w:name="_Toc225518599"/>
      <w:r w:rsidRPr="00E159F5">
        <w:rPr>
          <w:rFonts w:ascii="Times New Roman" w:eastAsia="Times New Roman" w:hAnsi="Times New Roman" w:cs="Times New Roman"/>
          <w:b/>
          <w:bCs/>
          <w:color w:val="1F1F1F"/>
          <w:sz w:val="36"/>
          <w:szCs w:val="36"/>
        </w:rPr>
        <w:t>3. Reproductive Morphology: Flowers, Fruits, and Inflorescences</w:t>
      </w:r>
      <w:bookmarkEnd w:id="8"/>
    </w:p>
    <w:p w14:paraId="301881C2"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Because floral structures remain genetically conserved despite environmental fluctuations, they serve as the definitive markers for taxonomic identification and evolutionary mapping. Leaves adapt rapidly to shade or drought, but the mechanics of reproduction are inextricably tied to specific pollination syndromes, making the flower the ultimate diagnostic tool.</w:t>
      </w:r>
    </w:p>
    <w:p w14:paraId="3736B277"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9" w:name="_Toc225518600"/>
      <w:r w:rsidRPr="00E159F5">
        <w:rPr>
          <w:rFonts w:ascii="Times New Roman" w:eastAsia="Times New Roman" w:hAnsi="Times New Roman" w:cs="Times New Roman"/>
          <w:b/>
          <w:bCs/>
          <w:color w:val="1F1F1F"/>
          <w:sz w:val="27"/>
          <w:szCs w:val="27"/>
        </w:rPr>
        <w:t>3.1 Floral Anatomy and Symmetry</w:t>
      </w:r>
      <w:bookmarkEnd w:id="9"/>
    </w:p>
    <w:p w14:paraId="4869418B" w14:textId="77777777" w:rsidR="00E159F5" w:rsidRPr="00E159F5" w:rsidRDefault="00E159F5" w:rsidP="00E159F5">
      <w:pPr>
        <w:spacing w:before="100" w:beforeAutospacing="1" w:after="12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t>A complete flower is composed of four distinct concentric whorls arranged on a swollen base known as the receptacle. From the outermost whorl inward, these structures include:</w:t>
      </w:r>
    </w:p>
    <w:p w14:paraId="090441D3" w14:textId="77777777" w:rsidR="00E159F5" w:rsidRPr="00E159F5" w:rsidRDefault="00E159F5" w:rsidP="00E159F5">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Calyx (Sepals):</w:t>
      </w:r>
      <w:r w:rsidRPr="00E159F5">
        <w:rPr>
          <w:rFonts w:ascii="Times New Roman" w:eastAsia="Times New Roman" w:hAnsi="Times New Roman" w:cs="Times New Roman"/>
          <w:color w:val="1F1F1F"/>
          <w:sz w:val="24"/>
          <w:szCs w:val="24"/>
          <w:bdr w:val="none" w:sz="0" w:space="0" w:color="auto" w:frame="1"/>
        </w:rPr>
        <w:t xml:space="preserve"> The outermost protective whorl, typically green, consisting of individual sepals that enclose the developing bud. In some families, the calyx is heavily modified, such as the bristly pappus in Asteraceae.</w:t>
      </w:r>
    </w:p>
    <w:p w14:paraId="035DE458" w14:textId="77777777" w:rsidR="00E159F5" w:rsidRPr="00E159F5" w:rsidRDefault="00E159F5" w:rsidP="00E159F5">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Corolla (Petals):</w:t>
      </w:r>
      <w:r w:rsidRPr="00E159F5">
        <w:rPr>
          <w:rFonts w:ascii="Times New Roman" w:eastAsia="Times New Roman" w:hAnsi="Times New Roman" w:cs="Times New Roman"/>
          <w:color w:val="1F1F1F"/>
          <w:sz w:val="24"/>
          <w:szCs w:val="24"/>
          <w:bdr w:val="none" w:sz="0" w:space="0" w:color="auto" w:frame="1"/>
        </w:rPr>
        <w:t xml:space="preserve"> The inner protective and attractant whorl, consisting of petals. Together, the calyx and corolla form the perianth.</w:t>
      </w:r>
    </w:p>
    <w:p w14:paraId="440DA948" w14:textId="77777777" w:rsidR="00E159F5" w:rsidRPr="00E159F5" w:rsidRDefault="00E159F5" w:rsidP="00E159F5">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Androecium (Stamens):</w:t>
      </w:r>
      <w:r w:rsidRPr="00E159F5">
        <w:rPr>
          <w:rFonts w:ascii="Times New Roman" w:eastAsia="Times New Roman" w:hAnsi="Times New Roman" w:cs="Times New Roman"/>
          <w:color w:val="1F1F1F"/>
          <w:sz w:val="24"/>
          <w:szCs w:val="24"/>
          <w:bdr w:val="none" w:sz="0" w:space="0" w:color="auto" w:frame="1"/>
        </w:rPr>
        <w:t xml:space="preserve"> The male reproductive organs. Each stamen is composed of a supporting stalk called a filament and a terminal, pollen-bearing anther.</w:t>
      </w:r>
    </w:p>
    <w:p w14:paraId="5B241A87" w14:textId="77777777" w:rsidR="00E159F5" w:rsidRPr="00E159F5" w:rsidRDefault="00E159F5" w:rsidP="00E159F5">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Gynoecium (Carpels/Pistil):</w:t>
      </w:r>
      <w:r w:rsidRPr="00E159F5">
        <w:rPr>
          <w:rFonts w:ascii="Times New Roman" w:eastAsia="Times New Roman" w:hAnsi="Times New Roman" w:cs="Times New Roman"/>
          <w:color w:val="1F1F1F"/>
          <w:sz w:val="24"/>
          <w:szCs w:val="24"/>
          <w:bdr w:val="none" w:sz="0" w:space="0" w:color="auto" w:frame="1"/>
        </w:rPr>
        <w:t xml:space="preserve"> The central female reproductive machinery. The pistil is composed of one or more fused carpels, featuring a stigma (the sticky apical pollen </w:t>
      </w:r>
      <w:r w:rsidRPr="00E159F5">
        <w:rPr>
          <w:rFonts w:ascii="Times New Roman" w:eastAsia="Times New Roman" w:hAnsi="Times New Roman" w:cs="Times New Roman"/>
          <w:color w:val="1F1F1F"/>
          <w:sz w:val="24"/>
          <w:szCs w:val="24"/>
          <w:bdr w:val="none" w:sz="0" w:space="0" w:color="auto" w:frame="1"/>
        </w:rPr>
        <w:lastRenderedPageBreak/>
        <w:t>receptor), a style (the connecting tube), and an ovary at the base, which houses the unfertilized ovules.</w:t>
      </w:r>
    </w:p>
    <w:p w14:paraId="131A920D"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position of the ovary relative to the perianth is a critical diagnostic trait used to separate major plant orders. An ovary may be superior (situated above the attachment point of the petals and sepals, known as hypogynous) or inferior (situated below the attachment points, embedded within the receptacle, known as epigynous).</w:t>
      </w:r>
    </w:p>
    <w:p w14:paraId="7D61AA80" w14:textId="77777777" w:rsidR="00E159F5" w:rsidRPr="00E159F5" w:rsidRDefault="00E159F5" w:rsidP="00E159F5">
      <w:pPr>
        <w:spacing w:before="100" w:beforeAutospacing="1" w:after="12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t>Floral symmetry dictates how a flower interfaces with pollinators. Flowers are classified as either:</w:t>
      </w:r>
    </w:p>
    <w:p w14:paraId="26D6F008" w14:textId="77777777" w:rsidR="00E159F5" w:rsidRPr="00E159F5" w:rsidRDefault="00E159F5" w:rsidP="00E159F5">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Actinomorphic (Radial Symmetry):</w:t>
      </w:r>
      <w:r w:rsidRPr="00E159F5">
        <w:rPr>
          <w:rFonts w:ascii="Times New Roman" w:eastAsia="Times New Roman" w:hAnsi="Times New Roman" w:cs="Times New Roman"/>
          <w:color w:val="1F1F1F"/>
          <w:sz w:val="24"/>
          <w:szCs w:val="24"/>
          <w:bdr w:val="none" w:sz="0" w:space="0" w:color="auto" w:frame="1"/>
        </w:rPr>
        <w:t xml:space="preserve"> Divisible into identical halves along multiple planes, similar to a wheel or a star. Common in roses and lilies.</w:t>
      </w:r>
    </w:p>
    <w:p w14:paraId="1EC31C61" w14:textId="77777777" w:rsidR="00E159F5" w:rsidRPr="00E159F5" w:rsidRDefault="00E159F5" w:rsidP="00E159F5">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Zygomorphic (Bilateral Symmetry):</w:t>
      </w:r>
      <w:r w:rsidRPr="00E159F5">
        <w:rPr>
          <w:rFonts w:ascii="Times New Roman" w:eastAsia="Times New Roman" w:hAnsi="Times New Roman" w:cs="Times New Roman"/>
          <w:color w:val="1F1F1F"/>
          <w:sz w:val="24"/>
          <w:szCs w:val="24"/>
          <w:bdr w:val="none" w:sz="0" w:space="0" w:color="auto" w:frame="1"/>
        </w:rPr>
        <w:t xml:space="preserve"> Divisible into identical halves in only one single vertical plane. This is an advanced evolutionary trait designed to force specific pollinators (like bees) into precise orientations, common in orchids, peas, and mints.</w:t>
      </w:r>
    </w:p>
    <w:p w14:paraId="3E2474EE"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10" w:name="_Toc225518601"/>
      <w:r w:rsidRPr="00E159F5">
        <w:rPr>
          <w:rFonts w:ascii="Times New Roman" w:eastAsia="Times New Roman" w:hAnsi="Times New Roman" w:cs="Times New Roman"/>
          <w:b/>
          <w:bCs/>
          <w:color w:val="1F1F1F"/>
          <w:sz w:val="27"/>
          <w:szCs w:val="27"/>
        </w:rPr>
        <w:t>3.2 Fruit Classifications</w:t>
      </w:r>
      <w:bookmarkEnd w:id="10"/>
    </w:p>
    <w:p w14:paraId="17A69113" w14:textId="77777777" w:rsidR="00E159F5" w:rsidRPr="00E159F5" w:rsidRDefault="00E159F5" w:rsidP="00E159F5">
      <w:pPr>
        <w:spacing w:before="100" w:beforeAutospacing="1" w:after="24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t>Following fertilization, the ovary matures into a fruit, which serves to protect and disperse the seeds. Fruit morphology is highly diagnostic and falls into several distinct categories:</w:t>
      </w:r>
    </w:p>
    <w:tbl>
      <w:tblPr>
        <w:tblW w:w="0" w:type="auto"/>
        <w:tblCellSpacing w:w="15" w:type="dxa"/>
        <w:tblCellMar>
          <w:left w:w="0" w:type="dxa"/>
          <w:right w:w="0" w:type="dxa"/>
        </w:tblCellMar>
        <w:tblLook w:val="04A0" w:firstRow="1" w:lastRow="0" w:firstColumn="1" w:lastColumn="0" w:noHBand="0" w:noVBand="1"/>
      </w:tblPr>
      <w:tblGrid>
        <w:gridCol w:w="1645"/>
        <w:gridCol w:w="6557"/>
        <w:gridCol w:w="1142"/>
      </w:tblGrid>
      <w:tr w:rsidR="00E159F5" w:rsidRPr="00E159F5" w14:paraId="5E78C41E" w14:textId="77777777" w:rsidTr="00E159F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84BBC"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Fruit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E5039"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Botanical Definition and Examples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88E52"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Source</w:t>
            </w:r>
          </w:p>
        </w:tc>
      </w:tr>
      <w:tr w:rsidR="00E159F5" w:rsidRPr="00E159F5" w14:paraId="102969CD"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8950E"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Achene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B11FB"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 small, dry, non-fleshy, indehiscent (non-splitting) one-seeded fruit where the seed coat is not fused to the pericarp. Common in Asteraceae (sunflowers) and strawberries (where achenes dot the exterior).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D8021"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0F5E0661"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CA1F6"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Capsule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E0E99"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 dry fruit derived from a compound ovary that dehisces (opens) by slits, pores, or valves to release numerous seeds.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2A7DA"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2911E224"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762DA"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Berry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7F93B"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 simple fleshy fruit formed from a single ovary, containing multiple seeds embedded in the flesh (e.g., tomatoes, grapes).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13F3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416E1DE3"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D406B"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Drupe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D0B55"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 fleshy fruit featuring a soft exterior layer and a hardened, stony endocarp surrounding a single seed (e.g., peaches, mangoes).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89A23"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68431BD4"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D59E4"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Pome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E6428"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 fleshy accessory fruit where the edible tissue develops from the hypanthium or receptacle, enclosing a papery core containing seeds (e.g., apples, pears).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534B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5827AF70"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F7053"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lastRenderedPageBreak/>
              <w:t>Legume (Pod)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517F7"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 dry, elongated fruit developing from a single carpel that splits along two distinct seams to release seeds. Defining characteristic of the Fabaceae family.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5234A"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638652D0"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2489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Aggregate Fruit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66CDD"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 fruit derived from a single flower possessing multiple free, unfused carpels (e.g., raspberries).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B4F19"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5ED1A451"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3E282"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Accessory Fruit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5731E"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 fruit where the fleshy material is not derived exclusively from the ovary tissue, but includes other floral parts like the receptacle (e.g., strawberries, apples).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DE9DE"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bl>
    <w:p w14:paraId="2B99B0E0"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11" w:name="_Toc225518602"/>
      <w:r w:rsidRPr="00E159F5">
        <w:rPr>
          <w:rFonts w:ascii="Times New Roman" w:eastAsia="Times New Roman" w:hAnsi="Times New Roman" w:cs="Times New Roman"/>
          <w:b/>
          <w:bCs/>
          <w:color w:val="1F1F1F"/>
          <w:sz w:val="27"/>
          <w:szCs w:val="27"/>
        </w:rPr>
        <w:t>3.3 Inflorescence Architecture</w:t>
      </w:r>
      <w:bookmarkEnd w:id="11"/>
    </w:p>
    <w:p w14:paraId="42235CCA"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Flowers rarely emerge in complete isolation; they are typically arranged in complex clusters known as inflorescences. A peduncle is the primary main stalk supporting the entire inflorescence, while a pedicel is the smaller stalk supporting an individual flower. The central axis branching within a complex inflorescence is termed the rachis.</w:t>
      </w:r>
    </w:p>
    <w:p w14:paraId="61AB7BEF"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Inflorescences are frequently associated with bracts—modified leaves that subtend the flower to provide protection or mimic petals to attract pollinators. Bracts can be categorized as leafy (resembling normal leaves), subtending (attached to the rachis below the pedicel), concaulescent (where bud formation is distinctly above the bract), or recaulescent (attached directly to the pedicel).</w:t>
      </w:r>
    </w:p>
    <w:p w14:paraId="0ABE75C4" w14:textId="77777777" w:rsidR="00E159F5" w:rsidRPr="00E159F5" w:rsidRDefault="00E159F5" w:rsidP="00E159F5">
      <w:pPr>
        <w:spacing w:before="100" w:beforeAutospacing="1" w:after="24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t>Inflorescence growth patterns are divided into two fundamental physiological categories: indeterminate and determinate.</w:t>
      </w:r>
    </w:p>
    <w:p w14:paraId="47B88FEF"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1. Indeterminate (Racemose / Monopodial) Inflorescences:</w:t>
      </w:r>
      <w:r w:rsidRPr="00E159F5">
        <w:rPr>
          <w:rFonts w:ascii="Times New Roman" w:eastAsia="Times New Roman" w:hAnsi="Times New Roman" w:cs="Times New Roman"/>
          <w:color w:val="1F1F1F"/>
          <w:sz w:val="24"/>
          <w:szCs w:val="24"/>
          <w:bdr w:val="none" w:sz="0" w:space="0" w:color="auto" w:frame="1"/>
        </w:rPr>
        <w:t xml:space="preserve"> In these structures, the terminal bud of the main axis continues to grow indefinitely. Consequently, the youngest floral buds are located at the growing tip (apex), while the oldest, mature flowers are situated at the base. This allows for an extended, continuous period of flowering.</w:t>
      </w:r>
    </w:p>
    <w:p w14:paraId="0E76925A" w14:textId="77777777" w:rsidR="00E159F5" w:rsidRPr="00E159F5" w:rsidRDefault="00E159F5" w:rsidP="00E159F5">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Raceme:</w:t>
      </w:r>
      <w:r w:rsidRPr="00E159F5">
        <w:rPr>
          <w:rFonts w:ascii="Times New Roman" w:eastAsia="Times New Roman" w:hAnsi="Times New Roman" w:cs="Times New Roman"/>
          <w:color w:val="1F1F1F"/>
          <w:sz w:val="24"/>
          <w:szCs w:val="24"/>
          <w:bdr w:val="none" w:sz="0" w:space="0" w:color="auto" w:frame="1"/>
        </w:rPr>
        <w:t xml:space="preserve"> An elongated axis bearing distinct, pedicellate (stalked) flowers along a central rachis.</w:t>
      </w:r>
    </w:p>
    <w:p w14:paraId="75D947F4" w14:textId="77777777" w:rsidR="00E159F5" w:rsidRPr="00E159F5" w:rsidRDefault="00E159F5" w:rsidP="00E159F5">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Spike:</w:t>
      </w:r>
      <w:r w:rsidRPr="00E159F5">
        <w:rPr>
          <w:rFonts w:ascii="Times New Roman" w:eastAsia="Times New Roman" w:hAnsi="Times New Roman" w:cs="Times New Roman"/>
          <w:color w:val="1F1F1F"/>
          <w:sz w:val="24"/>
          <w:szCs w:val="24"/>
          <w:bdr w:val="none" w:sz="0" w:space="0" w:color="auto" w:frame="1"/>
        </w:rPr>
        <w:t xml:space="preserve"> Similar to a raceme, but the individual flowers are completely sessile (unstalked) and attach directly to the main axis.</w:t>
      </w:r>
    </w:p>
    <w:p w14:paraId="2BAA63DD" w14:textId="77777777" w:rsidR="00E159F5" w:rsidRPr="00E159F5" w:rsidRDefault="00E159F5" w:rsidP="00E159F5">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Panicle:</w:t>
      </w:r>
      <w:r w:rsidRPr="00E159F5">
        <w:rPr>
          <w:rFonts w:ascii="Times New Roman" w:eastAsia="Times New Roman" w:hAnsi="Times New Roman" w:cs="Times New Roman"/>
          <w:color w:val="1F1F1F"/>
          <w:sz w:val="24"/>
          <w:szCs w:val="24"/>
          <w:bdr w:val="none" w:sz="0" w:space="0" w:color="auto" w:frame="1"/>
        </w:rPr>
        <w:t xml:space="preserve"> A complex, highly branched indeterminate inflorescence; essentially a branching compound raceme.</w:t>
      </w:r>
    </w:p>
    <w:p w14:paraId="42C5D174" w14:textId="77777777" w:rsidR="00E159F5" w:rsidRPr="00E159F5" w:rsidRDefault="00E159F5" w:rsidP="00E159F5">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Corymb:</w:t>
      </w:r>
      <w:r w:rsidRPr="00E159F5">
        <w:rPr>
          <w:rFonts w:ascii="Times New Roman" w:eastAsia="Times New Roman" w:hAnsi="Times New Roman" w:cs="Times New Roman"/>
          <w:color w:val="1F1F1F"/>
          <w:sz w:val="24"/>
          <w:szCs w:val="24"/>
          <w:bdr w:val="none" w:sz="0" w:space="0" w:color="auto" w:frame="1"/>
        </w:rPr>
        <w:t xml:space="preserve"> A flat-topped or convex cluster where the lower pedicels are elongated so that all flowers, regardless of their attachment point, reach the same horizontal plane.</w:t>
      </w:r>
    </w:p>
    <w:p w14:paraId="3A012383" w14:textId="77777777" w:rsidR="00E159F5" w:rsidRPr="00E159F5" w:rsidRDefault="00E159F5" w:rsidP="00E159F5">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Umbel:</w:t>
      </w:r>
      <w:r w:rsidRPr="00E159F5">
        <w:rPr>
          <w:rFonts w:ascii="Times New Roman" w:eastAsia="Times New Roman" w:hAnsi="Times New Roman" w:cs="Times New Roman"/>
          <w:color w:val="1F1F1F"/>
          <w:sz w:val="24"/>
          <w:szCs w:val="24"/>
          <w:bdr w:val="none" w:sz="0" w:space="0" w:color="auto" w:frame="1"/>
        </w:rPr>
        <w:t xml:space="preserve"> An inflorescence where all pedicels radiate outward from a single, common point at the apex of the peduncle, resembling the ribs of an umbrella. Umbels can be simple or compound.</w:t>
      </w:r>
    </w:p>
    <w:p w14:paraId="58BC204C" w14:textId="77777777" w:rsidR="00E159F5" w:rsidRPr="00E159F5" w:rsidRDefault="00E159F5" w:rsidP="00E159F5">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lastRenderedPageBreak/>
        <w:t>Capitulum (Head):</w:t>
      </w:r>
      <w:r w:rsidRPr="00E159F5">
        <w:rPr>
          <w:rFonts w:ascii="Times New Roman" w:eastAsia="Times New Roman" w:hAnsi="Times New Roman" w:cs="Times New Roman"/>
          <w:color w:val="1F1F1F"/>
          <w:sz w:val="24"/>
          <w:szCs w:val="24"/>
          <w:bdr w:val="none" w:sz="0" w:space="0" w:color="auto" w:frame="1"/>
        </w:rPr>
        <w:t xml:space="preserve"> A dense, contracted cluster of sessile flowers sharing a common, enlarged receptacle, visually mimicking a single flower. This is the defining characteristic of the Asteraceae family.</w:t>
      </w:r>
    </w:p>
    <w:p w14:paraId="442FD6EE" w14:textId="77777777" w:rsidR="00E159F5" w:rsidRPr="00E159F5" w:rsidRDefault="00E159F5" w:rsidP="00E159F5">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Catkin (Ament):</w:t>
      </w:r>
      <w:r w:rsidRPr="00E159F5">
        <w:rPr>
          <w:rFonts w:ascii="Times New Roman" w:eastAsia="Times New Roman" w:hAnsi="Times New Roman" w:cs="Times New Roman"/>
          <w:color w:val="1F1F1F"/>
          <w:sz w:val="24"/>
          <w:szCs w:val="24"/>
          <w:bdr w:val="none" w:sz="0" w:space="0" w:color="auto" w:frame="1"/>
        </w:rPr>
        <w:t xml:space="preserve"> A drooping, scaly spike consisting of apetalous, usually unisexual flowers, commonly found in trees like oaks and willows.</w:t>
      </w:r>
    </w:p>
    <w:p w14:paraId="7A5541B3" w14:textId="77777777" w:rsidR="00E159F5" w:rsidRPr="00E159F5" w:rsidRDefault="00E159F5" w:rsidP="00E159F5">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Spadix:</w:t>
      </w:r>
      <w:r w:rsidRPr="00E159F5">
        <w:rPr>
          <w:rFonts w:ascii="Times New Roman" w:eastAsia="Times New Roman" w:hAnsi="Times New Roman" w:cs="Times New Roman"/>
          <w:color w:val="1F1F1F"/>
          <w:sz w:val="24"/>
          <w:szCs w:val="24"/>
          <w:bdr w:val="none" w:sz="0" w:space="0" w:color="auto" w:frame="1"/>
        </w:rPr>
        <w:t xml:space="preserve"> A fleshy, thickened spike bearing numerous small flowers, characteristically enveloped by a large, specialized sheathing bract known as a spathe (common in Araceae).</w:t>
      </w:r>
    </w:p>
    <w:p w14:paraId="33C656AE"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2. Determinate (Cymose / Sympodial) Inflorescences:</w:t>
      </w:r>
      <w:r w:rsidRPr="00E159F5">
        <w:rPr>
          <w:rFonts w:ascii="Times New Roman" w:eastAsia="Times New Roman" w:hAnsi="Times New Roman" w:cs="Times New Roman"/>
          <w:color w:val="1F1F1F"/>
          <w:sz w:val="24"/>
          <w:szCs w:val="24"/>
          <w:bdr w:val="none" w:sz="0" w:space="0" w:color="auto" w:frame="1"/>
        </w:rPr>
        <w:t xml:space="preserve"> In these structures, the terminal bud ceases longitudinal growth by terminating in a flower. The oldest flower is therefore at the top or center of the main axis, and subsequent lateral flowers are produced from lower axillary buds. Growth is restricted and finite.</w:t>
      </w:r>
    </w:p>
    <w:p w14:paraId="5AF8255B" w14:textId="77777777" w:rsidR="00E159F5" w:rsidRPr="00E159F5" w:rsidRDefault="00E159F5" w:rsidP="00E159F5">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Cyme:</w:t>
      </w:r>
      <w:r w:rsidRPr="00E159F5">
        <w:rPr>
          <w:rFonts w:ascii="Times New Roman" w:eastAsia="Times New Roman" w:hAnsi="Times New Roman" w:cs="Times New Roman"/>
          <w:color w:val="1F1F1F"/>
          <w:sz w:val="24"/>
          <w:szCs w:val="24"/>
          <w:bdr w:val="none" w:sz="0" w:space="0" w:color="auto" w:frame="1"/>
        </w:rPr>
        <w:t xml:space="preserve"> A branched inflorescence where the central or terminal flower matures first, followed by peripheral florets. Cymes can be further classified by their branching patterns into monochasiums (one secondary axis), bostryx/helicoid cymes (secondary buds developing on the same side), or drepaniums (successive pedicels aligned in the same plane).</w:t>
      </w:r>
    </w:p>
    <w:p w14:paraId="7CBDED38" w14:textId="77777777" w:rsidR="00E159F5" w:rsidRPr="00E159F5" w:rsidRDefault="00E159F5" w:rsidP="00E159F5">
      <w:pPr>
        <w:spacing w:before="100" w:beforeAutospacing="1" w:after="120" w:line="240" w:lineRule="auto"/>
        <w:outlineLvl w:val="1"/>
        <w:rPr>
          <w:rFonts w:ascii="Times New Roman" w:eastAsia="Times New Roman" w:hAnsi="Times New Roman" w:cs="Times New Roman"/>
          <w:b/>
          <w:bCs/>
          <w:color w:val="1F1F1F"/>
          <w:sz w:val="36"/>
          <w:szCs w:val="36"/>
        </w:rPr>
      </w:pPr>
      <w:bookmarkStart w:id="12" w:name="_Toc225518603"/>
      <w:r w:rsidRPr="00E159F5">
        <w:rPr>
          <w:rFonts w:ascii="Times New Roman" w:eastAsia="Times New Roman" w:hAnsi="Times New Roman" w:cs="Times New Roman"/>
          <w:b/>
          <w:bCs/>
          <w:color w:val="1F1F1F"/>
          <w:sz w:val="36"/>
          <w:szCs w:val="36"/>
        </w:rPr>
        <w:t>4. Diagnostic Characteristics of Major Plant Families</w:t>
      </w:r>
      <w:bookmarkEnd w:id="12"/>
    </w:p>
    <w:p w14:paraId="1D428365"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Pattern recognition at the taxonomic family level is the most efficient and powerful method for identifying unknown flora in the field. By recognizing the highly conserved floral and reproductive traits inherent to specific families, botanists can immediately bypass thousands of incorrect species and narrow their taxonomic hypotheses.</w:t>
      </w:r>
    </w:p>
    <w:p w14:paraId="1BB76B85"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13" w:name="_Toc225518604"/>
      <w:r w:rsidRPr="00E159F5">
        <w:rPr>
          <w:rFonts w:ascii="Times New Roman" w:eastAsia="Times New Roman" w:hAnsi="Times New Roman" w:cs="Times New Roman"/>
          <w:b/>
          <w:bCs/>
          <w:color w:val="1F1F1F"/>
          <w:sz w:val="27"/>
          <w:szCs w:val="27"/>
        </w:rPr>
        <w:t>4.1 The "Big Eight" Widespread Plant Families</w:t>
      </w:r>
      <w:bookmarkEnd w:id="13"/>
    </w:p>
    <w:p w14:paraId="66A49F23" w14:textId="77777777" w:rsidR="00E159F5" w:rsidRPr="00E159F5" w:rsidRDefault="00E159F5" w:rsidP="00E159F5">
      <w:pPr>
        <w:spacing w:before="100" w:beforeAutospacing="1" w:after="24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t>Eight major families account for a massive percentage of global flora. Mastering their diagnostic characteristics is an essential milestone in botanical education.</w:t>
      </w:r>
    </w:p>
    <w:tbl>
      <w:tblPr>
        <w:tblW w:w="0" w:type="auto"/>
        <w:tblCellSpacing w:w="15" w:type="dxa"/>
        <w:tblCellMar>
          <w:left w:w="0" w:type="dxa"/>
          <w:right w:w="0" w:type="dxa"/>
        </w:tblCellMar>
        <w:tblLook w:val="04A0" w:firstRow="1" w:lastRow="0" w:firstColumn="1" w:lastColumn="0" w:noHBand="0" w:noVBand="1"/>
      </w:tblPr>
      <w:tblGrid>
        <w:gridCol w:w="2222"/>
        <w:gridCol w:w="1489"/>
        <w:gridCol w:w="4491"/>
        <w:gridCol w:w="1142"/>
      </w:tblGrid>
      <w:tr w:rsidR="00E159F5" w:rsidRPr="00E159F5" w14:paraId="50FE1E0C" w14:textId="77777777" w:rsidTr="00E159F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9E90A"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Plant Family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E10FA"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Common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E39B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Key Diagnostic Field Characteristics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7D9E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Source</w:t>
            </w:r>
          </w:p>
        </w:tc>
      </w:tr>
      <w:tr w:rsidR="00E159F5" w:rsidRPr="00E159F5" w14:paraId="36209E96"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38AA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Asteraceae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9F4EB"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Daisy / Aster Family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59837"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The largest plant family (over 23,000 species). Defined by the capitulum (flower head), a composite of microscopic florets. Often features central, tubular "disk flowers" and outer, petal-like "ray flowers." Possesses an inferior ovary and a modified calyx (pappus) used for wind dispersal of the achene fruit. Examples: </w:t>
            </w:r>
            <w:r w:rsidRPr="00E159F5">
              <w:rPr>
                <w:rFonts w:ascii="Times New Roman" w:eastAsia="Times New Roman" w:hAnsi="Times New Roman" w:cs="Times New Roman"/>
                <w:i/>
                <w:iCs/>
                <w:color w:val="1F1F1F"/>
                <w:sz w:val="24"/>
                <w:szCs w:val="24"/>
                <w:bdr w:val="none" w:sz="0" w:space="0" w:color="auto" w:frame="1"/>
              </w:rPr>
              <w:t>Helianthus</w:t>
            </w:r>
            <w:r w:rsidRPr="00E159F5">
              <w:rPr>
                <w:rFonts w:ascii="Times New Roman" w:eastAsia="Times New Roman" w:hAnsi="Times New Roman" w:cs="Times New Roman"/>
                <w:color w:val="1F1F1F"/>
                <w:sz w:val="24"/>
                <w:szCs w:val="24"/>
                <w:bdr w:val="none" w:sz="0" w:space="0" w:color="auto" w:frame="1"/>
              </w:rPr>
              <w:t xml:space="preserve"> (sunflower), </w:t>
            </w:r>
            <w:r w:rsidRPr="00E159F5">
              <w:rPr>
                <w:rFonts w:ascii="Times New Roman" w:eastAsia="Times New Roman" w:hAnsi="Times New Roman" w:cs="Times New Roman"/>
                <w:i/>
                <w:iCs/>
                <w:color w:val="1F1F1F"/>
                <w:sz w:val="24"/>
                <w:szCs w:val="24"/>
                <w:bdr w:val="none" w:sz="0" w:space="0" w:color="auto" w:frame="1"/>
              </w:rPr>
              <w:t>Taraxacum</w:t>
            </w:r>
            <w:r w:rsidRPr="00E159F5">
              <w:rPr>
                <w:rFonts w:ascii="Times New Roman" w:eastAsia="Times New Roman" w:hAnsi="Times New Roman" w:cs="Times New Roman"/>
                <w:color w:val="1F1F1F"/>
                <w:sz w:val="24"/>
                <w:szCs w:val="24"/>
                <w:bdr w:val="none" w:sz="0" w:space="0" w:color="auto" w:frame="1"/>
              </w:rPr>
              <w:t xml:space="preserve"> (dandelion), </w:t>
            </w:r>
            <w:r w:rsidRPr="00E159F5">
              <w:rPr>
                <w:rFonts w:ascii="Times New Roman" w:eastAsia="Times New Roman" w:hAnsi="Times New Roman" w:cs="Times New Roman"/>
                <w:i/>
                <w:iCs/>
                <w:color w:val="1F1F1F"/>
                <w:sz w:val="24"/>
                <w:szCs w:val="24"/>
                <w:bdr w:val="none" w:sz="0" w:space="0" w:color="auto" w:frame="1"/>
              </w:rPr>
              <w:t>Artemisia</w:t>
            </w:r>
            <w:r w:rsidRPr="00E159F5">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D3C58"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0A114BBF"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0B73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lastRenderedPageBreak/>
              <w:t>Fabaceae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065FC"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Legume / Pea Family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53B33"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Distinguished by zygomorphic, papilionaceous (butterfly-like) flowers consisting of a large upper "banner" petal, two lateral "wings," and two fused lower petals forming a "keel" that encloses the stamens. The fruit is a legume pod containing seeds. Leaves are typically compound. Examples: Beans, peas, </w:t>
            </w:r>
            <w:r w:rsidRPr="00E159F5">
              <w:rPr>
                <w:rFonts w:ascii="Times New Roman" w:eastAsia="Times New Roman" w:hAnsi="Times New Roman" w:cs="Times New Roman"/>
                <w:i/>
                <w:iCs/>
                <w:color w:val="1F1F1F"/>
                <w:sz w:val="24"/>
                <w:szCs w:val="24"/>
                <w:bdr w:val="none" w:sz="0" w:space="0" w:color="auto" w:frame="1"/>
              </w:rPr>
              <w:t>Tamarindus indica</w:t>
            </w:r>
            <w:r w:rsidRPr="00E159F5">
              <w:rPr>
                <w:rFonts w:ascii="Times New Roman" w:eastAsia="Times New Roman" w:hAnsi="Times New Roman" w:cs="Times New Roman"/>
                <w:color w:val="1F1F1F"/>
                <w:sz w:val="24"/>
                <w:szCs w:val="24"/>
                <w:bdr w:val="none" w:sz="0" w:space="0" w:color="auto" w:frame="1"/>
              </w:rPr>
              <w:t xml:space="preserve">, </w:t>
            </w:r>
            <w:r w:rsidRPr="00E159F5">
              <w:rPr>
                <w:rFonts w:ascii="Times New Roman" w:eastAsia="Times New Roman" w:hAnsi="Times New Roman" w:cs="Times New Roman"/>
                <w:i/>
                <w:iCs/>
                <w:color w:val="1F1F1F"/>
                <w:sz w:val="24"/>
                <w:szCs w:val="24"/>
                <w:bdr w:val="none" w:sz="0" w:space="0" w:color="auto" w:frame="1"/>
              </w:rPr>
              <w:t>Sesbania grandiflora</w:t>
            </w:r>
            <w:r w:rsidRPr="00E159F5">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D1EBE"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63909964"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3A771"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Rosaceae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B77B6"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Rose Family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C5CE7"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Characterized by actinomorphic, open, bowl-shaped flowers with five free petals, five sepals, and an abundance of stamens (often numerous) inserted on a cup-like hypanthium. Plants frequently display spines or prickles, and leaves possess prominent stipules with serrate margins. Edible fruits (apples, raspberries, peaches) are common.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4F751"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4F4CCE81"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98FA8"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Brassicaceae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9035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Mustard / Cabbage Family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0E164"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Easily identified by actinomorphic, cruciferous flowers featuring four petals arranged in the shape of a cross. The androecium is uniquely tetradynamous (six stamens: four long, two short). The fruit is a silique or silicle divided by a thin papery membrane. Tissues produce pungent, peppery glucosinolate juices.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37E31"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74285A71"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B074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Lamiaceae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211AB"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Mint Family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CAAC8"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Highly aromatic plants featuring distinctively square stems and opposite leaf arrangements. Flowers are zygomorphic and prominently two-lipped (bilabiate). Inflorescences frequently manifest as verticillasters (false whorls). The superior ovary divides into four distinct, seed-like nutlets resting on a pad within the open calyx.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09673"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613B8CDD"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2A8BF"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Iridaceae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07F6E"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Iris Family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562D9"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Monocotyledonous plants emerging from bulbs, corms, or rhizomes. Floral parts occur in strict multiples of three (three </w:t>
            </w:r>
            <w:r w:rsidRPr="00E159F5">
              <w:rPr>
                <w:rFonts w:ascii="Times New Roman" w:eastAsia="Times New Roman" w:hAnsi="Times New Roman" w:cs="Times New Roman"/>
                <w:color w:val="1F1F1F"/>
                <w:sz w:val="24"/>
                <w:szCs w:val="24"/>
                <w:bdr w:val="none" w:sz="0" w:space="0" w:color="auto" w:frame="1"/>
              </w:rPr>
              <w:lastRenderedPageBreak/>
              <w:t>true petals, three petaloid sepals, three stamens) paired with an inferior ovary.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DE80A"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5F896EC0"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7F432"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Scrophulariaceae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FE9F3"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Figwort Family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EC335"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Features zygomorphic, two-lipped, tubular flowers borne on elongated spikes or racemes.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37703"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1B0DC3C8"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AB296"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Cyperaceae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2017B"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Sedge Family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F8F20"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Grass-like monocots distinguished from true grasses (Poaceae) by their solid, triangular (three-sided) stems and closed leaf sheaths. Flowers lack a showy perianth, utilizing reduced structures like bristles.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25E06"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bl>
    <w:p w14:paraId="7A1C9195"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14" w:name="_Toc225518605"/>
      <w:r w:rsidRPr="00E159F5">
        <w:rPr>
          <w:rFonts w:ascii="Times New Roman" w:eastAsia="Times New Roman" w:hAnsi="Times New Roman" w:cs="Times New Roman"/>
          <w:b/>
          <w:bCs/>
          <w:color w:val="1F1F1F"/>
          <w:sz w:val="27"/>
          <w:szCs w:val="27"/>
        </w:rPr>
        <w:t>4.2 Other Notable Temperate and Tropical Families</w:t>
      </w:r>
      <w:bookmarkEnd w:id="14"/>
    </w:p>
    <w:p w14:paraId="3509EC17" w14:textId="77777777" w:rsidR="00E159F5" w:rsidRPr="00E159F5" w:rsidRDefault="00E159F5" w:rsidP="00E159F5">
      <w:pPr>
        <w:spacing w:before="100" w:beforeAutospacing="1" w:after="12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t>Beyond the primary eight, several other families possess striking field characteristics:</w:t>
      </w:r>
    </w:p>
    <w:p w14:paraId="58B30040" w14:textId="77777777" w:rsidR="00E159F5" w:rsidRPr="00E159F5" w:rsidRDefault="00E159F5" w:rsidP="00E159F5">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Dipterocarpaceae:</w:t>
      </w:r>
      <w:r w:rsidRPr="00E159F5">
        <w:rPr>
          <w:rFonts w:ascii="Times New Roman" w:eastAsia="Times New Roman" w:hAnsi="Times New Roman" w:cs="Times New Roman"/>
          <w:color w:val="1F1F1F"/>
          <w:sz w:val="24"/>
          <w:szCs w:val="24"/>
          <w:bdr w:val="none" w:sz="0" w:space="0" w:color="auto" w:frame="1"/>
        </w:rPr>
        <w:t xml:space="preserve"> This family completely dominates the canopy of Southeast Asian and Philippine lowland rainforests. Dipterocarps are gigantic, forest-emergent trees capable of reaching heights of 70 to 90 meters, with the tallest known living specimen (</w:t>
      </w:r>
      <w:r w:rsidRPr="00E159F5">
        <w:rPr>
          <w:rFonts w:ascii="Times New Roman" w:eastAsia="Times New Roman" w:hAnsi="Times New Roman" w:cs="Times New Roman"/>
          <w:i/>
          <w:iCs/>
          <w:color w:val="1F1F1F"/>
          <w:sz w:val="24"/>
          <w:szCs w:val="24"/>
          <w:bdr w:val="none" w:sz="0" w:space="0" w:color="auto" w:frame="1"/>
        </w:rPr>
        <w:t>Shorea faguetiana</w:t>
      </w:r>
      <w:r w:rsidRPr="00E159F5">
        <w:rPr>
          <w:rFonts w:ascii="Times New Roman" w:eastAsia="Times New Roman" w:hAnsi="Times New Roman" w:cs="Times New Roman"/>
          <w:color w:val="1F1F1F"/>
          <w:sz w:val="24"/>
          <w:szCs w:val="24"/>
          <w:bdr w:val="none" w:sz="0" w:space="0" w:color="auto" w:frame="1"/>
        </w:rPr>
        <w:t>, named Menara) measuring 93 meters. They are characterized by paniculate inflorescences with five twisted petals. Their most distinguishing feature is their leathery, woody, indehiscent fruit, which is surrounded by a persistent calyx whose segments dramatically elongate into functional wings for wind dispersal. They are prolific resin producers and are heavily targeted globally for valuable timber.</w:t>
      </w:r>
    </w:p>
    <w:p w14:paraId="661D858B" w14:textId="77777777" w:rsidR="00E159F5" w:rsidRPr="00E159F5" w:rsidRDefault="00E159F5" w:rsidP="00E159F5">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Rubiaceae (The Coffee or Madder Family):</w:t>
      </w:r>
      <w:r w:rsidRPr="00E159F5">
        <w:rPr>
          <w:rFonts w:ascii="Times New Roman" w:eastAsia="Times New Roman" w:hAnsi="Times New Roman" w:cs="Times New Roman"/>
          <w:color w:val="1F1F1F"/>
          <w:sz w:val="24"/>
          <w:szCs w:val="24"/>
          <w:bdr w:val="none" w:sz="0" w:space="0" w:color="auto" w:frame="1"/>
        </w:rPr>
        <w:t xml:space="preserve"> Extremely diverse in the tropics, Rubiaceae are easily identified in the field by their opposite, simple leaves featuring interpetiolar stipules—a distinct piece of tissue bridging the stem between the bases of the opposite petioles. They possess actinomorphic flowers with an inferior ovary and exhibit high rates of endemism in the Philippines, particularly in the Mt. Pao Range of Ilocos Norte, which hosts endemic genera like </w:t>
      </w:r>
      <w:r w:rsidRPr="00E159F5">
        <w:rPr>
          <w:rFonts w:ascii="Times New Roman" w:eastAsia="Times New Roman" w:hAnsi="Times New Roman" w:cs="Times New Roman"/>
          <w:i/>
          <w:iCs/>
          <w:color w:val="1F1F1F"/>
          <w:sz w:val="24"/>
          <w:szCs w:val="24"/>
          <w:bdr w:val="none" w:sz="0" w:space="0" w:color="auto" w:frame="1"/>
        </w:rPr>
        <w:t>Antherostele</w:t>
      </w:r>
      <w:r w:rsidRPr="00E159F5">
        <w:rPr>
          <w:rFonts w:ascii="Times New Roman" w:eastAsia="Times New Roman" w:hAnsi="Times New Roman" w:cs="Times New Roman"/>
          <w:color w:val="1F1F1F"/>
          <w:sz w:val="24"/>
          <w:szCs w:val="24"/>
          <w:bdr w:val="none" w:sz="0" w:space="0" w:color="auto" w:frame="1"/>
        </w:rPr>
        <w:t xml:space="preserve"> and </w:t>
      </w:r>
      <w:r w:rsidRPr="00E159F5">
        <w:rPr>
          <w:rFonts w:ascii="Times New Roman" w:eastAsia="Times New Roman" w:hAnsi="Times New Roman" w:cs="Times New Roman"/>
          <w:i/>
          <w:iCs/>
          <w:color w:val="1F1F1F"/>
          <w:sz w:val="24"/>
          <w:szCs w:val="24"/>
          <w:bdr w:val="none" w:sz="0" w:space="0" w:color="auto" w:frame="1"/>
        </w:rPr>
        <w:t>Kanapia</w:t>
      </w:r>
      <w:r w:rsidRPr="00E159F5">
        <w:rPr>
          <w:rFonts w:ascii="Times New Roman" w:eastAsia="Times New Roman" w:hAnsi="Times New Roman" w:cs="Times New Roman"/>
          <w:color w:val="1F1F1F"/>
          <w:sz w:val="24"/>
          <w:szCs w:val="24"/>
          <w:bdr w:val="none" w:sz="0" w:space="0" w:color="auto" w:frame="1"/>
        </w:rPr>
        <w:t>.</w:t>
      </w:r>
    </w:p>
    <w:p w14:paraId="15990DB9" w14:textId="77777777" w:rsidR="00E159F5" w:rsidRPr="00E159F5" w:rsidRDefault="00E159F5" w:rsidP="00E159F5">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Solanaceae (The Nightshade Family):</w:t>
      </w:r>
      <w:r w:rsidRPr="00E159F5">
        <w:rPr>
          <w:rFonts w:ascii="Times New Roman" w:eastAsia="Times New Roman" w:hAnsi="Times New Roman" w:cs="Times New Roman"/>
          <w:color w:val="1F1F1F"/>
          <w:sz w:val="24"/>
          <w:szCs w:val="24"/>
          <w:bdr w:val="none" w:sz="0" w:space="0" w:color="auto" w:frame="1"/>
        </w:rPr>
        <w:t xml:space="preserve"> Contains economically vital crops like tomatoes (</w:t>
      </w:r>
      <w:r w:rsidRPr="00E159F5">
        <w:rPr>
          <w:rFonts w:ascii="Times New Roman" w:eastAsia="Times New Roman" w:hAnsi="Times New Roman" w:cs="Times New Roman"/>
          <w:i/>
          <w:iCs/>
          <w:color w:val="1F1F1F"/>
          <w:sz w:val="24"/>
          <w:szCs w:val="24"/>
          <w:bdr w:val="none" w:sz="0" w:space="0" w:color="auto" w:frame="1"/>
        </w:rPr>
        <w:t>Solanum lycopersicum</w:t>
      </w:r>
      <w:r w:rsidRPr="00E159F5">
        <w:rPr>
          <w:rFonts w:ascii="Times New Roman" w:eastAsia="Times New Roman" w:hAnsi="Times New Roman" w:cs="Times New Roman"/>
          <w:color w:val="1F1F1F"/>
          <w:sz w:val="24"/>
          <w:szCs w:val="24"/>
          <w:bdr w:val="none" w:sz="0" w:space="0" w:color="auto" w:frame="1"/>
        </w:rPr>
        <w:t>) and eggplants (</w:t>
      </w:r>
      <w:r w:rsidRPr="00E159F5">
        <w:rPr>
          <w:rFonts w:ascii="Times New Roman" w:eastAsia="Times New Roman" w:hAnsi="Times New Roman" w:cs="Times New Roman"/>
          <w:i/>
          <w:iCs/>
          <w:color w:val="1F1F1F"/>
          <w:sz w:val="24"/>
          <w:szCs w:val="24"/>
          <w:bdr w:val="none" w:sz="0" w:space="0" w:color="auto" w:frame="1"/>
        </w:rPr>
        <w:t>Solanum melongena</w:t>
      </w:r>
      <w:r w:rsidRPr="00E159F5">
        <w:rPr>
          <w:rFonts w:ascii="Times New Roman" w:eastAsia="Times New Roman" w:hAnsi="Times New Roman" w:cs="Times New Roman"/>
          <w:color w:val="1F1F1F"/>
          <w:sz w:val="24"/>
          <w:szCs w:val="24"/>
          <w:bdr w:val="none" w:sz="0" w:space="0" w:color="auto" w:frame="1"/>
        </w:rPr>
        <w:t>). Characterized by alternate leaves and fruits that are typically either a fleshy berry or a multi-seeded capsule.</w:t>
      </w:r>
    </w:p>
    <w:p w14:paraId="2BB03F16" w14:textId="77777777" w:rsidR="00E159F5" w:rsidRPr="00E159F5" w:rsidRDefault="00E159F5" w:rsidP="00E159F5">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Caryophyllaceae (The Pink Family):</w:t>
      </w:r>
      <w:r w:rsidRPr="00E159F5">
        <w:rPr>
          <w:rFonts w:ascii="Times New Roman" w:eastAsia="Times New Roman" w:hAnsi="Times New Roman" w:cs="Times New Roman"/>
          <w:color w:val="1F1F1F"/>
          <w:sz w:val="24"/>
          <w:szCs w:val="24"/>
          <w:bdr w:val="none" w:sz="0" w:space="0" w:color="auto" w:frame="1"/>
        </w:rPr>
        <w:t xml:space="preserve"> Herbs characterized by opposite leaves attached to distinctly swollen stem nodes. Flowers often have a cylindrical or inflated calyx, as seen in the genus </w:t>
      </w:r>
      <w:r w:rsidRPr="00E159F5">
        <w:rPr>
          <w:rFonts w:ascii="Times New Roman" w:eastAsia="Times New Roman" w:hAnsi="Times New Roman" w:cs="Times New Roman"/>
          <w:i/>
          <w:iCs/>
          <w:color w:val="1F1F1F"/>
          <w:sz w:val="24"/>
          <w:szCs w:val="24"/>
          <w:bdr w:val="none" w:sz="0" w:space="0" w:color="auto" w:frame="1"/>
        </w:rPr>
        <w:t>Silene</w:t>
      </w:r>
      <w:r w:rsidRPr="00E159F5">
        <w:rPr>
          <w:rFonts w:ascii="Times New Roman" w:eastAsia="Times New Roman" w:hAnsi="Times New Roman" w:cs="Times New Roman"/>
          <w:color w:val="1F1F1F"/>
          <w:sz w:val="24"/>
          <w:szCs w:val="24"/>
          <w:bdr w:val="none" w:sz="0" w:space="0" w:color="auto" w:frame="1"/>
        </w:rPr>
        <w:t>, and produce capsule fruits.</w:t>
      </w:r>
    </w:p>
    <w:p w14:paraId="2370F068" w14:textId="77777777" w:rsidR="00E159F5" w:rsidRPr="00E159F5" w:rsidRDefault="00E159F5" w:rsidP="00E159F5">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Campanulaceae (The Bellflower Family):</w:t>
      </w:r>
      <w:r w:rsidRPr="00E159F5">
        <w:rPr>
          <w:rFonts w:ascii="Times New Roman" w:eastAsia="Times New Roman" w:hAnsi="Times New Roman" w:cs="Times New Roman"/>
          <w:color w:val="1F1F1F"/>
          <w:sz w:val="24"/>
          <w:szCs w:val="24"/>
          <w:bdr w:val="none" w:sz="0" w:space="0" w:color="auto" w:frame="1"/>
        </w:rPr>
        <w:t xml:space="preserve"> Characterized by blue flowers arranged in a bell or star shape, with an inferior ovary that develops into a capsule containing numerous small seeds.</w:t>
      </w:r>
    </w:p>
    <w:p w14:paraId="3EC38F36" w14:textId="77777777" w:rsidR="00E159F5" w:rsidRPr="00E159F5" w:rsidRDefault="00E159F5" w:rsidP="00E159F5">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lastRenderedPageBreak/>
        <w:t>Asclepiadaceae (The Milkweed Family):</w:t>
      </w:r>
      <w:r w:rsidRPr="00E159F5">
        <w:rPr>
          <w:rFonts w:ascii="Times New Roman" w:eastAsia="Times New Roman" w:hAnsi="Times New Roman" w:cs="Times New Roman"/>
          <w:color w:val="1F1F1F"/>
          <w:sz w:val="24"/>
          <w:szCs w:val="24"/>
          <w:bdr w:val="none" w:sz="0" w:space="0" w:color="auto" w:frame="1"/>
        </w:rPr>
        <w:t xml:space="preserve"> Traditionally a distinct family (now often grouped within Apocynaceae), noted for producing flat, oval seeds attached to long, silky hairs for wind dispersal.</w:t>
      </w:r>
    </w:p>
    <w:p w14:paraId="6F59E4C1" w14:textId="77777777" w:rsidR="00E159F5" w:rsidRPr="00E159F5" w:rsidRDefault="00E159F5" w:rsidP="00E159F5">
      <w:pPr>
        <w:spacing w:before="100" w:beforeAutospacing="1" w:after="120" w:line="240" w:lineRule="auto"/>
        <w:outlineLvl w:val="1"/>
        <w:rPr>
          <w:rFonts w:ascii="Times New Roman" w:eastAsia="Times New Roman" w:hAnsi="Times New Roman" w:cs="Times New Roman"/>
          <w:b/>
          <w:bCs/>
          <w:color w:val="1F1F1F"/>
          <w:sz w:val="36"/>
          <w:szCs w:val="36"/>
        </w:rPr>
      </w:pPr>
      <w:bookmarkStart w:id="15" w:name="_Toc225518606"/>
      <w:r w:rsidRPr="00E159F5">
        <w:rPr>
          <w:rFonts w:ascii="Times New Roman" w:eastAsia="Times New Roman" w:hAnsi="Times New Roman" w:cs="Times New Roman"/>
          <w:b/>
          <w:bCs/>
          <w:color w:val="1F1F1F"/>
          <w:sz w:val="36"/>
          <w:szCs w:val="36"/>
        </w:rPr>
        <w:t>5. Regional Endemism and Cultivation: The Philippine Context</w:t>
      </w:r>
      <w:bookmarkEnd w:id="15"/>
    </w:p>
    <w:p w14:paraId="66A9ADA8"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Theoretical botanical knowledge must be grounded in regional application. The Philippines is recognized as one of the world's 18 mega-biodiverse countries, harboring an estimated 10,000 to 14,000 vascular plant species, of which more than half are strictly endemic (found nowhere else on Earth). Understanding the flora of this archipelago requires familiarity with both its fragile endemics and its dominant cultivated species.</w:t>
      </w:r>
    </w:p>
    <w:p w14:paraId="1677F574"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16" w:name="_Toc225518607"/>
      <w:r w:rsidRPr="00E159F5">
        <w:rPr>
          <w:rFonts w:ascii="Times New Roman" w:eastAsia="Times New Roman" w:hAnsi="Times New Roman" w:cs="Times New Roman"/>
          <w:b/>
          <w:bCs/>
          <w:color w:val="1F1F1F"/>
          <w:sz w:val="27"/>
          <w:szCs w:val="27"/>
        </w:rPr>
        <w:t>5.1 Endemic and Threatened Flora</w:t>
      </w:r>
      <w:bookmarkEnd w:id="16"/>
    </w:p>
    <w:p w14:paraId="13101A71"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high degree of isolation across the Philippine islands has resulted in explosive evolutionary radiation, producing highly specialized, restricted-range taxa that are heavily threatened by habitat loss and illegal poaching.</w:t>
      </w:r>
    </w:p>
    <w:p w14:paraId="6BD31679" w14:textId="77777777" w:rsidR="00E159F5" w:rsidRPr="00E159F5" w:rsidRDefault="00E159F5" w:rsidP="00E159F5">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Orchidaceae:</w:t>
      </w:r>
      <w:r w:rsidRPr="00E159F5">
        <w:rPr>
          <w:rFonts w:ascii="Times New Roman" w:eastAsia="Times New Roman" w:hAnsi="Times New Roman" w:cs="Times New Roman"/>
          <w:color w:val="1F1F1F"/>
          <w:sz w:val="24"/>
          <w:szCs w:val="24"/>
          <w:bdr w:val="none" w:sz="0" w:space="0" w:color="auto" w:frame="1"/>
        </w:rPr>
        <w:t xml:space="preserve"> The Philippines is renowned for its orchid diversity. The Waling-waling (</w:t>
      </w:r>
      <w:r w:rsidRPr="00E159F5">
        <w:rPr>
          <w:rFonts w:ascii="Times New Roman" w:eastAsia="Times New Roman" w:hAnsi="Times New Roman" w:cs="Times New Roman"/>
          <w:i/>
          <w:iCs/>
          <w:color w:val="1F1F1F"/>
          <w:sz w:val="24"/>
          <w:szCs w:val="24"/>
          <w:bdr w:val="none" w:sz="0" w:space="0" w:color="auto" w:frame="1"/>
        </w:rPr>
        <w:t>Vanda sanderiana</w:t>
      </w:r>
      <w:r w:rsidRPr="00E159F5">
        <w:rPr>
          <w:rFonts w:ascii="Times New Roman" w:eastAsia="Times New Roman" w:hAnsi="Times New Roman" w:cs="Times New Roman"/>
          <w:color w:val="1F1F1F"/>
          <w:sz w:val="24"/>
          <w:szCs w:val="24"/>
          <w:bdr w:val="none" w:sz="0" w:space="0" w:color="auto" w:frame="1"/>
        </w:rPr>
        <w:t>), dubbed the "Queen of Philippine Flowers," is a heavily protected endemic of Mindanao used extensively in global orchid hybridization. Other notable native orchids include the Sanggumay (</w:t>
      </w:r>
      <w:r w:rsidRPr="00E159F5">
        <w:rPr>
          <w:rFonts w:ascii="Times New Roman" w:eastAsia="Times New Roman" w:hAnsi="Times New Roman" w:cs="Times New Roman"/>
          <w:i/>
          <w:iCs/>
          <w:color w:val="1F1F1F"/>
          <w:sz w:val="24"/>
          <w:szCs w:val="24"/>
          <w:bdr w:val="none" w:sz="0" w:space="0" w:color="auto" w:frame="1"/>
        </w:rPr>
        <w:t>Dendrobium anosmum</w:t>
      </w:r>
      <w:r w:rsidRPr="00E159F5">
        <w:rPr>
          <w:rFonts w:ascii="Times New Roman" w:eastAsia="Times New Roman" w:hAnsi="Times New Roman" w:cs="Times New Roman"/>
          <w:color w:val="1F1F1F"/>
          <w:sz w:val="24"/>
          <w:szCs w:val="24"/>
          <w:bdr w:val="none" w:sz="0" w:space="0" w:color="auto" w:frame="1"/>
        </w:rPr>
        <w:t>), known for its overpowering fragrance, the ephemeral One-day Orchid (</w:t>
      </w:r>
      <w:r w:rsidRPr="00E159F5">
        <w:rPr>
          <w:rFonts w:ascii="Times New Roman" w:eastAsia="Times New Roman" w:hAnsi="Times New Roman" w:cs="Times New Roman"/>
          <w:i/>
          <w:iCs/>
          <w:color w:val="1F1F1F"/>
          <w:sz w:val="24"/>
          <w:szCs w:val="24"/>
          <w:bdr w:val="none" w:sz="0" w:space="0" w:color="auto" w:frame="1"/>
        </w:rPr>
        <w:t>Dendrobium crumenatum</w:t>
      </w:r>
      <w:r w:rsidRPr="00E159F5">
        <w:rPr>
          <w:rFonts w:ascii="Times New Roman" w:eastAsia="Times New Roman" w:hAnsi="Times New Roman" w:cs="Times New Roman"/>
          <w:color w:val="1F1F1F"/>
          <w:sz w:val="24"/>
          <w:szCs w:val="24"/>
          <w:bdr w:val="none" w:sz="0" w:space="0" w:color="auto" w:frame="1"/>
        </w:rPr>
        <w:t>), the Many Haired Dendrobium (</w:t>
      </w:r>
      <w:r w:rsidRPr="00E159F5">
        <w:rPr>
          <w:rFonts w:ascii="Times New Roman" w:eastAsia="Times New Roman" w:hAnsi="Times New Roman" w:cs="Times New Roman"/>
          <w:i/>
          <w:iCs/>
          <w:color w:val="1F1F1F"/>
          <w:sz w:val="24"/>
          <w:szCs w:val="24"/>
          <w:bdr w:val="none" w:sz="0" w:space="0" w:color="auto" w:frame="1"/>
        </w:rPr>
        <w:t>Dendrobium polytrichum</w:t>
      </w:r>
      <w:r w:rsidRPr="00E159F5">
        <w:rPr>
          <w:rFonts w:ascii="Times New Roman" w:eastAsia="Times New Roman" w:hAnsi="Times New Roman" w:cs="Times New Roman"/>
          <w:color w:val="1F1F1F"/>
          <w:sz w:val="24"/>
          <w:szCs w:val="24"/>
          <w:bdr w:val="none" w:sz="0" w:space="0" w:color="auto" w:frame="1"/>
        </w:rPr>
        <w:t xml:space="preserve">), and the primary hybrid ancestor </w:t>
      </w:r>
      <w:r w:rsidRPr="00E159F5">
        <w:rPr>
          <w:rFonts w:ascii="Times New Roman" w:eastAsia="Times New Roman" w:hAnsi="Times New Roman" w:cs="Times New Roman"/>
          <w:i/>
          <w:iCs/>
          <w:color w:val="1F1F1F"/>
          <w:sz w:val="24"/>
          <w:szCs w:val="24"/>
          <w:bdr w:val="none" w:sz="0" w:space="0" w:color="auto" w:frame="1"/>
        </w:rPr>
        <w:t>Phalaenopsis aphrodite</w:t>
      </w:r>
      <w:r w:rsidRPr="00E159F5">
        <w:rPr>
          <w:rFonts w:ascii="Times New Roman" w:eastAsia="Times New Roman" w:hAnsi="Times New Roman" w:cs="Times New Roman"/>
          <w:color w:val="1F1F1F"/>
          <w:sz w:val="24"/>
          <w:szCs w:val="24"/>
          <w:bdr w:val="none" w:sz="0" w:space="0" w:color="auto" w:frame="1"/>
        </w:rPr>
        <w:t>.</w:t>
      </w:r>
    </w:p>
    <w:p w14:paraId="1C120D5B" w14:textId="77777777" w:rsidR="00E159F5" w:rsidRPr="00E159F5" w:rsidRDefault="00E159F5" w:rsidP="00E159F5">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Araceae (Aroids):</w:t>
      </w:r>
      <w:r w:rsidRPr="00E159F5">
        <w:rPr>
          <w:rFonts w:ascii="Times New Roman" w:eastAsia="Times New Roman" w:hAnsi="Times New Roman" w:cs="Times New Roman"/>
          <w:color w:val="1F1F1F"/>
          <w:sz w:val="24"/>
          <w:szCs w:val="24"/>
          <w:bdr w:val="none" w:sz="0" w:space="0" w:color="auto" w:frame="1"/>
        </w:rPr>
        <w:t xml:space="preserve"> The understory of Philippine rainforests is rich in climbing and terrestrial aroids. These include the rare endemic </w:t>
      </w:r>
      <w:r w:rsidRPr="00E159F5">
        <w:rPr>
          <w:rFonts w:ascii="Times New Roman" w:eastAsia="Times New Roman" w:hAnsi="Times New Roman" w:cs="Times New Roman"/>
          <w:i/>
          <w:iCs/>
          <w:color w:val="1F1F1F"/>
          <w:sz w:val="24"/>
          <w:szCs w:val="24"/>
          <w:bdr w:val="none" w:sz="0" w:space="0" w:color="auto" w:frame="1"/>
        </w:rPr>
        <w:t>Rhaphidophora monticola</w:t>
      </w:r>
      <w:r w:rsidRPr="00E159F5">
        <w:rPr>
          <w:rFonts w:ascii="Times New Roman" w:eastAsia="Times New Roman" w:hAnsi="Times New Roman" w:cs="Times New Roman"/>
          <w:color w:val="1F1F1F"/>
          <w:sz w:val="24"/>
          <w:szCs w:val="24"/>
          <w:bdr w:val="none" w:sz="0" w:space="0" w:color="auto" w:frame="1"/>
        </w:rPr>
        <w:t>, the Shingle Plant (</w:t>
      </w:r>
      <w:r w:rsidRPr="00E159F5">
        <w:rPr>
          <w:rFonts w:ascii="Times New Roman" w:eastAsia="Times New Roman" w:hAnsi="Times New Roman" w:cs="Times New Roman"/>
          <w:i/>
          <w:iCs/>
          <w:color w:val="1F1F1F"/>
          <w:sz w:val="24"/>
          <w:szCs w:val="24"/>
          <w:bdr w:val="none" w:sz="0" w:space="0" w:color="auto" w:frame="1"/>
        </w:rPr>
        <w:t>Raphidophora khortalsii</w:t>
      </w:r>
      <w:r w:rsidRPr="00E159F5">
        <w:rPr>
          <w:rFonts w:ascii="Times New Roman" w:eastAsia="Times New Roman" w:hAnsi="Times New Roman" w:cs="Times New Roman"/>
          <w:color w:val="1F1F1F"/>
          <w:sz w:val="24"/>
          <w:szCs w:val="24"/>
          <w:bdr w:val="none" w:sz="0" w:space="0" w:color="auto" w:frame="1"/>
        </w:rPr>
        <w:t>), the Dragon's Tail (</w:t>
      </w:r>
      <w:r w:rsidRPr="00E159F5">
        <w:rPr>
          <w:rFonts w:ascii="Times New Roman" w:eastAsia="Times New Roman" w:hAnsi="Times New Roman" w:cs="Times New Roman"/>
          <w:i/>
          <w:iCs/>
          <w:color w:val="1F1F1F"/>
          <w:sz w:val="24"/>
          <w:szCs w:val="24"/>
          <w:bdr w:val="none" w:sz="0" w:space="0" w:color="auto" w:frame="1"/>
        </w:rPr>
        <w:t>Epipremnum pinnatum</w:t>
      </w:r>
      <w:r w:rsidRPr="00E159F5">
        <w:rPr>
          <w:rFonts w:ascii="Times New Roman" w:eastAsia="Times New Roman" w:hAnsi="Times New Roman" w:cs="Times New Roman"/>
          <w:color w:val="1F1F1F"/>
          <w:sz w:val="24"/>
          <w:szCs w:val="24"/>
          <w:bdr w:val="none" w:sz="0" w:space="0" w:color="auto" w:frame="1"/>
        </w:rPr>
        <w:t xml:space="preserve">), and the highly sought-after terrestrial </w:t>
      </w:r>
      <w:r w:rsidRPr="00E159F5">
        <w:rPr>
          <w:rFonts w:ascii="Times New Roman" w:eastAsia="Times New Roman" w:hAnsi="Times New Roman" w:cs="Times New Roman"/>
          <w:i/>
          <w:iCs/>
          <w:color w:val="1F1F1F"/>
          <w:sz w:val="24"/>
          <w:szCs w:val="24"/>
          <w:bdr w:val="none" w:sz="0" w:space="0" w:color="auto" w:frame="1"/>
        </w:rPr>
        <w:t>Alocasia micholitziana</w:t>
      </w:r>
      <w:r w:rsidRPr="00E159F5">
        <w:rPr>
          <w:rFonts w:ascii="Times New Roman" w:eastAsia="Times New Roman" w:hAnsi="Times New Roman" w:cs="Times New Roman"/>
          <w:color w:val="1F1F1F"/>
          <w:sz w:val="24"/>
          <w:szCs w:val="24"/>
          <w:bdr w:val="none" w:sz="0" w:space="0" w:color="auto" w:frame="1"/>
        </w:rPr>
        <w:t xml:space="preserve"> (Frydek Plant).</w:t>
      </w:r>
    </w:p>
    <w:p w14:paraId="7B971706" w14:textId="77777777" w:rsidR="00E159F5" w:rsidRPr="00E159F5" w:rsidRDefault="00E159F5" w:rsidP="00E159F5">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Nepenthaceae (Pitcher Plants):</w:t>
      </w:r>
      <w:r w:rsidRPr="00E159F5">
        <w:rPr>
          <w:rFonts w:ascii="Times New Roman" w:eastAsia="Times New Roman" w:hAnsi="Times New Roman" w:cs="Times New Roman"/>
          <w:color w:val="1F1F1F"/>
          <w:sz w:val="24"/>
          <w:szCs w:val="24"/>
          <w:bdr w:val="none" w:sz="0" w:space="0" w:color="auto" w:frame="1"/>
        </w:rPr>
        <w:t xml:space="preserve"> Carnivorous pitcher plants thrive in nutrient-poor, ultramafic soils. Key endemics include </w:t>
      </w:r>
      <w:r w:rsidRPr="00E159F5">
        <w:rPr>
          <w:rFonts w:ascii="Times New Roman" w:eastAsia="Times New Roman" w:hAnsi="Times New Roman" w:cs="Times New Roman"/>
          <w:i/>
          <w:iCs/>
          <w:color w:val="1F1F1F"/>
          <w:sz w:val="24"/>
          <w:szCs w:val="24"/>
          <w:bdr w:val="none" w:sz="0" w:space="0" w:color="auto" w:frame="1"/>
        </w:rPr>
        <w:t>Nepenthes mantalingajanensis</w:t>
      </w:r>
      <w:r w:rsidRPr="00E159F5">
        <w:rPr>
          <w:rFonts w:ascii="Times New Roman" w:eastAsia="Times New Roman" w:hAnsi="Times New Roman" w:cs="Times New Roman"/>
          <w:color w:val="1F1F1F"/>
          <w:sz w:val="24"/>
          <w:szCs w:val="24"/>
          <w:bdr w:val="none" w:sz="0" w:space="0" w:color="auto" w:frame="1"/>
        </w:rPr>
        <w:t xml:space="preserve"> (restricted to Mt. Mantalingahan in Palawan), </w:t>
      </w:r>
      <w:r w:rsidRPr="00E159F5">
        <w:rPr>
          <w:rFonts w:ascii="Times New Roman" w:eastAsia="Times New Roman" w:hAnsi="Times New Roman" w:cs="Times New Roman"/>
          <w:i/>
          <w:iCs/>
          <w:color w:val="1F1F1F"/>
          <w:sz w:val="24"/>
          <w:szCs w:val="24"/>
          <w:bdr w:val="none" w:sz="0" w:space="0" w:color="auto" w:frame="1"/>
        </w:rPr>
        <w:t>Nepenthes peltata</w:t>
      </w:r>
      <w:r w:rsidRPr="00E159F5">
        <w:rPr>
          <w:rFonts w:ascii="Times New Roman" w:eastAsia="Times New Roman" w:hAnsi="Times New Roman" w:cs="Times New Roman"/>
          <w:color w:val="1F1F1F"/>
          <w:sz w:val="24"/>
          <w:szCs w:val="24"/>
          <w:bdr w:val="none" w:sz="0" w:space="0" w:color="auto" w:frame="1"/>
        </w:rPr>
        <w:t xml:space="preserve">, and </w:t>
      </w:r>
      <w:r w:rsidRPr="00E159F5">
        <w:rPr>
          <w:rFonts w:ascii="Times New Roman" w:eastAsia="Times New Roman" w:hAnsi="Times New Roman" w:cs="Times New Roman"/>
          <w:i/>
          <w:iCs/>
          <w:color w:val="1F1F1F"/>
          <w:sz w:val="24"/>
          <w:szCs w:val="24"/>
          <w:bdr w:val="none" w:sz="0" w:space="0" w:color="auto" w:frame="1"/>
        </w:rPr>
        <w:t>Nepenthes mira</w:t>
      </w:r>
      <w:r w:rsidRPr="00E159F5">
        <w:rPr>
          <w:rFonts w:ascii="Times New Roman" w:eastAsia="Times New Roman" w:hAnsi="Times New Roman" w:cs="Times New Roman"/>
          <w:color w:val="1F1F1F"/>
          <w:sz w:val="24"/>
          <w:szCs w:val="24"/>
          <w:bdr w:val="none" w:sz="0" w:space="0" w:color="auto" w:frame="1"/>
        </w:rPr>
        <w:t>.</w:t>
      </w:r>
    </w:p>
    <w:p w14:paraId="6E5B3F82" w14:textId="77777777" w:rsidR="00E159F5" w:rsidRPr="00E159F5" w:rsidRDefault="00E159F5" w:rsidP="00E159F5">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Arecaceae (Palms):</w:t>
      </w:r>
      <w:r w:rsidRPr="00E159F5">
        <w:rPr>
          <w:rFonts w:ascii="Times New Roman" w:eastAsia="Times New Roman" w:hAnsi="Times New Roman" w:cs="Times New Roman"/>
          <w:color w:val="1F1F1F"/>
          <w:sz w:val="24"/>
          <w:szCs w:val="24"/>
          <w:bdr w:val="none" w:sz="0" w:space="0" w:color="auto" w:frame="1"/>
        </w:rPr>
        <w:t xml:space="preserve"> Palms are structurally dominant in many Philippine ecosystems. The vulnerable Manila Palm (</w:t>
      </w:r>
      <w:r w:rsidRPr="00E159F5">
        <w:rPr>
          <w:rFonts w:ascii="Times New Roman" w:eastAsia="Times New Roman" w:hAnsi="Times New Roman" w:cs="Times New Roman"/>
          <w:i/>
          <w:iCs/>
          <w:color w:val="1F1F1F"/>
          <w:sz w:val="24"/>
          <w:szCs w:val="24"/>
          <w:bdr w:val="none" w:sz="0" w:space="0" w:color="auto" w:frame="1"/>
        </w:rPr>
        <w:t>Adonidia merrillii</w:t>
      </w:r>
      <w:r w:rsidRPr="00E159F5">
        <w:rPr>
          <w:rFonts w:ascii="Times New Roman" w:eastAsia="Times New Roman" w:hAnsi="Times New Roman" w:cs="Times New Roman"/>
          <w:color w:val="1F1F1F"/>
          <w:sz w:val="24"/>
          <w:szCs w:val="24"/>
          <w:bdr w:val="none" w:sz="0" w:space="0" w:color="auto" w:frame="1"/>
        </w:rPr>
        <w:t>), the Sugar Palm (</w:t>
      </w:r>
      <w:r w:rsidRPr="00E159F5">
        <w:rPr>
          <w:rFonts w:ascii="Times New Roman" w:eastAsia="Times New Roman" w:hAnsi="Times New Roman" w:cs="Times New Roman"/>
          <w:i/>
          <w:iCs/>
          <w:color w:val="1F1F1F"/>
          <w:sz w:val="24"/>
          <w:szCs w:val="24"/>
          <w:bdr w:val="none" w:sz="0" w:space="0" w:color="auto" w:frame="1"/>
        </w:rPr>
        <w:t>Arenga pinnata</w:t>
      </w:r>
      <w:r w:rsidRPr="00E159F5">
        <w:rPr>
          <w:rFonts w:ascii="Times New Roman" w:eastAsia="Times New Roman" w:hAnsi="Times New Roman" w:cs="Times New Roman"/>
          <w:color w:val="1F1F1F"/>
          <w:sz w:val="24"/>
          <w:szCs w:val="24"/>
          <w:bdr w:val="none" w:sz="0" w:space="0" w:color="auto" w:frame="1"/>
        </w:rPr>
        <w:t>), and the climbing Rattan (</w:t>
      </w:r>
      <w:r w:rsidRPr="00E159F5">
        <w:rPr>
          <w:rFonts w:ascii="Times New Roman" w:eastAsia="Times New Roman" w:hAnsi="Times New Roman" w:cs="Times New Roman"/>
          <w:i/>
          <w:iCs/>
          <w:color w:val="1F1F1F"/>
          <w:sz w:val="24"/>
          <w:szCs w:val="24"/>
          <w:bdr w:val="none" w:sz="0" w:space="0" w:color="auto" w:frame="1"/>
        </w:rPr>
        <w:t>Calamus rotang</w:t>
      </w:r>
      <w:r w:rsidRPr="00E159F5">
        <w:rPr>
          <w:rFonts w:ascii="Times New Roman" w:eastAsia="Times New Roman" w:hAnsi="Times New Roman" w:cs="Times New Roman"/>
          <w:color w:val="1F1F1F"/>
          <w:sz w:val="24"/>
          <w:szCs w:val="24"/>
          <w:bdr w:val="none" w:sz="0" w:space="0" w:color="auto" w:frame="1"/>
        </w:rPr>
        <w:t xml:space="preserve">) are widespread. In the swampy beach forests of Tagum City, Davao Del Norte, the palm </w:t>
      </w:r>
      <w:r w:rsidRPr="00E159F5">
        <w:rPr>
          <w:rFonts w:ascii="Times New Roman" w:eastAsia="Times New Roman" w:hAnsi="Times New Roman" w:cs="Times New Roman"/>
          <w:i/>
          <w:iCs/>
          <w:color w:val="1F1F1F"/>
          <w:sz w:val="24"/>
          <w:szCs w:val="24"/>
          <w:bdr w:val="none" w:sz="0" w:space="0" w:color="auto" w:frame="1"/>
        </w:rPr>
        <w:t>Saribus rotundifolius</w:t>
      </w:r>
      <w:r w:rsidRPr="00E159F5">
        <w:rPr>
          <w:rFonts w:ascii="Times New Roman" w:eastAsia="Times New Roman" w:hAnsi="Times New Roman" w:cs="Times New Roman"/>
          <w:color w:val="1F1F1F"/>
          <w:sz w:val="24"/>
          <w:szCs w:val="24"/>
          <w:bdr w:val="none" w:sz="0" w:space="0" w:color="auto" w:frame="1"/>
        </w:rPr>
        <w:t xml:space="preserve"> serves as the keystone species with the highest ecological importance value among 239 recorded vascular plants.</w:t>
      </w:r>
    </w:p>
    <w:p w14:paraId="3DA041A8" w14:textId="77777777" w:rsidR="00E159F5" w:rsidRPr="00E159F5" w:rsidRDefault="00E159F5" w:rsidP="00E159F5">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Epiphytic Ferns:</w:t>
      </w:r>
      <w:r w:rsidRPr="00E159F5">
        <w:rPr>
          <w:rFonts w:ascii="Times New Roman" w:eastAsia="Times New Roman" w:hAnsi="Times New Roman" w:cs="Times New Roman"/>
          <w:color w:val="1F1F1F"/>
          <w:sz w:val="24"/>
          <w:szCs w:val="24"/>
          <w:bdr w:val="none" w:sz="0" w:space="0" w:color="auto" w:frame="1"/>
        </w:rPr>
        <w:t xml:space="preserve"> The high-canopy environments host heavily poached, ancient epiphytic ferns, notably the critically endangered Staghorn Fern (</w:t>
      </w:r>
      <w:r w:rsidRPr="00E159F5">
        <w:rPr>
          <w:rFonts w:ascii="Times New Roman" w:eastAsia="Times New Roman" w:hAnsi="Times New Roman" w:cs="Times New Roman"/>
          <w:i/>
          <w:iCs/>
          <w:color w:val="1F1F1F"/>
          <w:sz w:val="24"/>
          <w:szCs w:val="24"/>
          <w:bdr w:val="none" w:sz="0" w:space="0" w:color="auto" w:frame="1"/>
        </w:rPr>
        <w:t>Platycerium</w:t>
      </w:r>
      <w:r w:rsidRPr="00E159F5">
        <w:rPr>
          <w:rFonts w:ascii="Times New Roman" w:eastAsia="Times New Roman" w:hAnsi="Times New Roman" w:cs="Times New Roman"/>
          <w:color w:val="1F1F1F"/>
          <w:sz w:val="24"/>
          <w:szCs w:val="24"/>
          <w:bdr w:val="none" w:sz="0" w:space="0" w:color="auto" w:frame="1"/>
        </w:rPr>
        <w:t xml:space="preserve"> species) and the unusual Square Tassel Fern (</w:t>
      </w:r>
      <w:r w:rsidRPr="00E159F5">
        <w:rPr>
          <w:rFonts w:ascii="Times New Roman" w:eastAsia="Times New Roman" w:hAnsi="Times New Roman" w:cs="Times New Roman"/>
          <w:i/>
          <w:iCs/>
          <w:color w:val="1F1F1F"/>
          <w:sz w:val="24"/>
          <w:szCs w:val="24"/>
          <w:bdr w:val="none" w:sz="0" w:space="0" w:color="auto" w:frame="1"/>
        </w:rPr>
        <w:t>Phlegmariurus tetrastichus</w:t>
      </w:r>
      <w:r w:rsidRPr="00E159F5">
        <w:rPr>
          <w:rFonts w:ascii="Times New Roman" w:eastAsia="Times New Roman" w:hAnsi="Times New Roman" w:cs="Times New Roman"/>
          <w:color w:val="1F1F1F"/>
          <w:sz w:val="24"/>
          <w:szCs w:val="24"/>
          <w:bdr w:val="none" w:sz="0" w:space="0" w:color="auto" w:frame="1"/>
        </w:rPr>
        <w:t>), which resembles a square rope.</w:t>
      </w:r>
    </w:p>
    <w:p w14:paraId="4803A55E" w14:textId="77777777" w:rsidR="00E159F5" w:rsidRPr="00E159F5" w:rsidRDefault="00E159F5" w:rsidP="00E159F5">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Other Notable Endemics:</w:t>
      </w:r>
      <w:r w:rsidRPr="00E159F5">
        <w:rPr>
          <w:rFonts w:ascii="Times New Roman" w:eastAsia="Times New Roman" w:hAnsi="Times New Roman" w:cs="Times New Roman"/>
          <w:color w:val="1F1F1F"/>
          <w:sz w:val="24"/>
          <w:szCs w:val="24"/>
          <w:bdr w:val="none" w:sz="0" w:space="0" w:color="auto" w:frame="1"/>
        </w:rPr>
        <w:t xml:space="preserve"> The Jade vine (</w:t>
      </w:r>
      <w:r w:rsidRPr="00E159F5">
        <w:rPr>
          <w:rFonts w:ascii="Times New Roman" w:eastAsia="Times New Roman" w:hAnsi="Times New Roman" w:cs="Times New Roman"/>
          <w:i/>
          <w:iCs/>
          <w:color w:val="1F1F1F"/>
          <w:sz w:val="24"/>
          <w:szCs w:val="24"/>
          <w:bdr w:val="none" w:sz="0" w:space="0" w:color="auto" w:frame="1"/>
        </w:rPr>
        <w:t>Strongylodon macrobotrys</w:t>
      </w:r>
      <w:r w:rsidRPr="00E159F5">
        <w:rPr>
          <w:rFonts w:ascii="Times New Roman" w:eastAsia="Times New Roman" w:hAnsi="Times New Roman" w:cs="Times New Roman"/>
          <w:color w:val="1F1F1F"/>
          <w:sz w:val="24"/>
          <w:szCs w:val="24"/>
          <w:bdr w:val="none" w:sz="0" w:space="0" w:color="auto" w:frame="1"/>
        </w:rPr>
        <w:t xml:space="preserve">), </w:t>
      </w:r>
      <w:r w:rsidRPr="00E159F5">
        <w:rPr>
          <w:rFonts w:ascii="Times New Roman" w:eastAsia="Times New Roman" w:hAnsi="Times New Roman" w:cs="Times New Roman"/>
          <w:i/>
          <w:iCs/>
          <w:color w:val="1F1F1F"/>
          <w:sz w:val="24"/>
          <w:szCs w:val="24"/>
          <w:bdr w:val="none" w:sz="0" w:space="0" w:color="auto" w:frame="1"/>
        </w:rPr>
        <w:t>Begonia cabanillasii</w:t>
      </w:r>
      <w:r w:rsidRPr="00E159F5">
        <w:rPr>
          <w:rFonts w:ascii="Times New Roman" w:eastAsia="Times New Roman" w:hAnsi="Times New Roman" w:cs="Times New Roman"/>
          <w:color w:val="1F1F1F"/>
          <w:sz w:val="24"/>
          <w:szCs w:val="24"/>
          <w:bdr w:val="none" w:sz="0" w:space="0" w:color="auto" w:frame="1"/>
        </w:rPr>
        <w:t xml:space="preserve"> (one of 157 Begonia species in the country), the Rose Grape, and the Katmon tree (</w:t>
      </w:r>
      <w:r w:rsidRPr="00E159F5">
        <w:rPr>
          <w:rFonts w:ascii="Times New Roman" w:eastAsia="Times New Roman" w:hAnsi="Times New Roman" w:cs="Times New Roman"/>
          <w:i/>
          <w:iCs/>
          <w:color w:val="1F1F1F"/>
          <w:sz w:val="24"/>
          <w:szCs w:val="24"/>
          <w:bdr w:val="none" w:sz="0" w:space="0" w:color="auto" w:frame="1"/>
        </w:rPr>
        <w:t>Dillenia philippinensis</w:t>
      </w:r>
      <w:r w:rsidRPr="00E159F5">
        <w:rPr>
          <w:rFonts w:ascii="Times New Roman" w:eastAsia="Times New Roman" w:hAnsi="Times New Roman" w:cs="Times New Roman"/>
          <w:color w:val="1F1F1F"/>
          <w:sz w:val="24"/>
          <w:szCs w:val="24"/>
          <w:bdr w:val="none" w:sz="0" w:space="0" w:color="auto" w:frame="1"/>
        </w:rPr>
        <w:t>) highlight the vast diversity of the archipelago.</w:t>
      </w:r>
    </w:p>
    <w:p w14:paraId="4EEBF119"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17" w:name="_Toc225518608"/>
      <w:r w:rsidRPr="00E159F5">
        <w:rPr>
          <w:rFonts w:ascii="Times New Roman" w:eastAsia="Times New Roman" w:hAnsi="Times New Roman" w:cs="Times New Roman"/>
          <w:b/>
          <w:bCs/>
          <w:color w:val="1F1F1F"/>
          <w:sz w:val="27"/>
          <w:szCs w:val="27"/>
        </w:rPr>
        <w:lastRenderedPageBreak/>
        <w:t>5.2 Common Cultivated Species</w:t>
      </w:r>
      <w:bookmarkEnd w:id="17"/>
    </w:p>
    <w:p w14:paraId="4C8D1FC7"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Alongside wild endemics, agricultural and ornamental cultivation shapes the botanical landscape. The </w:t>
      </w:r>
      <w:r w:rsidRPr="00E159F5">
        <w:rPr>
          <w:rFonts w:ascii="Times New Roman" w:eastAsia="Times New Roman" w:hAnsi="Times New Roman" w:cs="Times New Roman"/>
          <w:i/>
          <w:iCs/>
          <w:color w:val="1F1F1F"/>
          <w:sz w:val="24"/>
          <w:szCs w:val="24"/>
          <w:bdr w:val="none" w:sz="0" w:space="0" w:color="auto" w:frame="1"/>
        </w:rPr>
        <w:t>Field Guide to the Cultivated Plants of the Philippines</w:t>
      </w:r>
      <w:r w:rsidRPr="00E159F5">
        <w:rPr>
          <w:rFonts w:ascii="Times New Roman" w:eastAsia="Times New Roman" w:hAnsi="Times New Roman" w:cs="Times New Roman"/>
          <w:color w:val="1F1F1F"/>
          <w:sz w:val="24"/>
          <w:szCs w:val="24"/>
          <w:bdr w:val="none" w:sz="0" w:space="0" w:color="auto" w:frame="1"/>
        </w:rPr>
        <w:t xml:space="preserve"> extensively documents these introduced and indigenized species. In the southern regions, particularly the Davao Region and Mindanao, dominant tree crops include the Mangosteen (</w:t>
      </w:r>
      <w:r w:rsidRPr="00E159F5">
        <w:rPr>
          <w:rFonts w:ascii="Times New Roman" w:eastAsia="Times New Roman" w:hAnsi="Times New Roman" w:cs="Times New Roman"/>
          <w:i/>
          <w:iCs/>
          <w:color w:val="1F1F1F"/>
          <w:sz w:val="24"/>
          <w:szCs w:val="24"/>
          <w:bdr w:val="none" w:sz="0" w:space="0" w:color="auto" w:frame="1"/>
        </w:rPr>
        <w:t>Garcinia mangostana</w:t>
      </w:r>
      <w:r w:rsidRPr="00E159F5">
        <w:rPr>
          <w:rFonts w:ascii="Times New Roman" w:eastAsia="Times New Roman" w:hAnsi="Times New Roman" w:cs="Times New Roman"/>
          <w:color w:val="1F1F1F"/>
          <w:sz w:val="24"/>
          <w:szCs w:val="24"/>
          <w:bdr w:val="none" w:sz="0" w:space="0" w:color="auto" w:frame="1"/>
        </w:rPr>
        <w:t>), an introduced tree producing a dark purple berry prized for its medicinal and antioxidant properties, and the Tamarind (</w:t>
      </w:r>
      <w:r w:rsidRPr="00E159F5">
        <w:rPr>
          <w:rFonts w:ascii="Times New Roman" w:eastAsia="Times New Roman" w:hAnsi="Times New Roman" w:cs="Times New Roman"/>
          <w:i/>
          <w:iCs/>
          <w:color w:val="1F1F1F"/>
          <w:sz w:val="24"/>
          <w:szCs w:val="24"/>
          <w:bdr w:val="none" w:sz="0" w:space="0" w:color="auto" w:frame="1"/>
        </w:rPr>
        <w:t>Tamarindus indica</w:t>
      </w:r>
      <w:r w:rsidRPr="00E159F5">
        <w:rPr>
          <w:rFonts w:ascii="Times New Roman" w:eastAsia="Times New Roman" w:hAnsi="Times New Roman" w:cs="Times New Roman"/>
          <w:color w:val="1F1F1F"/>
          <w:sz w:val="24"/>
          <w:szCs w:val="24"/>
          <w:bdr w:val="none" w:sz="0" w:space="0" w:color="auto" w:frame="1"/>
        </w:rPr>
        <w:t>), a leguminous tree utilized for its sour fruit pulp. Other widespread cultivated species across the country include the onion (</w:t>
      </w:r>
      <w:r w:rsidRPr="00E159F5">
        <w:rPr>
          <w:rFonts w:ascii="Times New Roman" w:eastAsia="Times New Roman" w:hAnsi="Times New Roman" w:cs="Times New Roman"/>
          <w:i/>
          <w:iCs/>
          <w:color w:val="1F1F1F"/>
          <w:sz w:val="24"/>
          <w:szCs w:val="24"/>
          <w:bdr w:val="none" w:sz="0" w:space="0" w:color="auto" w:frame="1"/>
        </w:rPr>
        <w:t>Allium cepa</w:t>
      </w:r>
      <w:r w:rsidRPr="00E159F5">
        <w:rPr>
          <w:rFonts w:ascii="Times New Roman" w:eastAsia="Times New Roman" w:hAnsi="Times New Roman" w:cs="Times New Roman"/>
          <w:color w:val="1F1F1F"/>
          <w:sz w:val="24"/>
          <w:szCs w:val="24"/>
          <w:bdr w:val="none" w:sz="0" w:space="0" w:color="auto" w:frame="1"/>
        </w:rPr>
        <w:t>), garlic (</w:t>
      </w:r>
      <w:r w:rsidRPr="00E159F5">
        <w:rPr>
          <w:rFonts w:ascii="Times New Roman" w:eastAsia="Times New Roman" w:hAnsi="Times New Roman" w:cs="Times New Roman"/>
          <w:i/>
          <w:iCs/>
          <w:color w:val="1F1F1F"/>
          <w:sz w:val="24"/>
          <w:szCs w:val="24"/>
          <w:bdr w:val="none" w:sz="0" w:space="0" w:color="auto" w:frame="1"/>
        </w:rPr>
        <w:t>Allium sativum</w:t>
      </w:r>
      <w:r w:rsidRPr="00E159F5">
        <w:rPr>
          <w:rFonts w:ascii="Times New Roman" w:eastAsia="Times New Roman" w:hAnsi="Times New Roman" w:cs="Times New Roman"/>
          <w:color w:val="1F1F1F"/>
          <w:sz w:val="24"/>
          <w:szCs w:val="24"/>
          <w:bdr w:val="none" w:sz="0" w:space="0" w:color="auto" w:frame="1"/>
        </w:rPr>
        <w:t>), tomato (</w:t>
      </w:r>
      <w:r w:rsidRPr="00E159F5">
        <w:rPr>
          <w:rFonts w:ascii="Times New Roman" w:eastAsia="Times New Roman" w:hAnsi="Times New Roman" w:cs="Times New Roman"/>
          <w:i/>
          <w:iCs/>
          <w:color w:val="1F1F1F"/>
          <w:sz w:val="24"/>
          <w:szCs w:val="24"/>
          <w:bdr w:val="none" w:sz="0" w:space="0" w:color="auto" w:frame="1"/>
        </w:rPr>
        <w:t>Solanum lycopersicum</w:t>
      </w:r>
      <w:r w:rsidRPr="00E159F5">
        <w:rPr>
          <w:rFonts w:ascii="Times New Roman" w:eastAsia="Times New Roman" w:hAnsi="Times New Roman" w:cs="Times New Roman"/>
          <w:color w:val="1F1F1F"/>
          <w:sz w:val="24"/>
          <w:szCs w:val="24"/>
          <w:bdr w:val="none" w:sz="0" w:space="0" w:color="auto" w:frame="1"/>
        </w:rPr>
        <w:t>), turmeric (</w:t>
      </w:r>
      <w:r w:rsidRPr="00E159F5">
        <w:rPr>
          <w:rFonts w:ascii="Times New Roman" w:eastAsia="Times New Roman" w:hAnsi="Times New Roman" w:cs="Times New Roman"/>
          <w:i/>
          <w:iCs/>
          <w:color w:val="1F1F1F"/>
          <w:sz w:val="24"/>
          <w:szCs w:val="24"/>
          <w:bdr w:val="none" w:sz="0" w:space="0" w:color="auto" w:frame="1"/>
        </w:rPr>
        <w:t>Curcuma longa</w:t>
      </w:r>
      <w:r w:rsidRPr="00E159F5">
        <w:rPr>
          <w:rFonts w:ascii="Times New Roman" w:eastAsia="Times New Roman" w:hAnsi="Times New Roman" w:cs="Times New Roman"/>
          <w:color w:val="1F1F1F"/>
          <w:sz w:val="24"/>
          <w:szCs w:val="24"/>
          <w:bdr w:val="none" w:sz="0" w:space="0" w:color="auto" w:frame="1"/>
        </w:rPr>
        <w:t>), Aloe vera (</w:t>
      </w:r>
      <w:r w:rsidRPr="00E159F5">
        <w:rPr>
          <w:rFonts w:ascii="Times New Roman" w:eastAsia="Times New Roman" w:hAnsi="Times New Roman" w:cs="Times New Roman"/>
          <w:i/>
          <w:iCs/>
          <w:color w:val="1F1F1F"/>
          <w:sz w:val="24"/>
          <w:szCs w:val="24"/>
          <w:bdr w:val="none" w:sz="0" w:space="0" w:color="auto" w:frame="1"/>
        </w:rPr>
        <w:t>Aloe vera</w:t>
      </w:r>
      <w:r w:rsidRPr="00E159F5">
        <w:rPr>
          <w:rFonts w:ascii="Times New Roman" w:eastAsia="Times New Roman" w:hAnsi="Times New Roman" w:cs="Times New Roman"/>
          <w:color w:val="1F1F1F"/>
          <w:sz w:val="24"/>
          <w:szCs w:val="24"/>
          <w:bdr w:val="none" w:sz="0" w:space="0" w:color="auto" w:frame="1"/>
        </w:rPr>
        <w:t>), and the Vegetable Hummingbird tree (</w:t>
      </w:r>
      <w:r w:rsidRPr="00E159F5">
        <w:rPr>
          <w:rFonts w:ascii="Times New Roman" w:eastAsia="Times New Roman" w:hAnsi="Times New Roman" w:cs="Times New Roman"/>
          <w:i/>
          <w:iCs/>
          <w:color w:val="1F1F1F"/>
          <w:sz w:val="24"/>
          <w:szCs w:val="24"/>
          <w:bdr w:val="none" w:sz="0" w:space="0" w:color="auto" w:frame="1"/>
        </w:rPr>
        <w:t>Sesbania grandiflora</w:t>
      </w:r>
      <w:r w:rsidRPr="00E159F5">
        <w:rPr>
          <w:rFonts w:ascii="Times New Roman" w:eastAsia="Times New Roman" w:hAnsi="Times New Roman" w:cs="Times New Roman"/>
          <w:color w:val="1F1F1F"/>
          <w:sz w:val="24"/>
          <w:szCs w:val="24"/>
          <w:bdr w:val="none" w:sz="0" w:space="0" w:color="auto" w:frame="1"/>
        </w:rPr>
        <w:t>).</w:t>
      </w:r>
    </w:p>
    <w:p w14:paraId="5D08EB02" w14:textId="77777777" w:rsidR="00E159F5" w:rsidRPr="00E159F5" w:rsidRDefault="00E159F5" w:rsidP="00E159F5">
      <w:pPr>
        <w:spacing w:before="100" w:beforeAutospacing="1" w:after="120" w:line="240" w:lineRule="auto"/>
        <w:outlineLvl w:val="1"/>
        <w:rPr>
          <w:rFonts w:ascii="Times New Roman" w:eastAsia="Times New Roman" w:hAnsi="Times New Roman" w:cs="Times New Roman"/>
          <w:b/>
          <w:bCs/>
          <w:color w:val="1F1F1F"/>
          <w:sz w:val="36"/>
          <w:szCs w:val="36"/>
        </w:rPr>
      </w:pPr>
      <w:bookmarkStart w:id="18" w:name="_Toc225518609"/>
      <w:r w:rsidRPr="00E159F5">
        <w:rPr>
          <w:rFonts w:ascii="Times New Roman" w:eastAsia="Times New Roman" w:hAnsi="Times New Roman" w:cs="Times New Roman"/>
          <w:b/>
          <w:bCs/>
          <w:color w:val="1F1F1F"/>
          <w:sz w:val="36"/>
          <w:szCs w:val="36"/>
        </w:rPr>
        <w:t>6. Analytical Frameworks: Navigating Dichotomous Keys</w:t>
      </w:r>
      <w:bookmarkEnd w:id="18"/>
    </w:p>
    <w:p w14:paraId="3A2CA423"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Even with a strong foundation in family-level pattern recognition, exact genus and species identification frequently requires the use of a dichotomous key. A dichotomous key is a highly structured, analytical algorithm composed of a series of paired, mutually exclusive statements (couplets) that systematically guide the user toward a taxonomic conclusion.</w:t>
      </w:r>
    </w:p>
    <w:p w14:paraId="5DA1A895"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19" w:name="_Toc225518610"/>
      <w:r w:rsidRPr="00E159F5">
        <w:rPr>
          <w:rFonts w:ascii="Times New Roman" w:eastAsia="Times New Roman" w:hAnsi="Times New Roman" w:cs="Times New Roman"/>
          <w:b/>
          <w:bCs/>
          <w:color w:val="1F1F1F"/>
          <w:sz w:val="27"/>
          <w:szCs w:val="27"/>
        </w:rPr>
        <w:t>6.1 Key Architecture</w:t>
      </w:r>
      <w:bookmarkEnd w:id="19"/>
    </w:p>
    <w:p w14:paraId="1DCD3C1D" w14:textId="77777777" w:rsidR="00E159F5" w:rsidRPr="00E159F5" w:rsidRDefault="00E159F5" w:rsidP="00E159F5">
      <w:pPr>
        <w:spacing w:before="100" w:beforeAutospacing="1" w:after="12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t>Dichotomous keys are generally structured in one of two formats:</w:t>
      </w:r>
    </w:p>
    <w:p w14:paraId="6587F229" w14:textId="77777777" w:rsidR="00E159F5" w:rsidRPr="00E159F5" w:rsidRDefault="00E159F5" w:rsidP="00E159F5">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Parallel Structure:</w:t>
      </w:r>
      <w:r w:rsidRPr="00E159F5">
        <w:rPr>
          <w:rFonts w:ascii="Times New Roman" w:eastAsia="Times New Roman" w:hAnsi="Times New Roman" w:cs="Times New Roman"/>
          <w:color w:val="1F1F1F"/>
          <w:sz w:val="24"/>
          <w:szCs w:val="24"/>
          <w:bdr w:val="none" w:sz="0" w:space="0" w:color="auto" w:frame="1"/>
        </w:rPr>
        <w:t xml:space="preserve"> All couplets are aligned flush with the left margin. The contrasting choices in a single couplet are presented consecutively, immediately following one another. This format is highly space-efficient for field guides.</w:t>
      </w:r>
    </w:p>
    <w:p w14:paraId="2B61EFA1" w14:textId="77777777" w:rsidR="00E159F5" w:rsidRPr="00E159F5" w:rsidRDefault="00E159F5" w:rsidP="00E159F5">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Indented Structure:</w:t>
      </w:r>
      <w:r w:rsidRPr="00E159F5">
        <w:rPr>
          <w:rFonts w:ascii="Times New Roman" w:eastAsia="Times New Roman" w:hAnsi="Times New Roman" w:cs="Times New Roman"/>
          <w:color w:val="1F1F1F"/>
          <w:sz w:val="24"/>
          <w:szCs w:val="24"/>
          <w:bdr w:val="none" w:sz="0" w:space="0" w:color="auto" w:frame="1"/>
        </w:rPr>
        <w:t xml:space="preserve"> Each successive couplet is indented further to the right as the user moves deeper into the key. While the paired statements may be separated by paragraphs of intervening text, their matching indentation depth allows the user to visually trace the logical progression.</w:t>
      </w:r>
    </w:p>
    <w:p w14:paraId="6732BA12"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20" w:name="_Toc225518611"/>
      <w:r w:rsidRPr="00E159F5">
        <w:rPr>
          <w:rFonts w:ascii="Times New Roman" w:eastAsia="Times New Roman" w:hAnsi="Times New Roman" w:cs="Times New Roman"/>
          <w:b/>
          <w:bCs/>
          <w:color w:val="1F1F1F"/>
          <w:sz w:val="27"/>
          <w:szCs w:val="27"/>
        </w:rPr>
        <w:t>6.2 Methodological Application and Walkthrough</w:t>
      </w:r>
      <w:bookmarkEnd w:id="20"/>
    </w:p>
    <w:p w14:paraId="2019226D"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efficacy of a dichotomous key relies entirely on strict adherence to a logical algorithm, as any deviation will cascade into a catastrophic misidentification.</w:t>
      </w:r>
    </w:p>
    <w:p w14:paraId="7F4A79EC" w14:textId="77777777" w:rsidR="00E159F5" w:rsidRPr="00E159F5" w:rsidRDefault="00E159F5" w:rsidP="00E159F5">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Always Initiate at Step One:</w:t>
      </w:r>
      <w:r w:rsidRPr="00E159F5">
        <w:rPr>
          <w:rFonts w:ascii="Times New Roman" w:eastAsia="Times New Roman" w:hAnsi="Times New Roman" w:cs="Times New Roman"/>
          <w:color w:val="1F1F1F"/>
          <w:sz w:val="24"/>
          <w:szCs w:val="24"/>
          <w:bdr w:val="none" w:sz="0" w:space="0" w:color="auto" w:frame="1"/>
        </w:rPr>
        <w:t xml:space="preserve"> The most common error made by novices is bypassing the initial steps based on preconceived assumptions. Regardless of prior knowledge, every identification must commence at the first couplet to ensure the elimination of broad evolutionary divergences. For instance, a basic biological key might start with "Organism possesses a nucleus (Eukaryote)" versus "Organism lacks a nucleus (Prokaryote)." Selecting Eukaryote moves the user to the next step, distinguishing between autotrophs (plants) and heterotrophs.</w:t>
      </w:r>
    </w:p>
    <w:p w14:paraId="67345A21" w14:textId="77777777" w:rsidR="00E159F5" w:rsidRPr="00E159F5" w:rsidRDefault="00E159F5" w:rsidP="00E159F5">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Evaluate Observable Traits:</w:t>
      </w:r>
      <w:r w:rsidRPr="00E159F5">
        <w:rPr>
          <w:rFonts w:ascii="Times New Roman" w:eastAsia="Times New Roman" w:hAnsi="Times New Roman" w:cs="Times New Roman"/>
          <w:color w:val="1F1F1F"/>
          <w:sz w:val="24"/>
          <w:szCs w:val="24"/>
          <w:bdr w:val="none" w:sz="0" w:space="0" w:color="auto" w:frame="1"/>
        </w:rPr>
        <w:t xml:space="preserve"> The user must read both choices in the couplet entirely before making a decision. The decision must be based on objective, observable </w:t>
      </w:r>
      <w:r w:rsidRPr="00E159F5">
        <w:rPr>
          <w:rFonts w:ascii="Times New Roman" w:eastAsia="Times New Roman" w:hAnsi="Times New Roman" w:cs="Times New Roman"/>
          <w:color w:val="1F1F1F"/>
          <w:sz w:val="24"/>
          <w:szCs w:val="24"/>
          <w:bdr w:val="none" w:sz="0" w:space="0" w:color="auto" w:frame="1"/>
        </w:rPr>
        <w:lastRenderedPageBreak/>
        <w:t xml:space="preserve">morphological traits present on the specimen (e.g., "Leaves simple" vs. "Leaves compound"), avoiding subjective assumptions regarding the plant's typical habitat or behavior. In a botanical key for the genus </w:t>
      </w:r>
      <w:r w:rsidRPr="00E159F5">
        <w:rPr>
          <w:rFonts w:ascii="Times New Roman" w:eastAsia="Times New Roman" w:hAnsi="Times New Roman" w:cs="Times New Roman"/>
          <w:i/>
          <w:iCs/>
          <w:color w:val="1F1F1F"/>
          <w:sz w:val="24"/>
          <w:szCs w:val="24"/>
          <w:bdr w:val="none" w:sz="0" w:space="0" w:color="auto" w:frame="1"/>
        </w:rPr>
        <w:t>Ribes</w:t>
      </w:r>
      <w:r w:rsidRPr="00E159F5">
        <w:rPr>
          <w:rFonts w:ascii="Times New Roman" w:eastAsia="Times New Roman" w:hAnsi="Times New Roman" w:cs="Times New Roman"/>
          <w:color w:val="1F1F1F"/>
          <w:sz w:val="24"/>
          <w:szCs w:val="24"/>
          <w:bdr w:val="none" w:sz="0" w:space="0" w:color="auto" w:frame="1"/>
        </w:rPr>
        <w:t>, the first couplet might ask: "1. Nodal spines present" vs. "1'. Nodal spines absent." If the specimen lacks spines, the user strictly follows the pathway designated for "1'".</w:t>
      </w:r>
    </w:p>
    <w:p w14:paraId="5E728684" w14:textId="77777777" w:rsidR="00E159F5" w:rsidRPr="00E159F5" w:rsidRDefault="00E159F5" w:rsidP="00E159F5">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Navigate Linearly:</w:t>
      </w:r>
      <w:r w:rsidRPr="00E159F5">
        <w:rPr>
          <w:rFonts w:ascii="Times New Roman" w:eastAsia="Times New Roman" w:hAnsi="Times New Roman" w:cs="Times New Roman"/>
          <w:color w:val="1F1F1F"/>
          <w:sz w:val="24"/>
          <w:szCs w:val="24"/>
          <w:bdr w:val="none" w:sz="0" w:space="0" w:color="auto" w:frame="1"/>
        </w:rPr>
        <w:t xml:space="preserve"> Once a choice is selected, the key will provide either a taxonomic identification (a Family, Genus, or Species) or a numerical directive instructing the user to jump to a subsequent couplet.</w:t>
      </w:r>
    </w:p>
    <w:p w14:paraId="6A9F70AF" w14:textId="77777777" w:rsidR="00E159F5" w:rsidRPr="00E159F5" w:rsidRDefault="00E159F5" w:rsidP="00E159F5">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Acknowledge Key Limitations:</w:t>
      </w:r>
      <w:r w:rsidRPr="00E159F5">
        <w:rPr>
          <w:rFonts w:ascii="Times New Roman" w:eastAsia="Times New Roman" w:hAnsi="Times New Roman" w:cs="Times New Roman"/>
          <w:color w:val="1F1F1F"/>
          <w:sz w:val="24"/>
          <w:szCs w:val="24"/>
          <w:bdr w:val="none" w:sz="0" w:space="0" w:color="auto" w:frame="1"/>
        </w:rPr>
        <w:t xml:space="preserve"> Dichotomous keys are geographically or taxonomically restricted. A key designed for the "Flora of North America" will yield impossible results if applied to a specimen collected in the tropical montane forests of Mindanao. If a plant does not logically fit either choice in a couplet, it is highly probable that the specimen falls outside the geographical or taxonomic scope of that specific manual.</w:t>
      </w:r>
    </w:p>
    <w:p w14:paraId="01B2D7A6" w14:textId="77777777" w:rsidR="00E159F5" w:rsidRPr="00E159F5" w:rsidRDefault="00E159F5" w:rsidP="00E159F5">
      <w:pPr>
        <w:spacing w:before="100" w:beforeAutospacing="1" w:after="120" w:line="240" w:lineRule="auto"/>
        <w:outlineLvl w:val="1"/>
        <w:rPr>
          <w:rFonts w:ascii="Times New Roman" w:eastAsia="Times New Roman" w:hAnsi="Times New Roman" w:cs="Times New Roman"/>
          <w:b/>
          <w:bCs/>
          <w:color w:val="1F1F1F"/>
          <w:sz w:val="36"/>
          <w:szCs w:val="36"/>
        </w:rPr>
      </w:pPr>
      <w:bookmarkStart w:id="21" w:name="_Toc225518612"/>
      <w:r w:rsidRPr="00E159F5">
        <w:rPr>
          <w:rFonts w:ascii="Times New Roman" w:eastAsia="Times New Roman" w:hAnsi="Times New Roman" w:cs="Times New Roman"/>
          <w:b/>
          <w:bCs/>
          <w:color w:val="1F1F1F"/>
          <w:sz w:val="36"/>
          <w:szCs w:val="36"/>
        </w:rPr>
        <w:t>7. Field Equipment: Magnification and Diagnostic Photography</w:t>
      </w:r>
      <w:bookmarkEnd w:id="21"/>
    </w:p>
    <w:p w14:paraId="4507A843" w14:textId="77777777" w:rsidR="00E159F5" w:rsidRPr="00E159F5" w:rsidRDefault="00E159F5" w:rsidP="00E159F5">
      <w:pPr>
        <w:spacing w:before="100" w:beforeAutospacing="1" w:after="24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t>The transition from theoretical morphology to practical field diagnostics requires specialized equipment and observational protocols.</w:t>
      </w:r>
    </w:p>
    <w:p w14:paraId="51CEEB95"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22" w:name="_Toc225518613"/>
      <w:r w:rsidRPr="00E159F5">
        <w:rPr>
          <w:rFonts w:ascii="Times New Roman" w:eastAsia="Times New Roman" w:hAnsi="Times New Roman" w:cs="Times New Roman"/>
          <w:b/>
          <w:bCs/>
          <w:color w:val="1F1F1F"/>
          <w:sz w:val="27"/>
          <w:szCs w:val="27"/>
        </w:rPr>
        <w:t>7.1 The Botanical Hand Lens (Loupe)</w:t>
      </w:r>
      <w:bookmarkEnd w:id="22"/>
    </w:p>
    <w:p w14:paraId="0A308A6D"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hand lens is the quintessential instrument of the field botanist. Without magnification, minute diagnostic characteristics—such as the presence of glandular trichomes, the precise structure of anther attachment, or the micro-venation patterns on a floral bract—remain entirely invisible to the naked eye.</w:t>
      </w:r>
    </w:p>
    <w:p w14:paraId="033B1C2B"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While magnifying loupes are available in various powers ranging from 5x to 30x, field experts overwhelmingly recommend a </w:t>
      </w:r>
      <w:r w:rsidRPr="00E159F5">
        <w:rPr>
          <w:rFonts w:ascii="Times New Roman" w:eastAsia="Times New Roman" w:hAnsi="Times New Roman" w:cs="Times New Roman"/>
          <w:b/>
          <w:bCs/>
          <w:color w:val="1F1F1F"/>
          <w:sz w:val="24"/>
          <w:szCs w:val="24"/>
          <w:bdr w:val="none" w:sz="0" w:space="0" w:color="auto" w:frame="1"/>
        </w:rPr>
        <w:t>10x magnification lens</w:t>
      </w:r>
      <w:r w:rsidRPr="00E159F5">
        <w:rPr>
          <w:rFonts w:ascii="Times New Roman" w:eastAsia="Times New Roman" w:hAnsi="Times New Roman" w:cs="Times New Roman"/>
          <w:color w:val="1F1F1F"/>
          <w:sz w:val="24"/>
          <w:szCs w:val="24"/>
          <w:bdr w:val="none" w:sz="0" w:space="0" w:color="auto" w:frame="1"/>
        </w:rPr>
        <w:t>. Lower magnifications (5x) fail to resolve critical micro-structures, whereas higher magnifications (20x or 30x, typically reserved for jewelers) introduce severe optical limitations: the field of view becomes excessively narrow, the focal depth shrinks dramatically, and the extremely short working distance requires the user to block ambient light with their own hand. A 14x lens can be an acceptable secondary tool for advanced bryological (moss and lichen) work, but 10x remains the optimal balance between magnification, light transmission, and field of view.</w:t>
      </w:r>
    </w:p>
    <w:p w14:paraId="0DB44350"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Optically, the construction of the lens is equally critical. Cheap plastic lenses (singlets) distort light heavily, particularly at the edges, and suffer from chromatic aberration (color fringing). Professional field botanists utilize glass lenses constructed as a "triplet"—an assembly of three specifically shaped lens elements bonded together to mathematically correct both spherical and chromatic distortions, yielding a bright, crystal-clear, distortion-free image across the entire viewing plane. Highly regarded brands include BelOMO, Bausch &amp; Lomb, Opticron, and Kite. For extreme specialty work, such as bryology, some professionals utilize illuminated loupes like the Lichen Candelaris, though these are prohibitively expensive for general botany.</w:t>
      </w:r>
    </w:p>
    <w:p w14:paraId="5787158D"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23" w:name="_Toc225518614"/>
      <w:r w:rsidRPr="00E159F5">
        <w:rPr>
          <w:rFonts w:ascii="Times New Roman" w:eastAsia="Times New Roman" w:hAnsi="Times New Roman" w:cs="Times New Roman"/>
          <w:b/>
          <w:bCs/>
          <w:color w:val="1F1F1F"/>
          <w:sz w:val="27"/>
          <w:szCs w:val="27"/>
        </w:rPr>
        <w:lastRenderedPageBreak/>
        <w:t>7.2 Diagnostic Photography</w:t>
      </w:r>
      <w:bookmarkEnd w:id="23"/>
    </w:p>
    <w:p w14:paraId="7452A99F"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With the advent of high-resolution digital imaging, photographs have increasingly replaced physical voucher specimens for preliminary identification requests. However, capturing a merely aesthetic photograph is insufficient for botanical diagnostics. Misidentification can have severe consequences; for instance, confusing the innocuous Queen Anne's lace (</w:t>
      </w:r>
      <w:r w:rsidRPr="00E159F5">
        <w:rPr>
          <w:rFonts w:ascii="Times New Roman" w:eastAsia="Times New Roman" w:hAnsi="Times New Roman" w:cs="Times New Roman"/>
          <w:i/>
          <w:iCs/>
          <w:color w:val="1F1F1F"/>
          <w:sz w:val="24"/>
          <w:szCs w:val="24"/>
          <w:bdr w:val="none" w:sz="0" w:space="0" w:color="auto" w:frame="1"/>
        </w:rPr>
        <w:t>Daucus carota</w:t>
      </w:r>
      <w:r w:rsidRPr="00E159F5">
        <w:rPr>
          <w:rFonts w:ascii="Times New Roman" w:eastAsia="Times New Roman" w:hAnsi="Times New Roman" w:cs="Times New Roman"/>
          <w:color w:val="1F1F1F"/>
          <w:sz w:val="24"/>
          <w:szCs w:val="24"/>
          <w:bdr w:val="none" w:sz="0" w:space="0" w:color="auto" w:frame="1"/>
        </w:rPr>
        <w:t>) with a deadly, similarly flowering relative in the Apiaceae family based on a poor photo of just the umbel inflorescence.</w:t>
      </w:r>
    </w:p>
    <w:p w14:paraId="22422C14" w14:textId="77777777" w:rsidR="00E159F5" w:rsidRPr="00E159F5" w:rsidRDefault="00E159F5" w:rsidP="00E159F5">
      <w:pPr>
        <w:spacing w:before="100" w:beforeAutospacing="1" w:after="12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t>A diagnostically viable photographic record must fulfill several stringent criteria:</w:t>
      </w:r>
    </w:p>
    <w:p w14:paraId="5FA1C3B8" w14:textId="77777777" w:rsidR="00E159F5" w:rsidRPr="00E159F5" w:rsidRDefault="00E159F5" w:rsidP="00E159F5">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Scale and Context:</w:t>
      </w:r>
      <w:r w:rsidRPr="00E159F5">
        <w:rPr>
          <w:rFonts w:ascii="Times New Roman" w:eastAsia="Times New Roman" w:hAnsi="Times New Roman" w:cs="Times New Roman"/>
          <w:color w:val="1F1F1F"/>
          <w:sz w:val="24"/>
          <w:szCs w:val="24"/>
          <w:bdr w:val="none" w:sz="0" w:space="0" w:color="auto" w:frame="1"/>
        </w:rPr>
        <w:t xml:space="preserve"> The image must include an objective measure of scale (a ruler or coin). Furthermore, a wide shot capturing the entire plant within its landscape environment is necessary to demonstrate the overall growth habit, size, and microhabitat.</w:t>
      </w:r>
    </w:p>
    <w:p w14:paraId="5BDE5C7C" w14:textId="77777777" w:rsidR="00E159F5" w:rsidRPr="00E159F5" w:rsidRDefault="00E159F5" w:rsidP="00E159F5">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Vegetative Architecture:</w:t>
      </w:r>
      <w:r w:rsidRPr="00E159F5">
        <w:rPr>
          <w:rFonts w:ascii="Times New Roman" w:eastAsia="Times New Roman" w:hAnsi="Times New Roman" w:cs="Times New Roman"/>
          <w:color w:val="1F1F1F"/>
          <w:sz w:val="24"/>
          <w:szCs w:val="24"/>
          <w:bdr w:val="none" w:sz="0" w:space="0" w:color="auto" w:frame="1"/>
        </w:rPr>
        <w:t xml:space="preserve"> Close-up photographs must clearly demonstrate phyllotaxy (leaf arrangement on the stem) and attach mechanisms. Images must display both the adaxial (upper) and abaxial (lower) surfaces of the leaves, as crucial details like stomatal distribution, venation, or hair density often reside underneath.</w:t>
      </w:r>
    </w:p>
    <w:p w14:paraId="7C8ED770" w14:textId="77777777" w:rsidR="00E159F5" w:rsidRPr="00E159F5" w:rsidRDefault="00E159F5" w:rsidP="00E159F5">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Reproductive Features:</w:t>
      </w:r>
      <w:r w:rsidRPr="00E159F5">
        <w:rPr>
          <w:rFonts w:ascii="Times New Roman" w:eastAsia="Times New Roman" w:hAnsi="Times New Roman" w:cs="Times New Roman"/>
          <w:color w:val="1F1F1F"/>
          <w:sz w:val="24"/>
          <w:szCs w:val="24"/>
          <w:bdr w:val="none" w:sz="0" w:space="0" w:color="auto" w:frame="1"/>
        </w:rPr>
        <w:t xml:space="preserve"> High-resolution close-ups of flowers and fruit must be obtained. For composite flowers or complex inflorescences, capturing the internal structures (stamens, pistil) is vital.</w:t>
      </w:r>
    </w:p>
    <w:p w14:paraId="0EEBCE17" w14:textId="77777777" w:rsidR="00E159F5" w:rsidRPr="00E159F5" w:rsidRDefault="00E159F5" w:rsidP="00E159F5">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Focus, Exposure, and Pathology:</w:t>
      </w:r>
      <w:r w:rsidRPr="00E159F5">
        <w:rPr>
          <w:rFonts w:ascii="Times New Roman" w:eastAsia="Times New Roman" w:hAnsi="Times New Roman" w:cs="Times New Roman"/>
          <w:color w:val="1F1F1F"/>
          <w:sz w:val="24"/>
          <w:szCs w:val="24"/>
          <w:bdr w:val="none" w:sz="0" w:space="0" w:color="auto" w:frame="1"/>
        </w:rPr>
        <w:t xml:space="preserve"> Diagnostic photos must be tack-sharp. Because camera sensors perceive light differently and saturate at lower thresholds than the human retina, bright sunlight often washes out delicate venation; artificially shading the specimen can frequently improve the capture of fine textural detail. If the goal is pathology (identifying a plant disease), the photo must capture the transition zone from healthy tissue to sick tissue, as this is where active pathogens are found.</w:t>
      </w:r>
    </w:p>
    <w:p w14:paraId="074DF923" w14:textId="77777777" w:rsidR="00E159F5" w:rsidRPr="00E159F5" w:rsidRDefault="00E159F5" w:rsidP="00E159F5">
      <w:pPr>
        <w:spacing w:before="100" w:beforeAutospacing="1" w:after="120" w:line="240" w:lineRule="auto"/>
        <w:outlineLvl w:val="1"/>
        <w:rPr>
          <w:rFonts w:ascii="Times New Roman" w:eastAsia="Times New Roman" w:hAnsi="Times New Roman" w:cs="Times New Roman"/>
          <w:b/>
          <w:bCs/>
          <w:color w:val="1F1F1F"/>
          <w:sz w:val="36"/>
          <w:szCs w:val="36"/>
        </w:rPr>
      </w:pPr>
      <w:bookmarkStart w:id="24" w:name="_Toc225518615"/>
      <w:r w:rsidRPr="00E159F5">
        <w:rPr>
          <w:rFonts w:ascii="Times New Roman" w:eastAsia="Times New Roman" w:hAnsi="Times New Roman" w:cs="Times New Roman"/>
          <w:b/>
          <w:bCs/>
          <w:color w:val="1F1F1F"/>
          <w:sz w:val="36"/>
          <w:szCs w:val="36"/>
        </w:rPr>
        <w:t>8. Specimen Preservation and Herbarium Curation</w:t>
      </w:r>
      <w:bookmarkEnd w:id="24"/>
    </w:p>
    <w:p w14:paraId="555B70B5"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When digital documentation is insufficient—particularly for taxonomic revisions or confirming the presence of rare, highly variable taxa—the creation of physical herbarium voucher specimens is mandatory.</w:t>
      </w:r>
    </w:p>
    <w:p w14:paraId="2FFFA40D"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25" w:name="_Toc225518616"/>
      <w:r w:rsidRPr="00E159F5">
        <w:rPr>
          <w:rFonts w:ascii="Times New Roman" w:eastAsia="Times New Roman" w:hAnsi="Times New Roman" w:cs="Times New Roman"/>
          <w:b/>
          <w:bCs/>
          <w:color w:val="1F1F1F"/>
          <w:sz w:val="27"/>
          <w:szCs w:val="27"/>
        </w:rPr>
        <w:t>8.1 Field Collection Protocols</w:t>
      </w:r>
      <w:bookmarkEnd w:id="25"/>
    </w:p>
    <w:p w14:paraId="7D454775"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collection process begins with comprehensive field journaling. The moment a plant is removed from the soil, it is permanently divorced from its ecological context. A collector must assign a unique alphanumeric voucher number to the specimen in the field, documenting this number in a field journal and writing it with a wax pencil directly on the collection newsprint. The journal must record the exact GPS coordinates, elevation, associated plant communities, soil type, and traits that will not survive preservation—such as floral fragrance, exact petal color (which rapidly fades or oxidizes), and the overall height of a large tree or shrub.</w:t>
      </w:r>
    </w:p>
    <w:p w14:paraId="65D3514E"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The physical specimen must be highly representative. For small herbaceous plants, the entire organism, including the root system (cleared of mud), should be collected. For large shrubs and </w:t>
      </w:r>
      <w:r w:rsidRPr="00E159F5">
        <w:rPr>
          <w:rFonts w:ascii="Times New Roman" w:eastAsia="Times New Roman" w:hAnsi="Times New Roman" w:cs="Times New Roman"/>
          <w:color w:val="1F1F1F"/>
          <w:sz w:val="24"/>
          <w:szCs w:val="24"/>
          <w:bdr w:val="none" w:sz="0" w:space="0" w:color="auto" w:frame="1"/>
        </w:rPr>
        <w:lastRenderedPageBreak/>
        <w:t>trees, the collector must acquire a terminal branch containing healthy foliage, buds, and reproductive structures (flowers or fruits).</w:t>
      </w:r>
    </w:p>
    <w:p w14:paraId="76E31CA3"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26" w:name="_Toc225518617"/>
      <w:r w:rsidRPr="00E159F5">
        <w:rPr>
          <w:rFonts w:ascii="Times New Roman" w:eastAsia="Times New Roman" w:hAnsi="Times New Roman" w:cs="Times New Roman"/>
          <w:b/>
          <w:bCs/>
          <w:color w:val="1F1F1F"/>
          <w:sz w:val="27"/>
          <w:szCs w:val="27"/>
        </w:rPr>
        <w:t>8.2 Pressing and Preservation Mechanics</w:t>
      </w:r>
      <w:bookmarkEnd w:id="26"/>
    </w:p>
    <w:p w14:paraId="01CE8A5C"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objective of plant pressing is rapid desiccation under continuous, extreme pressure to preserve structural integrity, prevent the abscission (shedding) of parts, and halt fungal mold and decay. Specimens should be pressed immediately in the field to prevent wilting and structural collapse.</w:t>
      </w:r>
    </w:p>
    <w:p w14:paraId="6B9EA9AF"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plant is meticulously arranged within a folded sheet of highly absorbent, unprinted newsprint. The collector must artistically and scientifically manipulate the specimen to expose critical diagnostic features in anatomically correct orientations. Leaves must be unfolded to show their true margins, some leaves must be deliberately flipped to expose the abaxial surface, and large flowers should be pressed open to reveal the internal stamen and pistil arrangements. If a stem is too long, it should be sharply bent (V or N-shape) to fit the standard dimensions of herbarium mounting paper. Aquatic plants, particularly delicate seaweeds and red algae, require a specialized technique where the mounting paper is submerged in a pan of water, and the plant is floated directly onto the paper, naturally gluing itself down.</w:t>
      </w:r>
    </w:p>
    <w:p w14:paraId="40E09C9B"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newsprint is then sandwiched between corrugated cardboard ventilators and rigid wooden lattice frames. Heavy straps are wrapped around the press and tightened to extreme tension, often using body weight. The press must then be placed in a warm, heavily ventilated environment to dry. The rapid expulsion of moisture maintains the rigidity required for the specimen to be securely glued to archival herbarium sheets for centuries of subsequent taxonomic study and physical curation.</w:t>
      </w:r>
    </w:p>
    <w:p w14:paraId="03E4C4CC" w14:textId="77777777" w:rsidR="00E159F5" w:rsidRPr="00E159F5" w:rsidRDefault="00E159F5" w:rsidP="00E159F5">
      <w:pPr>
        <w:spacing w:before="100" w:beforeAutospacing="1" w:after="120" w:line="240" w:lineRule="auto"/>
        <w:outlineLvl w:val="1"/>
        <w:rPr>
          <w:rFonts w:ascii="Times New Roman" w:eastAsia="Times New Roman" w:hAnsi="Times New Roman" w:cs="Times New Roman"/>
          <w:b/>
          <w:bCs/>
          <w:color w:val="1F1F1F"/>
          <w:sz w:val="36"/>
          <w:szCs w:val="36"/>
        </w:rPr>
      </w:pPr>
      <w:bookmarkStart w:id="27" w:name="_Toc225518618"/>
      <w:r w:rsidRPr="00E159F5">
        <w:rPr>
          <w:rFonts w:ascii="Times New Roman" w:eastAsia="Times New Roman" w:hAnsi="Times New Roman" w:cs="Times New Roman"/>
          <w:b/>
          <w:bCs/>
          <w:color w:val="1F1F1F"/>
          <w:sz w:val="36"/>
          <w:szCs w:val="36"/>
        </w:rPr>
        <w:t>9. Cybertaxonomy and Digital Identification Tools</w:t>
      </w:r>
      <w:bookmarkEnd w:id="27"/>
    </w:p>
    <w:p w14:paraId="7A5E7B75"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The twenty-first century has witnessed a paradigm shift in plant identification, bridging the gap between highly specialized academic taxonomists and amateur citizen scientists through digital tools and artificial intelligence.</w:t>
      </w:r>
    </w:p>
    <w:p w14:paraId="15B31DEF"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28" w:name="_Toc225518619"/>
      <w:r w:rsidRPr="00E159F5">
        <w:rPr>
          <w:rFonts w:ascii="Times New Roman" w:eastAsia="Times New Roman" w:hAnsi="Times New Roman" w:cs="Times New Roman"/>
          <w:b/>
          <w:bCs/>
          <w:color w:val="1F1F1F"/>
          <w:sz w:val="27"/>
          <w:szCs w:val="27"/>
        </w:rPr>
        <w:t>9.1 Algorithmic and Mobile Identification Applications</w:t>
      </w:r>
      <w:bookmarkEnd w:id="28"/>
    </w:p>
    <w:p w14:paraId="139018FE" w14:textId="77777777" w:rsidR="00E159F5" w:rsidRPr="00E159F5" w:rsidRDefault="00E159F5" w:rsidP="00E159F5">
      <w:pPr>
        <w:spacing w:before="100" w:beforeAutospacing="1" w:after="24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t>The proliferation of machine-learning algorithms has yielded powerful mobile field identification applications. These tools analyze user-uploaded photographs and compare them against massive global datasets.</w:t>
      </w:r>
    </w:p>
    <w:tbl>
      <w:tblPr>
        <w:tblW w:w="0" w:type="auto"/>
        <w:tblCellSpacing w:w="15" w:type="dxa"/>
        <w:tblCellMar>
          <w:left w:w="0" w:type="dxa"/>
          <w:right w:w="0" w:type="dxa"/>
        </w:tblCellMar>
        <w:tblLook w:val="04A0" w:firstRow="1" w:lastRow="0" w:firstColumn="1" w:lastColumn="0" w:noHBand="0" w:noVBand="1"/>
      </w:tblPr>
      <w:tblGrid>
        <w:gridCol w:w="1740"/>
        <w:gridCol w:w="6462"/>
        <w:gridCol w:w="1142"/>
      </w:tblGrid>
      <w:tr w:rsidR="00E159F5" w:rsidRPr="00E159F5" w14:paraId="206C6320" w14:textId="77777777" w:rsidTr="00E159F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B8079"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Digital 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C5E47"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Core Features and Capabilities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985BC"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Source</w:t>
            </w:r>
          </w:p>
        </w:tc>
      </w:tr>
      <w:tr w:rsidR="00E159F5" w:rsidRPr="00E159F5" w14:paraId="1240022F"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396B1"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Pl@ntNet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8FCDC"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A free application identifying over 20,000 species. Users photograph specific organs (leaves, flowers, fruits), and the AI </w:t>
            </w:r>
            <w:r w:rsidRPr="00E159F5">
              <w:rPr>
                <w:rFonts w:ascii="Times New Roman" w:eastAsia="Times New Roman" w:hAnsi="Times New Roman" w:cs="Times New Roman"/>
                <w:color w:val="1F1F1F"/>
                <w:sz w:val="24"/>
                <w:szCs w:val="24"/>
                <w:bdr w:val="none" w:sz="0" w:space="0" w:color="auto" w:frame="1"/>
              </w:rPr>
              <w:lastRenderedPageBreak/>
              <w:t>matches it against a database. Functions heavily as a global citizen science project, mapping biodiversity evolution.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967CE"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4653FC12"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08F54"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iNaturalist / Seek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76394"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Employs AI image recognition to provide immediate taxonomic suggestions, often achieving 70% to 100% accuracy. Seek allows identification without an account, while iNaturalist logs data for scientific peer review.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40B59"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5D0BC41D"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A14DC"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LeafSnap Premium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EF8FC"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 paid service ($5/month) offering highly accurate plant identification, integrated step-by-step plant care guides, and social community sharing.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2DD2D"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r w:rsidR="00E159F5" w:rsidRPr="00E159F5" w14:paraId="10DB0BB8" w14:textId="77777777" w:rsidTr="00E15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F724A"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b/>
                <w:bCs/>
                <w:color w:val="1F1F1F"/>
                <w:sz w:val="24"/>
                <w:szCs w:val="24"/>
                <w:bdr w:val="none" w:sz="0" w:space="0" w:color="auto" w:frame="1"/>
              </w:rPr>
              <w:t>PlantID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04DFB"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A paid service ($10/month) that uniquely expands beyond plants to identify over 12,000 species, as well as fungi, lichens, rocks, and over 100 plant diseases using machine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C92DD" w14:textId="77777777" w:rsidR="00E159F5" w:rsidRPr="00E159F5" w:rsidRDefault="00E159F5" w:rsidP="00E159F5">
            <w:pPr>
              <w:spacing w:after="0" w:line="240" w:lineRule="auto"/>
              <w:rPr>
                <w:rFonts w:ascii="Times New Roman" w:eastAsia="Times New Roman" w:hAnsi="Times New Roman" w:cs="Times New Roman"/>
                <w:color w:val="1F1F1F"/>
                <w:sz w:val="24"/>
                <w:szCs w:val="24"/>
              </w:rPr>
            </w:pPr>
          </w:p>
        </w:tc>
      </w:tr>
    </w:tbl>
    <w:p w14:paraId="3E5D46BE"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While these applications are extraordinary assets, experts caution that they remain supplementary to traditional diagnostic skills. Algorithms are prone to misinterpretation when presented with poor photography, cryptic species, or complex inflorescences, making morphological knowledge indispensable.</w:t>
      </w:r>
    </w:p>
    <w:p w14:paraId="1B6FCA02"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29" w:name="_Toc225518620"/>
      <w:r w:rsidRPr="00E159F5">
        <w:rPr>
          <w:rFonts w:ascii="Times New Roman" w:eastAsia="Times New Roman" w:hAnsi="Times New Roman" w:cs="Times New Roman"/>
          <w:b/>
          <w:bCs/>
          <w:color w:val="1F1F1F"/>
          <w:sz w:val="27"/>
          <w:szCs w:val="27"/>
        </w:rPr>
        <w:t>9.2 Regional Digital Floras and Databases</w:t>
      </w:r>
      <w:bookmarkEnd w:id="29"/>
    </w:p>
    <w:p w14:paraId="2AA5602E"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To counter the historical difficulty of accessing rare print manuals, modern botanical data is increasingly localized into open-access digital repositories. In the Philippines, this transition is best exemplified by </w:t>
      </w:r>
      <w:r w:rsidRPr="00E159F5">
        <w:rPr>
          <w:rFonts w:ascii="Times New Roman" w:eastAsia="Times New Roman" w:hAnsi="Times New Roman" w:cs="Times New Roman"/>
          <w:b/>
          <w:bCs/>
          <w:color w:val="1F1F1F"/>
          <w:sz w:val="24"/>
          <w:szCs w:val="24"/>
          <w:bdr w:val="none" w:sz="0" w:space="0" w:color="auto" w:frame="1"/>
        </w:rPr>
        <w:t>Co’s Digital Flora of the Philippines (CDFP)</w:t>
      </w:r>
      <w:r w:rsidRPr="00E159F5">
        <w:rPr>
          <w:rFonts w:ascii="Times New Roman" w:eastAsia="Times New Roman" w:hAnsi="Times New Roman" w:cs="Times New Roman"/>
          <w:color w:val="1F1F1F"/>
          <w:sz w:val="24"/>
          <w:szCs w:val="24"/>
          <w:bdr w:val="none" w:sz="0" w:space="0" w:color="auto" w:frame="1"/>
        </w:rPr>
        <w:t>. Serving as the continuation of the legacy established by Elmer D. Merrill and the late Leonardo L. Co, CDFP is an exhaustively maintained cybertaxonomic checklist of over 10,000 vascular plant species native, naturalized, and invasive to the archipelago. The database provides current binomial synonyms, conservation statuses, literature citations, and a vast repository of over 135,000 diagnostic field photographs.</w:t>
      </w:r>
    </w:p>
    <w:p w14:paraId="25679A0E"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Similarly, the </w:t>
      </w:r>
      <w:r w:rsidRPr="00E159F5">
        <w:rPr>
          <w:rFonts w:ascii="Times New Roman" w:eastAsia="Times New Roman" w:hAnsi="Times New Roman" w:cs="Times New Roman"/>
          <w:b/>
          <w:bCs/>
          <w:color w:val="1F1F1F"/>
          <w:sz w:val="24"/>
          <w:szCs w:val="24"/>
          <w:bdr w:val="none" w:sz="0" w:space="0" w:color="auto" w:frame="1"/>
        </w:rPr>
        <w:t>BINHI</w:t>
      </w:r>
      <w:r w:rsidRPr="00E159F5">
        <w:rPr>
          <w:rFonts w:ascii="Times New Roman" w:eastAsia="Times New Roman" w:hAnsi="Times New Roman" w:cs="Times New Roman"/>
          <w:color w:val="1F1F1F"/>
          <w:sz w:val="24"/>
          <w:szCs w:val="24"/>
          <w:bdr w:val="none" w:sz="0" w:space="0" w:color="auto" w:frame="1"/>
        </w:rPr>
        <w:t xml:space="preserve"> initiative focuses strictly on the assessment and ex-situ conservation of Philippine endemic tree species. Partnering with the Global Tree Assessment, BINHI has assessed over 800 endemic tree species, maintaining propagation protocols for critically endangered taxa to prevent extinction. For applied horticulture, literature such as the </w:t>
      </w:r>
      <w:r w:rsidRPr="00E159F5">
        <w:rPr>
          <w:rFonts w:ascii="Times New Roman" w:eastAsia="Times New Roman" w:hAnsi="Times New Roman" w:cs="Times New Roman"/>
          <w:i/>
          <w:iCs/>
          <w:color w:val="1F1F1F"/>
          <w:sz w:val="24"/>
          <w:szCs w:val="24"/>
          <w:bdr w:val="none" w:sz="0" w:space="0" w:color="auto" w:frame="1"/>
        </w:rPr>
        <w:t>Field Guide to the Cultivated Plants of the Philippines</w:t>
      </w:r>
      <w:r w:rsidRPr="00E159F5">
        <w:rPr>
          <w:rFonts w:ascii="Times New Roman" w:eastAsia="Times New Roman" w:hAnsi="Times New Roman" w:cs="Times New Roman"/>
          <w:color w:val="1F1F1F"/>
          <w:sz w:val="24"/>
          <w:szCs w:val="24"/>
          <w:bdr w:val="none" w:sz="0" w:space="0" w:color="auto" w:frame="1"/>
        </w:rPr>
        <w:t xml:space="preserve"> (documenting 99 commonly cultivated crops) and the DENR’s </w:t>
      </w:r>
      <w:r w:rsidRPr="00E159F5">
        <w:rPr>
          <w:rFonts w:ascii="Times New Roman" w:eastAsia="Times New Roman" w:hAnsi="Times New Roman" w:cs="Times New Roman"/>
          <w:i/>
          <w:iCs/>
          <w:color w:val="1F1F1F"/>
          <w:sz w:val="24"/>
          <w:szCs w:val="24"/>
          <w:bdr w:val="none" w:sz="0" w:space="0" w:color="auto" w:frame="1"/>
        </w:rPr>
        <w:t>Philippine Guidebook on Plant Species Suitable for Urban Greening</w:t>
      </w:r>
      <w:r w:rsidRPr="00E159F5">
        <w:rPr>
          <w:rFonts w:ascii="Times New Roman" w:eastAsia="Times New Roman" w:hAnsi="Times New Roman" w:cs="Times New Roman"/>
          <w:color w:val="1F1F1F"/>
          <w:sz w:val="24"/>
          <w:szCs w:val="24"/>
          <w:bdr w:val="none" w:sz="0" w:space="0" w:color="auto" w:frame="1"/>
        </w:rPr>
        <w:t xml:space="preserve"> direct the public and urban planners away from invasive exotics toward sustainable, native alternatives.</w:t>
      </w:r>
    </w:p>
    <w:p w14:paraId="128DE0A8" w14:textId="77777777" w:rsidR="00E159F5" w:rsidRPr="00E159F5" w:rsidRDefault="00E159F5" w:rsidP="00E159F5">
      <w:pPr>
        <w:spacing w:before="100" w:beforeAutospacing="1" w:after="120" w:line="240" w:lineRule="auto"/>
        <w:outlineLvl w:val="1"/>
        <w:rPr>
          <w:rFonts w:ascii="Times New Roman" w:eastAsia="Times New Roman" w:hAnsi="Times New Roman" w:cs="Times New Roman"/>
          <w:b/>
          <w:bCs/>
          <w:color w:val="1F1F1F"/>
          <w:sz w:val="36"/>
          <w:szCs w:val="36"/>
        </w:rPr>
      </w:pPr>
      <w:bookmarkStart w:id="30" w:name="_Toc225518621"/>
      <w:r w:rsidRPr="00E159F5">
        <w:rPr>
          <w:rFonts w:ascii="Times New Roman" w:eastAsia="Times New Roman" w:hAnsi="Times New Roman" w:cs="Times New Roman"/>
          <w:b/>
          <w:bCs/>
          <w:color w:val="1F1F1F"/>
          <w:sz w:val="36"/>
          <w:szCs w:val="36"/>
        </w:rPr>
        <w:t>10. Ethical Guidelines and Legal Frameworks</w:t>
      </w:r>
      <w:bookmarkEnd w:id="30"/>
    </w:p>
    <w:p w14:paraId="67F05124"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lastRenderedPageBreak/>
        <w:t>The global decline in biodiversity necessitates that botanical exploration be conducted under strict ethical constraints and legal oversight.</w:t>
      </w:r>
    </w:p>
    <w:p w14:paraId="0965B031"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31" w:name="_Toc225518622"/>
      <w:r w:rsidRPr="00E159F5">
        <w:rPr>
          <w:rFonts w:ascii="Times New Roman" w:eastAsia="Times New Roman" w:hAnsi="Times New Roman" w:cs="Times New Roman"/>
          <w:b/>
          <w:bCs/>
          <w:color w:val="1F1F1F"/>
          <w:sz w:val="27"/>
          <w:szCs w:val="27"/>
        </w:rPr>
        <w:t>10.1 Field Ethics and the 1-in-20 Rule</w:t>
      </w:r>
      <w:bookmarkEnd w:id="31"/>
    </w:p>
    <w:p w14:paraId="1D2500AC"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Professional botanists operate under the foundational "1-in-20 rule". This ethical mandate dictates that a researcher should only harvest one specimen if they can visually verify the presence of at least twenty other healthy, reproducing individuals of the same species in the immediate population. If this threshold is not met, the population is deemed too fragile to withstand the impact of collection, and non-destructive documentation (photography and GPS mapping) must be utilized instead. Furthermore, collection should minimize habitat disturbance, avoid poisonous or prohibited horticultural plants, and permission must always be secured from landowners or park authorities prior to sampling.</w:t>
      </w:r>
    </w:p>
    <w:p w14:paraId="2F979B28" w14:textId="77777777" w:rsidR="00E159F5" w:rsidRPr="00E159F5" w:rsidRDefault="00E159F5" w:rsidP="00E159F5">
      <w:pPr>
        <w:spacing w:before="100" w:beforeAutospacing="1" w:after="120" w:line="240" w:lineRule="auto"/>
        <w:outlineLvl w:val="2"/>
        <w:rPr>
          <w:rFonts w:ascii="Times New Roman" w:eastAsia="Times New Roman" w:hAnsi="Times New Roman" w:cs="Times New Roman"/>
          <w:b/>
          <w:bCs/>
          <w:color w:val="1F1F1F"/>
          <w:sz w:val="27"/>
          <w:szCs w:val="27"/>
        </w:rPr>
      </w:pPr>
      <w:bookmarkStart w:id="32" w:name="_Toc225518623"/>
      <w:r w:rsidRPr="00E159F5">
        <w:rPr>
          <w:rFonts w:ascii="Times New Roman" w:eastAsia="Times New Roman" w:hAnsi="Times New Roman" w:cs="Times New Roman"/>
          <w:b/>
          <w:bCs/>
          <w:color w:val="1F1F1F"/>
          <w:sz w:val="27"/>
          <w:szCs w:val="27"/>
        </w:rPr>
        <w:t>10.2 Legal Frameworks: The Philippine Context (Republic Act No. 9147)</w:t>
      </w:r>
      <w:bookmarkEnd w:id="32"/>
    </w:p>
    <w:p w14:paraId="66280ABF"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In megadiverse regions containing highly restricted endemic flora, national legislation strictly governs botanical activities. The Philippines enforces Republic Act No. 9147, known as the "Wildlife Resources Conservation and Protection Act".</w:t>
      </w:r>
    </w:p>
    <w:p w14:paraId="29312A96"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RA 9147 regulates the collection, possession, transport, breeding, and propagation of all wildlife, establishing severe penalties for illegal poaching, the destruction of critical habitats, and unregulated bioprospecting (the commercial extraction of genetic or biochemical resources). Jurisdiction over botanical resources is split systematically:</w:t>
      </w:r>
    </w:p>
    <w:p w14:paraId="5E3B973B" w14:textId="77777777" w:rsidR="00E159F5" w:rsidRPr="00E159F5" w:rsidRDefault="00E159F5" w:rsidP="00E159F5">
      <w:pPr>
        <w:numPr>
          <w:ilvl w:val="0"/>
          <w:numId w:val="12"/>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The </w:t>
      </w:r>
      <w:r w:rsidRPr="00E159F5">
        <w:rPr>
          <w:rFonts w:ascii="Times New Roman" w:eastAsia="Times New Roman" w:hAnsi="Times New Roman" w:cs="Times New Roman"/>
          <w:b/>
          <w:bCs/>
          <w:color w:val="1F1F1F"/>
          <w:sz w:val="24"/>
          <w:szCs w:val="24"/>
          <w:bdr w:val="none" w:sz="0" w:space="0" w:color="auto" w:frame="1"/>
        </w:rPr>
        <w:t>Department of Environment and Natural Resources (DENR)</w:t>
      </w:r>
      <w:r w:rsidRPr="00E159F5">
        <w:rPr>
          <w:rFonts w:ascii="Times New Roman" w:eastAsia="Times New Roman" w:hAnsi="Times New Roman" w:cs="Times New Roman"/>
          <w:color w:val="1F1F1F"/>
          <w:sz w:val="24"/>
          <w:szCs w:val="24"/>
          <w:bdr w:val="none" w:sz="0" w:space="0" w:color="auto" w:frame="1"/>
        </w:rPr>
        <w:t xml:space="preserve"> possesses ultimate jurisdiction over all terrestrial plant species, encompassing rainforest canopy trees, terrestrial orchids, and montane shrubs.</w:t>
      </w:r>
    </w:p>
    <w:p w14:paraId="2F258B00" w14:textId="77777777" w:rsidR="00E159F5" w:rsidRPr="00E159F5" w:rsidRDefault="00E159F5" w:rsidP="00E159F5">
      <w:pPr>
        <w:numPr>
          <w:ilvl w:val="0"/>
          <w:numId w:val="12"/>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The </w:t>
      </w:r>
      <w:r w:rsidRPr="00E159F5">
        <w:rPr>
          <w:rFonts w:ascii="Times New Roman" w:eastAsia="Times New Roman" w:hAnsi="Times New Roman" w:cs="Times New Roman"/>
          <w:b/>
          <w:bCs/>
          <w:color w:val="1F1F1F"/>
          <w:sz w:val="24"/>
          <w:szCs w:val="24"/>
          <w:bdr w:val="none" w:sz="0" w:space="0" w:color="auto" w:frame="1"/>
        </w:rPr>
        <w:t>Department of Agriculture (DA)</w:t>
      </w:r>
      <w:r w:rsidRPr="00E159F5">
        <w:rPr>
          <w:rFonts w:ascii="Times New Roman" w:eastAsia="Times New Roman" w:hAnsi="Times New Roman" w:cs="Times New Roman"/>
          <w:color w:val="1F1F1F"/>
          <w:sz w:val="24"/>
          <w:szCs w:val="24"/>
          <w:bdr w:val="none" w:sz="0" w:space="0" w:color="auto" w:frame="1"/>
        </w:rPr>
        <w:t xml:space="preserve"> retains jurisdiction over all aquatic and wetland plant species. (Note: The DA also oversees the Institutional Animal Care and Use Committee (IACUC) for animal research under DA AO 40 ).</w:t>
      </w:r>
    </w:p>
    <w:p w14:paraId="4E524D4D" w14:textId="77777777" w:rsidR="00E159F5" w:rsidRPr="00E159F5" w:rsidRDefault="00E159F5" w:rsidP="00E159F5">
      <w:pPr>
        <w:numPr>
          <w:ilvl w:val="0"/>
          <w:numId w:val="12"/>
        </w:num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 xml:space="preserve">In the ecologically unique province of Palawan, all jurisdiction is transferred specifically to the </w:t>
      </w:r>
      <w:r w:rsidRPr="00E159F5">
        <w:rPr>
          <w:rFonts w:ascii="Times New Roman" w:eastAsia="Times New Roman" w:hAnsi="Times New Roman" w:cs="Times New Roman"/>
          <w:b/>
          <w:bCs/>
          <w:color w:val="1F1F1F"/>
          <w:sz w:val="24"/>
          <w:szCs w:val="24"/>
          <w:bdr w:val="none" w:sz="0" w:space="0" w:color="auto" w:frame="1"/>
        </w:rPr>
        <w:t>Palawan Council for Sustainable Development (PCSD)</w:t>
      </w:r>
      <w:r w:rsidRPr="00E159F5">
        <w:rPr>
          <w:rFonts w:ascii="Times New Roman" w:eastAsia="Times New Roman" w:hAnsi="Times New Roman" w:cs="Times New Roman"/>
          <w:color w:val="1F1F1F"/>
          <w:sz w:val="24"/>
          <w:szCs w:val="24"/>
          <w:bdr w:val="none" w:sz="0" w:space="0" w:color="auto" w:frame="1"/>
        </w:rPr>
        <w:t>.</w:t>
      </w:r>
    </w:p>
    <w:p w14:paraId="466C55B2" w14:textId="77777777" w:rsidR="00E159F5" w:rsidRPr="00E159F5" w:rsidRDefault="00E159F5" w:rsidP="00E159F5">
      <w:pPr>
        <w:spacing w:before="100" w:beforeAutospacing="1" w:after="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bdr w:val="none" w:sz="0" w:space="0" w:color="auto" w:frame="1"/>
        </w:rPr>
        <w:t>Under this legal framework, students and researchers must acquire a "Gratuitous Permit" (GP) or enter into a Memorandum of Agreement (MOA) with the government before any collection can commence. Exporting specimens for foreign herbarium study requires separate CITES or Non-CITES Export Permits, and local transport requires an LTP (Local Transport Permit). These rigorous protocols ensure that the drive to catalog and study biodiversity does not inadvertently lead to its exploitation and destruction.</w:t>
      </w:r>
    </w:p>
    <w:p w14:paraId="45205585" w14:textId="77777777" w:rsidR="00E159F5" w:rsidRPr="00E159F5" w:rsidRDefault="00E159F5" w:rsidP="00E159F5">
      <w:pPr>
        <w:spacing w:before="100" w:beforeAutospacing="1" w:after="120" w:line="240" w:lineRule="auto"/>
        <w:outlineLvl w:val="1"/>
        <w:rPr>
          <w:rFonts w:ascii="Times New Roman" w:eastAsia="Times New Roman" w:hAnsi="Times New Roman" w:cs="Times New Roman"/>
          <w:b/>
          <w:bCs/>
          <w:color w:val="1F1F1F"/>
          <w:sz w:val="36"/>
          <w:szCs w:val="36"/>
        </w:rPr>
      </w:pPr>
      <w:bookmarkStart w:id="33" w:name="_Toc225518624"/>
      <w:r w:rsidRPr="00E159F5">
        <w:rPr>
          <w:rFonts w:ascii="Times New Roman" w:eastAsia="Times New Roman" w:hAnsi="Times New Roman" w:cs="Times New Roman"/>
          <w:b/>
          <w:bCs/>
          <w:color w:val="1F1F1F"/>
          <w:sz w:val="36"/>
          <w:szCs w:val="36"/>
        </w:rPr>
        <w:t>11. Conclusion</w:t>
      </w:r>
      <w:bookmarkEnd w:id="33"/>
    </w:p>
    <w:p w14:paraId="047DB094" w14:textId="77777777" w:rsidR="00E159F5" w:rsidRPr="00E159F5" w:rsidRDefault="00E159F5" w:rsidP="00E159F5">
      <w:pPr>
        <w:spacing w:before="100" w:beforeAutospacing="1" w:after="24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t xml:space="preserve">The mastery of plant identification is not achieved through memorization alone, but through the rigorous application of a multi-disciplinary, analytical framework. By deeply understanding the hierarchical structures of Linnaean taxonomy and internalizing the complex vocabulary of plant </w:t>
      </w:r>
      <w:r w:rsidRPr="00E159F5">
        <w:rPr>
          <w:rFonts w:ascii="Times New Roman" w:eastAsia="Times New Roman" w:hAnsi="Times New Roman" w:cs="Times New Roman"/>
          <w:color w:val="1F1F1F"/>
          <w:sz w:val="24"/>
          <w:szCs w:val="24"/>
        </w:rPr>
        <w:lastRenderedPageBreak/>
        <w:t>morphology—from the subtleties of leaf venation and margins to the structural architecture of a cymose inflorescence—a practitioner can decode the evolutionary blueprints of the botanical world.</w:t>
      </w:r>
    </w:p>
    <w:p w14:paraId="64EBC866" w14:textId="77777777" w:rsidR="00E159F5" w:rsidRPr="00E159F5" w:rsidRDefault="00E159F5" w:rsidP="00E159F5">
      <w:pPr>
        <w:spacing w:before="100" w:beforeAutospacing="1" w:after="240" w:line="240" w:lineRule="auto"/>
        <w:rPr>
          <w:rFonts w:ascii="Times New Roman" w:eastAsia="Times New Roman" w:hAnsi="Times New Roman" w:cs="Times New Roman"/>
          <w:color w:val="1F1F1F"/>
          <w:sz w:val="24"/>
          <w:szCs w:val="24"/>
        </w:rPr>
      </w:pPr>
      <w:r w:rsidRPr="00E159F5">
        <w:rPr>
          <w:rFonts w:ascii="Times New Roman" w:eastAsia="Times New Roman" w:hAnsi="Times New Roman" w:cs="Times New Roman"/>
          <w:color w:val="1F1F1F"/>
          <w:sz w:val="24"/>
          <w:szCs w:val="24"/>
        </w:rPr>
        <w:t>When observing a specimen in the field, pattern recognition at the family level provides the compass, while the strict, logical navigation of a dichotomous key maps the final path to the exact species. Equipped with the essential 10x triplet hand lens for microscopic resolution, precise protocols for diagnostic photography and physical herbarium pressing, and an understanding of modern digital AI databases, researchers can bridge the gap between minute diagnostic traits and macroscopic ecological assessments. Most critically, this scientific endeavor must be conducted within the strict ethical parameters of conservation laws like RA 9147, ensuring that the exploration of global flora serves to protect and sustain the intricate biodiversity of our planet for future generations.</w:t>
      </w:r>
    </w:p>
    <w:p w14:paraId="60692E0C" w14:textId="77777777" w:rsidR="003E7538" w:rsidRDefault="003E7538"/>
    <w:sectPr w:rsidR="003E7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5054F"/>
    <w:multiLevelType w:val="multilevel"/>
    <w:tmpl w:val="9F3A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C132B"/>
    <w:multiLevelType w:val="multilevel"/>
    <w:tmpl w:val="0B4A9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880443"/>
    <w:multiLevelType w:val="multilevel"/>
    <w:tmpl w:val="472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20B70"/>
    <w:multiLevelType w:val="multilevel"/>
    <w:tmpl w:val="153C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354E2"/>
    <w:multiLevelType w:val="multilevel"/>
    <w:tmpl w:val="3B18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D1E23"/>
    <w:multiLevelType w:val="multilevel"/>
    <w:tmpl w:val="AE78B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5C0961"/>
    <w:multiLevelType w:val="multilevel"/>
    <w:tmpl w:val="12F21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27444D"/>
    <w:multiLevelType w:val="multilevel"/>
    <w:tmpl w:val="F9B6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07051"/>
    <w:multiLevelType w:val="multilevel"/>
    <w:tmpl w:val="4B3A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4919A1"/>
    <w:multiLevelType w:val="multilevel"/>
    <w:tmpl w:val="D6D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A51D1"/>
    <w:multiLevelType w:val="multilevel"/>
    <w:tmpl w:val="07A4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335169"/>
    <w:multiLevelType w:val="multilevel"/>
    <w:tmpl w:val="D7AE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6"/>
  </w:num>
  <w:num w:numId="4">
    <w:abstractNumId w:val="8"/>
  </w:num>
  <w:num w:numId="5">
    <w:abstractNumId w:val="0"/>
  </w:num>
  <w:num w:numId="6">
    <w:abstractNumId w:val="2"/>
  </w:num>
  <w:num w:numId="7">
    <w:abstractNumId w:val="10"/>
  </w:num>
  <w:num w:numId="8">
    <w:abstractNumId w:val="7"/>
  </w:num>
  <w:num w:numId="9">
    <w:abstractNumId w:val="5"/>
  </w:num>
  <w:num w:numId="10">
    <w:abstractNumId w:val="1"/>
  </w:num>
  <w:num w:numId="11">
    <w:abstractNumId w:val="4"/>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F5"/>
    <w:rsid w:val="003E7538"/>
    <w:rsid w:val="00E15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5E233"/>
  <w15:chartTrackingRefBased/>
  <w15:docId w15:val="{EEFC1EA6-74A0-4516-B316-65C933FA3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59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59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159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159F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9F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59F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159F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159F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159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59F5"/>
    <w:rPr>
      <w:b/>
      <w:bCs/>
    </w:rPr>
  </w:style>
  <w:style w:type="paragraph" w:styleId="TOCHeading">
    <w:name w:val="TOC Heading"/>
    <w:basedOn w:val="Heading1"/>
    <w:next w:val="Normal"/>
    <w:uiPriority w:val="39"/>
    <w:unhideWhenUsed/>
    <w:qFormat/>
    <w:rsid w:val="00E159F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E159F5"/>
    <w:pPr>
      <w:spacing w:after="100"/>
    </w:pPr>
  </w:style>
  <w:style w:type="paragraph" w:styleId="TOC2">
    <w:name w:val="toc 2"/>
    <w:basedOn w:val="Normal"/>
    <w:next w:val="Normal"/>
    <w:autoRedefine/>
    <w:uiPriority w:val="39"/>
    <w:unhideWhenUsed/>
    <w:rsid w:val="00E159F5"/>
    <w:pPr>
      <w:spacing w:after="100"/>
      <w:ind w:left="220"/>
    </w:pPr>
  </w:style>
  <w:style w:type="paragraph" w:styleId="TOC3">
    <w:name w:val="toc 3"/>
    <w:basedOn w:val="Normal"/>
    <w:next w:val="Normal"/>
    <w:autoRedefine/>
    <w:uiPriority w:val="39"/>
    <w:unhideWhenUsed/>
    <w:rsid w:val="00E159F5"/>
    <w:pPr>
      <w:spacing w:after="100"/>
      <w:ind w:left="440"/>
    </w:pPr>
  </w:style>
  <w:style w:type="character" w:styleId="Hyperlink">
    <w:name w:val="Hyperlink"/>
    <w:basedOn w:val="DefaultParagraphFont"/>
    <w:uiPriority w:val="99"/>
    <w:unhideWhenUsed/>
    <w:rsid w:val="00E159F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75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DEDF1-2EE8-41B7-892A-C601AF3CA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7416</Words>
  <Characters>42277</Characters>
  <Application>Microsoft Office Word</Application>
  <DocSecurity>0</DocSecurity>
  <Lines>352</Lines>
  <Paragraphs>99</Paragraphs>
  <ScaleCrop>false</ScaleCrop>
  <Company/>
  <LinksUpToDate>false</LinksUpToDate>
  <CharactersWithSpaces>49594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jheyrickbaliguat@gmail.com</dc:creator>
  <cp:keywords/>
  <dc:description/>
  <cp:lastModifiedBy>jheyrickbaliguat@gmail.com</cp:lastModifiedBy>
  <cp:revision>1</cp:revision>
  <dcterms:created xsi:type="dcterms:W3CDTF">2026-03-27T07:41:00Z</dcterms:created>
  <dcterms:modified xsi:type="dcterms:W3CDTF">2026-03-27T07:43:00Z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606b47d9-0827-467d-85a0-729687d01736</vt:lpwstr>
  </property>
</Properties>
</file>