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rPr>
          <w:color w:val="5A6B63"/>
        </w:rPr>
        <w:t xml:space="preserve">ProWater internal admin dashboard · Reflects APP_VERSION 2.29.42 · Last updated 30 July 2026</w:t>
      </w:r>
    </w:p>
    <w:p>
      <w:pPr>
        <w:spacing w:after="160"/>
      </w:pPr>
      <w:r>
        <w:rPr>
          <w:i/>
          <w:iCs/>
          <w:color w:val="5A6B63"/>
        </w:rPr>
        <w:t xml:space="preserve">Maintenance note: keep this document in sync with every release — update it alongside APP_VERSION, the VERSION_HISTORY entry in src/App.jsx, and src/DOCUMENTATION.md.</w:t>
      </w:r>
    </w:p>
    <w:p>
      <w:pPr>
        <w:pStyle w:val="Heading1"/>
        <w:spacing w:after="100" w:before="260"/>
      </w:pPr>
      <w:r>
        <w:t xml:space="preserve">1. What kind of application is it?</w:t>
      </w:r>
    </w:p>
    <w:p>
      <w:pPr>
        <w:spacing w:after="100"/>
      </w:pPr>
      <w:r>
        <w:t xml:space="preserve">It is a React single-page application. Most of the application — around 12,000 lines — is inside one file called src/App.jsx.</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rather than a component library</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invoice/payment history.</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Keeping around 12,000 lines in one file makes development, testing and debugging difficult.</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