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81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Приложение также работает.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j46abmnr519j" w:id="0"/>
      <w:bookmarkEnd w:id="0"/>
      <w:r w:rsidDel="00000000" w:rsidR="00000000" w:rsidRPr="00000000">
        <w:rPr>
          <w:rtl w:val="0"/>
        </w:rPr>
        <w:t xml:space="preserve">Объяснения графиков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Первое что я заметил в ходе замеров - на маленьких объемах данных переданный массив не делится на части и передается целиком, чего нельзя сказать о большом объеме: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152900" cy="108013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80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3ku0pfh7etuu" w:id="1"/>
      <w:bookmarkEnd w:id="1"/>
      <w:r w:rsidDel="00000000" w:rsidR="00000000" w:rsidRPr="00000000">
        <w:rPr/>
        <w:drawing>
          <wp:inline distB="114300" distT="114300" distL="114300" distR="114300">
            <wp:extent cx="2609850" cy="113347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33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Графики на таких данных имели в целом схожее время на всем протяжении замера, а на больших уже вырисовывалась явная зависимость времени передачи от объема.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