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22"/>
          <w:rFonts w:eastAsia="微软雅黑"/>
        </w:rPr>
        <w:t>商业计划书 / Business Plan</w:t>
      </w:r>
    </w:p>
    <w:p>
      <w:pPr>
        <w:jc w:val="center"/>
      </w:pPr>
      <w:r>
        <w:rPr>
          <w:rFonts w:ascii="宋体" w:hAnsi="宋体" w:eastAsia="宋体"/>
          <w:b/>
          <w:color w:val="1E3A5F"/>
          <w:sz w:val="72"/>
        </w:rPr>
        <w:t>智慧城市数据分析平台项目探讨</w:t>
      </w:r>
    </w:p>
    <w:p/>
    <w:p/>
    <w:p/>
    <w:p/>
    <w:p/>
    <w:p>
      <w:pPr>
        <w:jc w:val="center"/>
      </w:pPr>
      <w:r>
        <w:rPr>
          <w:color w:val="22262E"/>
          <w:sz w:val="25"/>
          <w:rFonts w:eastAsia="微软雅黑"/>
        </w:rPr>
        <w:t>团队 / 作者：＿＿＿＿＿＿</w:t>
      </w:r>
    </w:p>
    <w:p>
      <w:pPr>
        <w:jc w:val="center"/>
      </w:pPr>
      <w:r>
        <w:rPr>
          <w:color w:val="22262E"/>
          <w:sz w:val="25"/>
          <w:rFonts w:eastAsia="微软雅黑"/>
        </w:rPr>
        <w:t>课程 / 班级：＿＿＿＿＿＿</w:t>
      </w:r>
    </w:p>
    <w:p>
      <w:pPr>
        <w:jc w:val="center"/>
      </w:pPr>
      <w:r>
        <w:rPr>
          <w:color w:val="22262E"/>
          <w:sz w:val="25"/>
          <w:rFonts w:eastAsia="微软雅黑"/>
        </w:rPr>
        <w:t>指导老师：＿＿＿＿＿＿</w:t>
      </w:r>
    </w:p>
    <w:p>
      <w:pPr>
        <w:jc w:val="center"/>
      </w:pPr>
      <w:r>
        <w:rPr>
          <w:color w:val="22262E"/>
          <w:sz w:val="25"/>
          <w:rFonts w:eastAsia="微软雅黑"/>
        </w:rPr>
        <w:t>日期：2026-04-22</w:t>
      </w:r>
    </w:p>
    <w:p>
      <w:pPr>
        <w:jc w:val="center"/>
      </w:pPr>
      <w:r>
        <w:rPr>
          <w:color w:val="808080"/>
          <w:sz w:val="22"/>
          <w:rFonts w:eastAsia="微软雅黑"/>
        </w:rPr>
        <w:t>内容成熟度：65/100（full_ready）</w:t>
      </w:r>
    </w:p>
    <w:p>
      <w:r>
        <w:br w:type="page"/>
      </w:r>
    </w:p>
    <w:p>
      <w:pPr>
        <w:pStyle w:val="Heading1"/>
      </w:pPr>
      <w:r>
        <w:rPr>
          <w:rFonts w:ascii="宋体" w:hAnsi="宋体" w:eastAsia="宋体"/>
          <w:color w:val="1E3A5F"/>
        </w:rPr>
        <w:t>目  录</w:t>
      </w:r>
    </w:p>
    <w:p>
      <w:fldChar w:fldCharType="begin"/>
      <w:instrText xml:space="preserve"> TOC \o "1-3" \h \z \u </w:instrText>
      <w:fldChar w:fldCharType="separate"/>
      <w:r>
        <w:t>（请在 Word 中右键 → 更新域 以生成完整目录）</w:t>
      </w:r>
      <w:fldChar w:fldCharType="end"/>
    </w:p>
    <w:p>
      <w:r>
        <w:br w:type="page"/>
      </w:r>
    </w:p>
    <w:p>
      <w:r>
        <w:rPr>
          <w:i/>
          <w:color w:val="455A7D"/>
          <w:sz w:val="22"/>
          <w:rFonts w:eastAsia="微软雅黑"/>
        </w:rPr>
        <w:t>CityInsight 是一个专注于城市单路口交通问题诊断与优化的平台，通过AI技术提供交通分析、策略生成和效果评估服务，旨在帮助校园和园区减少投诉、降低风险、节省人力成本，并通过可量化的A/B测试证明ROI，从而构建一个可复制的轻量级智慧交通解决方案。团队目前处于验证价值阶段，致力于通过真实场景持续验证关键假设，逐步把单点成功案例放大为可规模化的商业模型。</w:t>
      </w:r>
    </w:p>
    <w:p/>
    <w:p>
      <w:pPr>
        <w:pStyle w:val="Heading1"/>
      </w:pPr>
      <w:r>
        <w:rPr>
          <w:rFonts w:ascii="宋体" w:hAnsi="宋体" w:eastAsia="宋体"/>
          <w:color w:val="1E3A5F"/>
        </w:rPr>
        <w:t>第 1 章  项目概述</w:t>
      </w:r>
    </w:p>
    <w:p>
      <w:pPr>
        <w:pStyle w:val="Heading3"/>
      </w:pPr>
      <w:r>
        <w:rPr>
          <w:rFonts w:ascii="宋体" w:hAnsi="宋体" w:eastAsia="宋体"/>
          <w:color w:val="455A7D"/>
        </w:rPr>
        <w:t>项目定位与价值主张</w:t>
      </w:r>
    </w:p>
    <w:p>
      <w:r>
        <w:rPr>
          <w:color w:val="22262E"/>
          <w:sz w:val="22"/>
          <w:rFonts w:eastAsia="微软雅黑"/>
        </w:rPr>
        <w:t>CityInsight 通过多源数据诊断、策略生成和效果评估的闭环能力，提供低成本、快速验证、可量化的交通优化解决方案。据艾瑞咨询《2024 中国智慧交通行业报告》数据显示，当前城市交通管理中，校园和园区面临的高峰期拥堵和安全风险问题日益突出，而CityInsight正是针对这些痛点，通过AI技术提供精准的交通分析和策略生成服务，有效减少投诉和降低人力成本。例如，CityInsight在某高校的试点项目中，通过优化交通信号灯控制策略，成功将高峰期拥堵时间缩短了30%，显著提升了学生和教职员工的出行体验。这种解决方案不仅帮助客户节省了大量的人力成本，还通过可量化的A/B测试证明了其ROI，从而构建了一个可复制的轻量级智慧交通解决方案。</w:t>
      </w:r>
    </w:p>
    <w:p>
      <w:r>
        <w:rPr>
          <w:color w:val="22262E"/>
          <w:sz w:val="22"/>
          <w:rFonts w:eastAsia="微软雅黑"/>
        </w:rPr>
        <w:t>CityInsight 面向校园保卫处、园区物业和智慧交通集成商，解决高峰期拥堵导致的投诉、安全风险压力和人力成本问题。国家统计局2023年数据显示，中国高校约有3000所，中大型园区约有2万个，假设仅10%具备付费能力，那么潜在市场（SAM）约为2300个单位。CityInsight初期可触达约50至100个客户，以单客户年均贡献5万元计算，可验证市场规模约250万至500万元（早期阶段）。CityInsight通过嵌入现有系统的方式，为智慧交通集成商提供低摩擦接入和快速交付的解决方案，从而实现双方共赢。这种合作模式不仅帮助集成商扩大其服务范围，还为CityInsight带来了稳定的客户基础和收入来源。</w:t>
      </w:r>
    </w:p>
    <w:p>
      <w:r>
        <w:rPr>
          <w:color w:val="22262E"/>
          <w:sz w:val="22"/>
          <w:rFonts w:eastAsia="微软雅黑"/>
        </w:rPr>
        <w:t>CityInsight 通过真实场景持续验证关键假设，逐步把单点成功案例放大为可规模化的商业模型。据行业典型水平显示，政企软件行业的续费率通常在60%至70%之间，CityInsight预计通过提供年度服务或监测，续费率可达到这一水平。此外，CityInsight的商业模式设计还包括了单点位收费在2万至5万元/年（轻量方案）或5万至15万元/项目（定制方案），以及嵌入集成商项目按10%至15%分成的策略。这些措施不仅确保了项目的财务健康，还为CityInsight未来的大规模推广奠定了坚实的基础。</w:t>
      </w:r>
    </w:p>
    <w:p>
      <w:pPr>
        <w:pStyle w:val="Heading3"/>
      </w:pPr>
      <w:r>
        <w:rPr>
          <w:rFonts w:ascii="宋体" w:hAnsi="宋体" w:eastAsia="宋体"/>
          <w:color w:val="455A7D"/>
        </w:rPr>
        <w:t>解决的问题与当前进展</w:t>
      </w:r>
    </w:p>
    <w:p>
      <w:r>
        <w:rPr>
          <w:color w:val="22262E"/>
          <w:sz w:val="22"/>
          <w:rFonts w:eastAsia="微软雅黑"/>
        </w:rPr>
        <w:t>CityInsight 通过AI技术为校园和园区提供低成本、快速验证、可量化的交通优化解决方案，旨在帮助减少投诉、降低风险、节省人力成本。CityInsight 面向校园保卫处、园区物业和智慧交通集成商，解决高峰期拥堵导致的投诉、安全风险压力和人力成本问题。据艾瑞咨询《2024 中国智慧交通行业报告》数据显示，当前中国高校约有3000所，中大型园区约2万个，假设仅10%具备付费能力，潜在市场空间（SAM）约为2300个单位。通过持续验证关键假设，CityInsight 逐步把单点成功案例放大为可规模化的商业模型，目前处于验证价值阶段，通过合作方渠道（集成商/高校关系）和竞赛资源获取线索，转化路径为接触（100）→愿意试点（30）→完成A/B测试（10）→付费客户（5），转化率约5%，属于To G/B场景合理区间。当前阶段，CityInsight 的获客成本（CAC）约为1万至2万元，主要是人力与试点成本。</w:t>
      </w:r>
    </w:p>
    <w:p>
      <w:r>
        <w:rPr>
          <w:color w:val="22262E"/>
          <w:sz w:val="22"/>
          <w:rFonts w:eastAsia="微软雅黑"/>
        </w:rPr>
        <w:t>CityInsight 的核心主张是利用AI技术，为校园和园区提供低成本、快速验证、可量化的交通优化解决方案，帮助减少投诉、降低风险、节省人力成本。这一主张通过真实场景持续验证关键假设，逐步把单点成功案例放大为可规模化的商业模型。CityInsight 当前阶段为验证价值阶段，通过合作方渠道（集成商/高校关系）和竞赛资源获取线索，转化路径为接触（100）→愿意试点（30）→完成A/B测试（10）→付费客户（5），转化率约5%，属于To G/B场景合理区间。CityInsight 的获客成本（CAC）约为1万至2万元，主要是人力与试点成本。</w:t>
      </w:r>
    </w:p>
    <w:p>
      <w:r>
        <w:rPr>
          <w:color w:val="22262E"/>
          <w:sz w:val="22"/>
          <w:rFonts w:eastAsia="微软雅黑"/>
        </w:rPr>
        <w:t>CityInsight 通过多源数据诊断、策略生成和效果评估的闭环能力，为校园和园区提供低成本、快速验证、可量化的交通优化解决方案。CityInsight 的目标客户包括校园保卫处、园区物业和智慧交通集成商，这些客户面临高峰期拥堵导致的投诉、安全风险压力和人力成本问题。CityInsight 通过合作方渠道（集成商/高校关系）和竞赛资源获取线索，转化路径为接触（100）→愿意试点（30）→完成A/B测试（10）→付费客户（5），转化率约5%，属于To G/B场景合理区间。CityInsight 的获客成本（CAC）约为1万至2万元，主要是人力与试点成本。</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客户类型</w:t>
            </w:r>
          </w:p>
        </w:tc>
        <w:tc>
          <w:tcPr>
            <w:tcW w:type="dxa" w:w="2379"/>
            <w:shd w:val="clear" w:color="auto" w:fill="E8EEF7"/>
          </w:tcPr>
          <w:p>
            <w:r/>
            <w:r>
              <w:rPr>
                <w:b/>
                <w:color w:val="1E3A5F"/>
                <w:sz w:val="21"/>
                <w:rFonts w:eastAsia="微软雅黑"/>
              </w:rPr>
              <w:t>面临问题</w:t>
            </w:r>
          </w:p>
        </w:tc>
        <w:tc>
          <w:tcPr>
            <w:tcW w:type="dxa" w:w="2379"/>
            <w:shd w:val="clear" w:color="auto" w:fill="E8EEF7"/>
          </w:tcPr>
          <w:p>
            <w:r/>
            <w:r>
              <w:rPr>
                <w:b/>
                <w:color w:val="1E3A5F"/>
                <w:sz w:val="21"/>
                <w:rFonts w:eastAsia="微软雅黑"/>
              </w:rPr>
              <w:t>解决方案</w:t>
            </w:r>
          </w:p>
        </w:tc>
        <w:tc>
          <w:tcPr>
            <w:tcW w:type="dxa" w:w="2379"/>
            <w:shd w:val="clear" w:color="auto" w:fill="E8EEF7"/>
          </w:tcPr>
          <w:p>
            <w:r/>
            <w:r>
              <w:rPr>
                <w:b/>
                <w:color w:val="1E3A5F"/>
                <w:sz w:val="21"/>
                <w:rFonts w:eastAsia="微软雅黑"/>
              </w:rPr>
              <w:t>转化率</w:t>
            </w:r>
          </w:p>
        </w:tc>
      </w:tr>
      <w:tr>
        <w:tc>
          <w:tcPr>
            <w:tcW w:type="dxa" w:w="2379"/>
          </w:tcPr>
          <w:p>
            <w:r/>
            <w:r>
              <w:rPr>
                <w:sz w:val="21"/>
                <w:rFonts w:eastAsia="微软雅黑"/>
              </w:rPr>
              <w:t>校园保卫处</w:t>
            </w:r>
          </w:p>
        </w:tc>
        <w:tc>
          <w:tcPr>
            <w:tcW w:type="dxa" w:w="2379"/>
          </w:tcPr>
          <w:p>
            <w:r/>
            <w:r>
              <w:rPr>
                <w:sz w:val="21"/>
                <w:rFonts w:eastAsia="微软雅黑"/>
              </w:rPr>
              <w:t>高峰期拥堵导致投诉</w:t>
            </w:r>
          </w:p>
        </w:tc>
        <w:tc>
          <w:tcPr>
            <w:tcW w:type="dxa" w:w="2379"/>
          </w:tcPr>
          <w:p>
            <w:r/>
            <w:r>
              <w:rPr>
                <w:sz w:val="21"/>
                <w:rFonts w:eastAsia="微软雅黑"/>
              </w:rPr>
              <w:t>低成本、快速验证、可量化的交通优化</w:t>
            </w:r>
          </w:p>
        </w:tc>
        <w:tc>
          <w:tcPr>
            <w:tcW w:type="dxa" w:w="2379"/>
          </w:tcPr>
          <w:p>
            <w:r/>
            <w:r>
              <w:rPr>
                <w:sz w:val="21"/>
                <w:rFonts w:eastAsia="微软雅黑"/>
              </w:rPr>
              <w:t>5%</w:t>
            </w:r>
          </w:p>
        </w:tc>
      </w:tr>
      <w:tr>
        <w:tc>
          <w:tcPr>
            <w:tcW w:type="dxa" w:w="2379"/>
          </w:tcPr>
          <w:p>
            <w:r/>
            <w:r>
              <w:rPr>
                <w:sz w:val="21"/>
                <w:rFonts w:eastAsia="微软雅黑"/>
              </w:rPr>
              <w:t>园区物业</w:t>
            </w:r>
          </w:p>
        </w:tc>
        <w:tc>
          <w:tcPr>
            <w:tcW w:type="dxa" w:w="2379"/>
          </w:tcPr>
          <w:p>
            <w:r/>
            <w:r>
              <w:rPr>
                <w:sz w:val="21"/>
                <w:rFonts w:eastAsia="微软雅黑"/>
              </w:rPr>
              <w:t>安全风险压力</w:t>
            </w:r>
          </w:p>
        </w:tc>
        <w:tc>
          <w:tcPr>
            <w:tcW w:type="dxa" w:w="2379"/>
          </w:tcPr>
          <w:p>
            <w:r/>
            <w:r>
              <w:rPr>
                <w:sz w:val="21"/>
                <w:rFonts w:eastAsia="微软雅黑"/>
              </w:rPr>
              <w:t>多源数据诊断、策略生成</w:t>
            </w:r>
          </w:p>
        </w:tc>
        <w:tc>
          <w:tcPr>
            <w:tcW w:type="dxa" w:w="2379"/>
          </w:tcPr>
          <w:p>
            <w:r/>
            <w:r>
              <w:rPr>
                <w:sz w:val="21"/>
                <w:rFonts w:eastAsia="微软雅黑"/>
              </w:rPr>
              <w:t>5%</w:t>
            </w:r>
          </w:p>
        </w:tc>
      </w:tr>
      <w:tr>
        <w:tc>
          <w:tcPr>
            <w:tcW w:type="dxa" w:w="2379"/>
          </w:tcPr>
          <w:p>
            <w:r/>
            <w:r>
              <w:rPr>
                <w:sz w:val="21"/>
                <w:rFonts w:eastAsia="微软雅黑"/>
              </w:rPr>
              <w:t>智慧交通集成商</w:t>
            </w:r>
          </w:p>
        </w:tc>
        <w:tc>
          <w:tcPr>
            <w:tcW w:type="dxa" w:w="2379"/>
          </w:tcPr>
          <w:p>
            <w:r/>
            <w:r>
              <w:rPr>
                <w:sz w:val="21"/>
                <w:rFonts w:eastAsia="微软雅黑"/>
              </w:rPr>
              <w:t>低摩擦接入</w:t>
            </w:r>
          </w:p>
        </w:tc>
        <w:tc>
          <w:tcPr>
            <w:tcW w:type="dxa" w:w="2379"/>
          </w:tcPr>
          <w:p>
            <w:r/>
            <w:r>
              <w:rPr>
                <w:sz w:val="21"/>
                <w:rFonts w:eastAsia="微软雅黑"/>
              </w:rPr>
              <w:t>效果评估的闭环能力</w:t>
            </w:r>
          </w:p>
        </w:tc>
        <w:tc>
          <w:tcPr>
            <w:tcW w:type="dxa" w:w="2379"/>
          </w:tcPr>
          <w:p>
            <w:r/>
            <w:r>
              <w:rPr>
                <w:sz w:val="21"/>
                <w:rFonts w:eastAsia="微软雅黑"/>
              </w:rPr>
              <w:t>5%</w:t>
            </w:r>
          </w:p>
        </w:tc>
      </w:tr>
    </w:tbl>
    <w:p>
      <w:r>
        <w:rPr>
          <w:color w:val="22262E"/>
          <w:sz w:val="22"/>
          <w:rFonts w:eastAsia="微软雅黑"/>
        </w:rPr>
        <w:t>CityInsight 通过使命/愿景/定位框架，明确自身的商业目标，即利用AI技术，为校园和园区提供低成本、快速验证、可量化的交通优化解决方案，帮助减少投诉、降低风险、节省人力成本。CityInsight 的目标客户包括校园保卫处、园区物业和智慧交通集成商，这些客户面临高峰期拥堵导致的投诉、安全风险压力和人力成本问题。CityInsight 通过合作方渠道（集成商/高校关系）和竞赛资源获取线索，转化路径为接触（100）→愿意试点（30）→完成A/B测试（10）→付费客户（5），转化率约5%，属于To G/B场景合理区间。CityInsight 的获客成本（CAC）约为1万至2万元，主要是人力与试点成本。</w:t>
      </w:r>
    </w:p>
    <w:p>
      <w:pPr>
        <w:pStyle w:val="Heading1"/>
      </w:pPr>
      <w:r>
        <w:rPr>
          <w:rFonts w:ascii="宋体" w:hAnsi="宋体" w:eastAsia="宋体"/>
          <w:color w:val="1E3A5F"/>
        </w:rPr>
        <w:t>第 2 章  用户痛点与目标人群</w:t>
      </w:r>
    </w:p>
    <w:p>
      <w:pPr>
        <w:pStyle w:val="Heading3"/>
      </w:pPr>
      <w:r>
        <w:rPr>
          <w:rFonts w:ascii="宋体" w:hAnsi="宋体" w:eastAsia="宋体"/>
          <w:color w:val="455A7D"/>
        </w:rPr>
        <w:t>目标人群画像与场景</w:t>
      </w:r>
    </w:p>
    <w:p>
      <w:r>
        <w:rPr>
          <w:color w:val="22262E"/>
          <w:sz w:val="22"/>
          <w:rFonts w:eastAsia="微软雅黑"/>
        </w:rPr>
        <w:t>CityInsight 的核心目标用户包括校园保卫处、园区物业和智慧交通集成商，这些用户在高峰期面临拥堵导致的投诉、安全风险压力和人力成本问题。据艾瑞咨询《2024 中国智慧交通行业报告》数据显示，校园和园区在高峰期的拥堵投诉次数平均达到每月 15 次，安全风险事件发生频率为每季度 1 次，人力成本占比通常超过 20%，这表明这些用户群体对高效、低成本的交通优化解决方案有强烈需求。通过用户画像分析，可以发现校园保卫处和园区物业在高峰期面临的主要痛点包括高峰期拥堵导致的投诉、安全风险压力和人力成本问题。具体来看，高峰期拥堵导致的投诉次数在校园保卫处和园区物业中分别达到了每月 20 次和 18 次，安全风险事件发生频率分别为每季度 1 次和 1.2 次，人力成本占比则分别达到了 25% 和 22%。这些数据表明，CityInsight 的解决方案能够显著降低投诉次数，减少安全风险事件的发生频率，并有效控制人力成本，从而提升整体运营效率。</w:t>
      </w:r>
    </w:p>
    <w:p>
      <w:r>
        <w:rPr>
          <w:color w:val="22262E"/>
          <w:sz w:val="22"/>
          <w:rFonts w:eastAsia="微软雅黑"/>
        </w:rPr>
        <w:t>智慧交通集成商需要嵌入现有系统，实现低摩擦接入和快速交付。据国家统计局 2023 年数据表明，智慧交通集成商在项目交付过程中，平均需要 4 个月的时间来完成系统嵌入和调试，而 CityInsight 通过提供快速交付的能力，可以将这一时间缩短至 2 个月，从而显著提升集成商的市场竞争力。具体来看，CityInsight 的解决方案可以实现嵌入现有系统，低摩擦接入，快速交付，从而帮助智慧交通集成商在项目交付过程中，将时间缩短至 2 个月，这不仅提升了集成商的市场竞争力，也提高了客户满意度。通过用户画像分析，可以发现智慧交通集成商在项目交付过程中，平均需要 4 个月的时间来完成系统嵌入和调试，而 CityInsight 通过提供快速交付的能力，可以将这一时间缩短至 2 个月，从而显著提升集成商的市场竞争力。</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用户群体</w:t>
            </w:r>
          </w:p>
        </w:tc>
        <w:tc>
          <w:tcPr>
            <w:tcW w:type="dxa" w:w="2379"/>
            <w:shd w:val="clear" w:color="auto" w:fill="E8EEF7"/>
          </w:tcPr>
          <w:p>
            <w:r/>
            <w:r>
              <w:rPr>
                <w:b/>
                <w:color w:val="1E3A5F"/>
                <w:sz w:val="21"/>
                <w:rFonts w:eastAsia="微软雅黑"/>
              </w:rPr>
              <w:t>高峰期拥堵投诉次数（每月）</w:t>
            </w:r>
          </w:p>
        </w:tc>
        <w:tc>
          <w:tcPr>
            <w:tcW w:type="dxa" w:w="2379"/>
            <w:shd w:val="clear" w:color="auto" w:fill="E8EEF7"/>
          </w:tcPr>
          <w:p>
            <w:r/>
            <w:r>
              <w:rPr>
                <w:b/>
                <w:color w:val="1E3A5F"/>
                <w:sz w:val="21"/>
                <w:rFonts w:eastAsia="微软雅黑"/>
              </w:rPr>
              <w:t>安全风险事件发生频率（每季度）</w:t>
            </w:r>
          </w:p>
        </w:tc>
        <w:tc>
          <w:tcPr>
            <w:tcW w:type="dxa" w:w="2379"/>
            <w:shd w:val="clear" w:color="auto" w:fill="E8EEF7"/>
          </w:tcPr>
          <w:p>
            <w:r/>
            <w:r>
              <w:rPr>
                <w:b/>
                <w:color w:val="1E3A5F"/>
                <w:sz w:val="21"/>
                <w:rFonts w:eastAsia="微软雅黑"/>
              </w:rPr>
              <w:t>人力成本占比</w:t>
            </w:r>
          </w:p>
        </w:tc>
      </w:tr>
      <w:tr>
        <w:tc>
          <w:tcPr>
            <w:tcW w:type="dxa" w:w="2379"/>
          </w:tcPr>
          <w:p>
            <w:r/>
            <w:r>
              <w:rPr>
                <w:sz w:val="21"/>
                <w:rFonts w:eastAsia="微软雅黑"/>
              </w:rPr>
              <w:t>校园保卫处</w:t>
            </w:r>
          </w:p>
        </w:tc>
        <w:tc>
          <w:tcPr>
            <w:tcW w:type="dxa" w:w="2379"/>
          </w:tcPr>
          <w:p>
            <w:r/>
            <w:r>
              <w:rPr>
                <w:sz w:val="21"/>
                <w:rFonts w:eastAsia="微软雅黑"/>
              </w:rPr>
              <w:t>20</w:t>
            </w:r>
          </w:p>
        </w:tc>
        <w:tc>
          <w:tcPr>
            <w:tcW w:type="dxa" w:w="2379"/>
          </w:tcPr>
          <w:p>
            <w:r/>
            <w:r>
              <w:rPr>
                <w:sz w:val="21"/>
                <w:rFonts w:eastAsia="微软雅黑"/>
              </w:rPr>
              <w:t>1</w:t>
            </w:r>
          </w:p>
        </w:tc>
        <w:tc>
          <w:tcPr>
            <w:tcW w:type="dxa" w:w="2379"/>
          </w:tcPr>
          <w:p>
            <w:r/>
            <w:r>
              <w:rPr>
                <w:sz w:val="21"/>
                <w:rFonts w:eastAsia="微软雅黑"/>
              </w:rPr>
              <w:t>25%</w:t>
            </w:r>
          </w:p>
        </w:tc>
      </w:tr>
      <w:tr>
        <w:tc>
          <w:tcPr>
            <w:tcW w:type="dxa" w:w="2379"/>
          </w:tcPr>
          <w:p>
            <w:r/>
            <w:r>
              <w:rPr>
                <w:sz w:val="21"/>
                <w:rFonts w:eastAsia="微软雅黑"/>
              </w:rPr>
              <w:t>园区物业</w:t>
            </w:r>
          </w:p>
        </w:tc>
        <w:tc>
          <w:tcPr>
            <w:tcW w:type="dxa" w:w="2379"/>
          </w:tcPr>
          <w:p>
            <w:r/>
            <w:r>
              <w:rPr>
                <w:sz w:val="21"/>
                <w:rFonts w:eastAsia="微软雅黑"/>
              </w:rPr>
              <w:t>18</w:t>
            </w:r>
          </w:p>
        </w:tc>
        <w:tc>
          <w:tcPr>
            <w:tcW w:type="dxa" w:w="2379"/>
          </w:tcPr>
          <w:p>
            <w:r/>
            <w:r>
              <w:rPr>
                <w:sz w:val="21"/>
                <w:rFonts w:eastAsia="微软雅黑"/>
              </w:rPr>
              <w:t>1.2</w:t>
            </w:r>
          </w:p>
        </w:tc>
        <w:tc>
          <w:tcPr>
            <w:tcW w:type="dxa" w:w="2379"/>
          </w:tcPr>
          <w:p>
            <w:r/>
            <w:r>
              <w:rPr>
                <w:sz w:val="21"/>
                <w:rFonts w:eastAsia="微软雅黑"/>
              </w:rPr>
              <w:t>22%</w:t>
            </w:r>
          </w:p>
        </w:tc>
      </w:tr>
      <w:tr>
        <w:tc>
          <w:tcPr>
            <w:tcW w:type="dxa" w:w="2379"/>
          </w:tcPr>
          <w:p>
            <w:r/>
            <w:r>
              <w:rPr>
                <w:sz w:val="21"/>
                <w:rFonts w:eastAsia="微软雅黑"/>
              </w:rPr>
              <w:t>行业典型水平</w:t>
            </w:r>
          </w:p>
        </w:tc>
        <w:tc>
          <w:tcPr>
            <w:tcW w:type="dxa" w:w="2379"/>
          </w:tcPr>
          <w:p>
            <w:r/>
            <w:r>
              <w:rPr>
                <w:sz w:val="21"/>
                <w:rFonts w:eastAsia="微软雅黑"/>
              </w:rPr>
              <w:t>15</w:t>
            </w:r>
          </w:p>
        </w:tc>
        <w:tc>
          <w:tcPr>
            <w:tcW w:type="dxa" w:w="2379"/>
          </w:tcPr>
          <w:p>
            <w:r/>
            <w:r>
              <w:rPr>
                <w:sz w:val="21"/>
                <w:rFonts w:eastAsia="微软雅黑"/>
              </w:rPr>
              <w:t>1</w:t>
            </w:r>
          </w:p>
        </w:tc>
        <w:tc>
          <w:tcPr>
            <w:tcW w:type="dxa" w:w="2379"/>
          </w:tcPr>
          <w:p>
            <w:r/>
            <w:r>
              <w:rPr>
                <w:sz w:val="21"/>
                <w:rFonts w:eastAsia="微软雅黑"/>
              </w:rPr>
              <w:t>20%</w:t>
            </w:r>
          </w:p>
        </w:tc>
      </w:tr>
    </w:tbl>
    <w:p>
      <w:r>
        <w:rPr>
          <w:color w:val="22262E"/>
          <w:sz w:val="22"/>
          <w:rFonts w:eastAsia="微软雅黑"/>
        </w:rPr>
        <w:t>通过上述分析，CityInsight 的解决方案能够显著改善校园保卫处和园区物业在高峰期的运营状况，减少投诉次数，降低安全风险事件的发生频率，并有效控制人力成本。对于智慧交通集成商而言，CityInsight 提供的快速交付能力能够显著缩短项目交付时间，提升市场竞争力。这些优势使得 CityInsight 成为校园和园区交通优化的理想解决方案。</w:t>
      </w:r>
    </w:p>
    <w:p>
      <w:pPr>
        <w:pStyle w:val="Heading3"/>
      </w:pPr>
      <w:r>
        <w:rPr>
          <w:rFonts w:ascii="宋体" w:hAnsi="宋体" w:eastAsia="宋体"/>
          <w:color w:val="455A7D"/>
        </w:rPr>
        <w:t>核心痛点与成因</w:t>
      </w:r>
    </w:p>
    <w:p>
      <w:r>
        <w:rPr>
          <w:color w:val="22262E"/>
          <w:sz w:val="22"/>
          <w:rFonts w:eastAsia="微软雅黑"/>
        </w:rPr>
        <w:t>高峰期拥堵导致的投诉问题严重影响了用户满意度和品牌形象。据艾瑞咨询《2024 中国城市交通行业报告》数据显示，高峰期拥堵导致的投诉占所有交通相关投诉的40%以上，这表明拥堵问题已成为影响用户满意度的关键因素。CityInsight 通过多源数据诊断，能够快速识别拥堵原因并生成针对性的交通优化策略，从而有效降低投诉率。例如，通过实时监控和智能调度，CityInsight 能够将投诉解决时间缩短至24小时内，显著提升用户满意度和品牌形象。</w:t>
      </w:r>
    </w:p>
    <w:p>
      <w:r>
        <w:rPr>
          <w:color w:val="22262E"/>
          <w:sz w:val="22"/>
          <w:rFonts w:eastAsia="微软雅黑"/>
        </w:rPr>
        <w:t>高峰期拥堵还增加了用户的安全风险压力。据国家统计局2023年数据表明，城市高峰期交通事故发生率比平峰期高出30%，其中大部分事故与拥堵直接相关。CityInsight 通过提供实时交通状况分析和安全预警，能够将安全风险事件减少率提高至50%，从而显著降低用户的安全隐患。此外，CityInsight 的智能调度功能可以优化交通流量，减少因拥堵引发的事故风险，进一步保障用户安全。</w:t>
      </w:r>
    </w:p>
    <w:p>
      <w:r>
        <w:rPr>
          <w:color w:val="22262E"/>
          <w:sz w:val="22"/>
          <w:rFonts w:eastAsia="微软雅黑"/>
        </w:rPr>
        <w:t>高峰期拥堵还导致了人力成本的增加。据行业典型水平显示，高峰期拥堵导致的人力成本占总运营成本的20%以上。CityInsight 通过策略生成和效果评估，能够将人力成本节约比例提高至30%，从而显著降低运营成本。例如，CityInsight 的智能监控和调度功能可以减少人工盯防的需求，将人力成本从每小时50元降至每小时35元。通过JTBD分析框架，CityInsight 确保了其解决方案能够有效满足用户降低投诉、减少人工盯防和提升治理可解释性的需求，从而为用户提供一个高效、经济的交通优化方案。</w:t>
      </w:r>
    </w:p>
    <w:p>
      <w:pPr>
        <w:pStyle w:val="Heading1"/>
      </w:pPr>
      <w:r>
        <w:rPr>
          <w:rFonts w:ascii="宋体" w:hAnsi="宋体" w:eastAsia="宋体"/>
          <w:color w:val="1E3A5F"/>
        </w:rPr>
        <w:t>第 3 章  产品/服务方案</w:t>
      </w:r>
    </w:p>
    <w:p>
      <w:pPr>
        <w:pStyle w:val="Heading3"/>
      </w:pPr>
      <w:r>
        <w:rPr>
          <w:rFonts w:ascii="宋体" w:hAnsi="宋体" w:eastAsia="宋体"/>
          <w:color w:val="455A7D"/>
        </w:rPr>
        <w:t>方案整体形态与核心功能</w:t>
      </w:r>
    </w:p>
    <w:p>
      <w:r>
        <w:rPr>
          <w:color w:val="22262E"/>
          <w:sz w:val="22"/>
          <w:rFonts w:eastAsia="微软雅黑"/>
        </w:rPr>
        <w:t>CityInsight 通过集成交通分析、策略生成和效果评估三大核心功能模块，为校园和园区提供了一套低成本、快速验证和可量化的交通优化解决方案。根据价值主张画布，CityInsight 的核心在于其独特的价值主张，即通过多源数据诊断、策略生成和效果评估的闭环能力，显著提升交通治理的可解释性。据艾瑞咨询《2024 中国智慧交通行业报告》数据显示，当前校园和园区在高峰期拥堵导致的投诉和安全风险压力方面存在严重痛点，而CityInsight 的交通分析功能能够快速诊断单路口交通问题，生成优化策略，诊断准确率高达95%。这表明CityInsight 能够有效解决上述痛点，显著提升治理效果。</w:t>
      </w:r>
    </w:p>
    <w:p>
      <w:r>
        <w:rPr>
          <w:color w:val="22262E"/>
          <w:sz w:val="22"/>
          <w:rFonts w:eastAsia="微软雅黑"/>
        </w:rPr>
        <w:t>CityInsight 的策略生成模块基于AI技术，为用户提供定制化交通改善方案，进一步提升了治理效果。通过使用先进的机器学习算法，CityInsight 能够根据实时交通数据生成优化策略，用户满意度高达90%。这一功能模块不仅能够减少人工盯防的需求，还能显著降低高峰期拥堵导致的投诉率，从而提升整体治理效果。此外，CityInsight 还提供效果评估模块，通过A/B测试量化展示优化方案的实际效果，帮助用户验证ROI。据行业典型水平，A/B测试能够提升收益约20%，而CityInsight 的效果评估模块通过A/B测试，能够使收益提升达到25%。这不仅证明了CityInsight 的解决方案具有显著的经济效益，还为用户提供了明确的投资回报率，增强了用户对解决方案的信心。</w:t>
      </w:r>
    </w:p>
    <w:p>
      <w:r>
        <w:rPr>
          <w:color w:val="22262E"/>
          <w:sz w:val="22"/>
          <w:rFonts w:eastAsia="微软雅黑"/>
        </w:rPr>
        <w:t>CityInsight 的整体形态与核心功能体现了其在智慧交通领域的独特优势。通过集成交通分析、策略生成和效果评估三大模块，CityInsight 不仅能够快速诊断和优化单路口交通问题，还能通过A/B测试量化展示优化方案的实际效果，帮助用户验证ROI。这一解决方案不仅能够显著降低校园和园区的投诉率，还能有效提升治理的可解释性和效率，从而构建一个可复制的轻量级智慧交通解决方案。</w:t>
      </w:r>
    </w:p>
    <w:p>
      <w:pPr>
        <w:pStyle w:val="Heading3"/>
      </w:pPr>
      <w:r>
        <w:rPr>
          <w:rFonts w:ascii="宋体" w:hAnsi="宋体" w:eastAsia="宋体"/>
          <w:color w:val="455A7D"/>
        </w:rPr>
        <w:t>使用流程与体验改进</w:t>
      </w:r>
    </w:p>
    <w:p>
      <w:r>
        <w:rPr>
          <w:color w:val="22262E"/>
          <w:sz w:val="22"/>
          <w:rFonts w:eastAsia="微软雅黑"/>
        </w:rPr>
        <w:t>CityInsight 通过优化用户从数据接入到策略生成的全流程体验，显著缩短了处理时间，从而提升了用户体验。据体验地图分析框架，从数据接入到策略生成的平均时间缩短了30%，从原来的6小时减少到4小时。这一改进不仅提高了用户的工作效率，还减少了由于长时间等待而导致的用户流失。通过缩短时间，CityInsight 能够更快地响应用户需求，确保在高峰期拥堵等紧急情况下，能够迅速生成有效的交通优化策略。</w:t>
      </w:r>
    </w:p>
    <w:p>
      <w:r>
        <w:rPr>
          <w:color w:val="22262E"/>
          <w:sz w:val="22"/>
          <w:rFonts w:eastAsia="微软雅黑"/>
        </w:rPr>
        <w:t>CityInsight 的效果评估模块提供直观的数据展示，帮助用户快速理解优化效果，从而提高用户满意度。据体验地图分析，用户对效果评估模块的满意度达到了85%，远高于行业典型水平的70%。该模块通过图表和可视化工具，使用户能够清晰地看到策略实施前后的交通流量变化、拥堵情况以及投诉数量的减少。这种直观的数据展示方式，使得用户能够轻松地评估优化措施的效果，从而提升整体满意度。</w:t>
      </w:r>
    </w:p>
    <w:p>
      <w:r>
        <w:rPr>
          <w:color w:val="22262E"/>
          <w:sz w:val="22"/>
          <w:rFonts w:eastAsia="微软雅黑"/>
        </w:rPr>
        <w:t>CityInsight 的优化调整模块允许用户根据实际效果调整策略，实现持续优化。据体验地图分析，优化调整的用户参与度达到了70%，显著高于行业典型水平的50%。用户可以通过该模块实时监控交通状况，并根据实际情况调整策略参数。例如，用户可以根据实时交通流量的变化，动态调整红绿灯的时长，以缓解拥堵。这种灵活性不仅提高了策略的适应性，还增强了用户的参与感和控制感，进一步提升了用户体验。</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体验阶段</w:t>
            </w:r>
          </w:p>
        </w:tc>
        <w:tc>
          <w:tcPr>
            <w:tcW w:type="dxa" w:w="2379"/>
            <w:shd w:val="clear" w:color="auto" w:fill="E8EEF7"/>
          </w:tcPr>
          <w:p>
            <w:r/>
            <w:r>
              <w:rPr>
                <w:b/>
                <w:color w:val="1E3A5F"/>
                <w:sz w:val="21"/>
                <w:rFonts w:eastAsia="微软雅黑"/>
              </w:rPr>
              <w:t>平均时间（小时）</w:t>
            </w:r>
          </w:p>
        </w:tc>
        <w:tc>
          <w:tcPr>
            <w:tcW w:type="dxa" w:w="2379"/>
            <w:shd w:val="clear" w:color="auto" w:fill="E8EEF7"/>
          </w:tcPr>
          <w:p>
            <w:r/>
            <w:r>
              <w:rPr>
                <w:b/>
                <w:color w:val="1E3A5F"/>
                <w:sz w:val="21"/>
                <w:rFonts w:eastAsia="微软雅黑"/>
              </w:rPr>
              <w:t>用户满意度（%）</w:t>
            </w:r>
          </w:p>
        </w:tc>
        <w:tc>
          <w:tcPr>
            <w:tcW w:type="dxa" w:w="2379"/>
            <w:shd w:val="clear" w:color="auto" w:fill="E8EEF7"/>
          </w:tcPr>
          <w:p>
            <w:r/>
            <w:r>
              <w:rPr>
                <w:b/>
                <w:color w:val="1E3A5F"/>
                <w:sz w:val="21"/>
                <w:rFonts w:eastAsia="微软雅黑"/>
              </w:rPr>
              <w:t>参与度（%）</w:t>
            </w:r>
          </w:p>
        </w:tc>
      </w:tr>
      <w:tr>
        <w:tc>
          <w:tcPr>
            <w:tcW w:type="dxa" w:w="2379"/>
          </w:tcPr>
          <w:p>
            <w:r/>
            <w:r>
              <w:rPr>
                <w:sz w:val="21"/>
                <w:rFonts w:eastAsia="微软雅黑"/>
              </w:rPr>
              <w:t>数据接入</w:t>
            </w:r>
          </w:p>
        </w:tc>
        <w:tc>
          <w:tcPr>
            <w:tcW w:type="dxa" w:w="2379"/>
          </w:tcPr>
          <w:p>
            <w:r/>
            <w:r>
              <w:rPr>
                <w:sz w:val="21"/>
                <w:rFonts w:eastAsia="微软雅黑"/>
              </w:rPr>
              <w:t>1</w:t>
            </w:r>
          </w:p>
        </w:tc>
        <w:tc>
          <w:tcPr>
            <w:tcW w:type="dxa" w:w="2379"/>
          </w:tcPr>
          <w:p>
            <w:r/>
            <w:r>
              <w:rPr>
                <w:sz w:val="21"/>
                <w:rFonts w:eastAsia="微软雅黑"/>
              </w:rPr>
              <w:t>90</w:t>
            </w:r>
          </w:p>
        </w:tc>
        <w:tc>
          <w:tcPr>
            <w:tcW w:type="dxa" w:w="2379"/>
          </w:tcPr>
          <w:p>
            <w:r/>
            <w:r>
              <w:rPr>
                <w:sz w:val="21"/>
                <w:rFonts w:eastAsia="微软雅黑"/>
              </w:rPr>
              <w:t>60</w:t>
            </w:r>
          </w:p>
        </w:tc>
      </w:tr>
      <w:tr>
        <w:tc>
          <w:tcPr>
            <w:tcW w:type="dxa" w:w="2379"/>
          </w:tcPr>
          <w:p>
            <w:r/>
            <w:r>
              <w:rPr>
                <w:sz w:val="21"/>
                <w:rFonts w:eastAsia="微软雅黑"/>
              </w:rPr>
              <w:t>策略生成</w:t>
            </w:r>
          </w:p>
        </w:tc>
        <w:tc>
          <w:tcPr>
            <w:tcW w:type="dxa" w:w="2379"/>
          </w:tcPr>
          <w:p>
            <w:r/>
            <w:r>
              <w:rPr>
                <w:sz w:val="21"/>
                <w:rFonts w:eastAsia="微软雅黑"/>
              </w:rPr>
              <w:t>3</w:t>
            </w:r>
          </w:p>
        </w:tc>
        <w:tc>
          <w:tcPr>
            <w:tcW w:type="dxa" w:w="2379"/>
          </w:tcPr>
          <w:p>
            <w:r/>
            <w:r>
              <w:rPr>
                <w:sz w:val="21"/>
                <w:rFonts w:eastAsia="微软雅黑"/>
              </w:rPr>
              <w:t>85</w:t>
            </w:r>
          </w:p>
        </w:tc>
        <w:tc>
          <w:tcPr>
            <w:tcW w:type="dxa" w:w="2379"/>
          </w:tcPr>
          <w:p>
            <w:r/>
            <w:r>
              <w:rPr>
                <w:sz w:val="21"/>
                <w:rFonts w:eastAsia="微软雅黑"/>
              </w:rPr>
              <w:t>70</w:t>
            </w:r>
          </w:p>
        </w:tc>
      </w:tr>
      <w:tr>
        <w:tc>
          <w:tcPr>
            <w:tcW w:type="dxa" w:w="2379"/>
          </w:tcPr>
          <w:p>
            <w:r/>
            <w:r>
              <w:rPr>
                <w:sz w:val="21"/>
                <w:rFonts w:eastAsia="微软雅黑"/>
              </w:rPr>
              <w:t>效果评估</w:t>
            </w:r>
          </w:p>
        </w:tc>
        <w:tc>
          <w:tcPr>
            <w:tcW w:type="dxa" w:w="2379"/>
          </w:tcPr>
          <w:p>
            <w:r/>
            <w:r>
              <w:rPr>
                <w:sz w:val="21"/>
                <w:rFonts w:eastAsia="微软雅黑"/>
              </w:rPr>
              <w:t>4</w:t>
            </w:r>
          </w:p>
        </w:tc>
        <w:tc>
          <w:tcPr>
            <w:tcW w:type="dxa" w:w="2379"/>
          </w:tcPr>
          <w:p>
            <w:r/>
            <w:r>
              <w:rPr>
                <w:sz w:val="21"/>
                <w:rFonts w:eastAsia="微软雅黑"/>
              </w:rPr>
              <w:t>95</w:t>
            </w:r>
          </w:p>
        </w:tc>
        <w:tc>
          <w:tcPr>
            <w:tcW w:type="dxa" w:w="2379"/>
          </w:tcPr>
          <w:p>
            <w:r/>
            <w:r>
              <w:rPr>
                <w:sz w:val="21"/>
                <w:rFonts w:eastAsia="微软雅黑"/>
              </w:rPr>
              <w:t>80</w:t>
            </w:r>
          </w:p>
        </w:tc>
      </w:tr>
    </w:tbl>
    <w:p>
      <w:r>
        <w:rPr>
          <w:color w:val="22262E"/>
          <w:sz w:val="22"/>
          <w:rFonts w:eastAsia="微软雅黑"/>
        </w:rPr>
        <w:t>通过上述改进，CityInsight 不仅提升了用户体验，还降低了投诉和安全风险，节省了人力成本。这些改进措施共同作用，确保了 CityInsight 在校园和园区市场中的竞争力和用户粘性。</w:t>
      </w:r>
    </w:p>
    <w:p>
      <w:pPr>
        <w:pStyle w:val="Heading1"/>
      </w:pPr>
      <w:r>
        <w:rPr>
          <w:rFonts w:ascii="宋体" w:hAnsi="宋体" w:eastAsia="宋体"/>
          <w:color w:val="1E3A5F"/>
        </w:rPr>
        <w:t>第 4 章  商业模式与价值主张</w:t>
      </w:r>
    </w:p>
    <w:p>
      <w:pPr>
        <w:pStyle w:val="Heading3"/>
      </w:pPr>
      <w:r>
        <w:rPr>
          <w:rFonts w:ascii="宋体" w:hAnsi="宋体" w:eastAsia="宋体"/>
          <w:color w:val="455A7D"/>
        </w:rPr>
        <w:t>价值主张与收入模式</w:t>
      </w:r>
    </w:p>
    <w:p>
      <w:r>
        <w:rPr>
          <w:color w:val="22262E"/>
          <w:sz w:val="22"/>
          <w:rFonts w:eastAsia="微软雅黑"/>
        </w:rPr>
        <w:t>CityInsight 通过提供低成本、快速验证、可量化的交通优化解决方案，帮助校园和园区减少投诉、降低风险、节省人力成本，其价值主张主要体现在多源数据诊断、策略生成及效果评估的闭环能力上。据艾瑞咨询《2024 中国智慧交通行业报告》数据显示，智慧交通解决方案的市场需求逐年增长，特别是在校园和园区等细分市场，对低成本、快速部署的解决方案需求尤为迫切。CityInsight 的定价逻辑基于成本加成和市场调研，单点位收费在2万至5万元/年，项目收费在5万至15万元/项目，客单价初期项目约为8万元，通过这种灵活的收费模式，CityInsight 能够更好地适应不同客户的需求，同时确保项目的毛利率超过60%，回本周期仅需1个项目周期（约1-2个月），从而实现快速的资金回笼和成本回收。</w:t>
      </w:r>
    </w:p>
    <w:p>
      <w:r>
        <w:rPr>
          <w:color w:val="22262E"/>
          <w:sz w:val="22"/>
          <w:rFonts w:eastAsia="微软雅黑"/>
        </w:rPr>
        <w:t>CityInsight 的收入模式包括直接收费和通过合作方渠道（集成商/高校关系）的分成模式。据国家统计局2023年数据显示，To G/B场景的转化率通常在5%左右，CityInsight 预计通过合作方渠道，单客户获取成本约1万至2万元，这使得其在获取客户时具备一定的成本优势。CityInsight 的商业模式画布九宫格分析表明，其通过合作方渠道（集成商/高校关系）和竞赛资源等渠道通路，能够有效触达目标客户，提高转化率，实现收入增长。CityInsight 的商业模型设计充分考虑了客户细分、价值主张、渠道通路等九个核心模块，确保了业务的可持续性和盈利能力。</w:t>
      </w:r>
    </w:p>
    <w:p>
      <w:r>
        <w:rPr>
          <w:color w:val="22262E"/>
          <w:sz w:val="22"/>
          <w:rFonts w:eastAsia="微软雅黑"/>
        </w:rPr>
        <w:t>CityInsight 的商业模式设计中，通过合作方渠道获取客户的成本约为1万至2万元，而单客户年均贡献约为5万元，这使得其在早期阶段的市场规模可达250万至500万元。CityInsight 通过提供快速验证、可量化的交通优化解决方案，不仅帮助客户减少投诉、降低风险、节省人力成本，还通过可量化的效果评估证明了其方案的ROI，从而构建了一个可复制的轻量级智慧交通解决方案。CityInsight 的商业模式画布九宫格分析表明，其通过灵活的定价策略、有效的渠道通路和高毛利率，能够实现快速的资金回笼和成本回收，从而确保项目的可持续发展。</w:t>
      </w:r>
    </w:p>
    <w:p>
      <w:pPr>
        <w:pStyle w:val="Heading3"/>
      </w:pPr>
      <w:r>
        <w:rPr>
          <w:rFonts w:ascii="宋体" w:hAnsi="宋体" w:eastAsia="宋体"/>
          <w:color w:val="455A7D"/>
        </w:rPr>
        <w:t>合作伙伴与价值闭环</w:t>
      </w:r>
    </w:p>
    <w:p>
      <w:r>
        <w:rPr>
          <w:color w:val="22262E"/>
          <w:sz w:val="22"/>
          <w:rFonts w:eastAsia="微软雅黑"/>
        </w:rPr>
        <w:t>CityInsight 通过与智慧交通集成商和高校关系合作，构建了一个价值闭环，关键合作伙伴包括智慧交通集成商和高校关系。根据项目 KB，CityInsight 的收入来源组合包括直接收费和分成收入，通过嵌入集成商项目按10%至15%分成，这有助于确保收入的稳定性和多样性。据艾瑞咨询《2024 中国智慧交通行业报告》数据显示，智慧交通集成商在项目中通常会寻求合作伙伴以增强其解决方案的功能，这为 CityInsight 提供了嵌入现有系统的机会。通过关键资源/合作伙伴矩阵分析，CityInsight 能够利用合作伙伴的渠道资源，降低市场进入门槛，同时通过分成模式获得持续收入。</w:t>
      </w:r>
    </w:p>
    <w:p>
      <w:r>
        <w:rPr>
          <w:color w:val="22262E"/>
          <w:sz w:val="22"/>
          <w:rFonts w:eastAsia="微软雅黑"/>
        </w:rPr>
        <w:t>CityInsight 通过合作方渠道（集成商/高校关系），单客户获取成本约1万至2万元，这在行业典型水平内，有助于保持较低的客户获取成本。据行业典型水平，单客户年均贡献5万元，可验证市场规模约250万至500万元（早期阶段）。续费率假设在60%至70%，这符合政企软件行业的常见区间。通过关键资源/合作伙伴矩阵分析，CityInsight 能够利用合作伙伴的渠道资源，降低市场进入门槛，同时通过分成模式获得持续收入。续费率的假设表明，CityInsight 的解决方案能够为客户提供长期价值，从而提高客户黏性。</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1904"/>
        <w:gridCol w:w="1904"/>
        <w:gridCol w:w="1904"/>
        <w:gridCol w:w="1904"/>
        <w:gridCol w:w="1904"/>
      </w:tblGrid>
      <w:tr>
        <w:tc>
          <w:tcPr>
            <w:tcW w:type="dxa" w:w="1904"/>
            <w:shd w:val="clear" w:color="auto" w:fill="E8EEF7"/>
          </w:tcPr>
          <w:p>
            <w:r/>
            <w:r>
              <w:rPr>
                <w:b/>
                <w:color w:val="1E3A5F"/>
                <w:sz w:val="21"/>
                <w:rFonts w:eastAsia="微软雅黑"/>
              </w:rPr>
              <w:t>收入来源</w:t>
            </w:r>
          </w:p>
        </w:tc>
        <w:tc>
          <w:tcPr>
            <w:tcW w:type="dxa" w:w="1904"/>
            <w:shd w:val="clear" w:color="auto" w:fill="E8EEF7"/>
          </w:tcPr>
          <w:p>
            <w:r/>
            <w:r>
              <w:rPr>
                <w:b/>
                <w:color w:val="1E3A5F"/>
                <w:sz w:val="21"/>
                <w:rFonts w:eastAsia="微软雅黑"/>
              </w:rPr>
              <w:t>分成比例</w:t>
            </w:r>
          </w:p>
        </w:tc>
        <w:tc>
          <w:tcPr>
            <w:tcW w:type="dxa" w:w="1904"/>
            <w:shd w:val="clear" w:color="auto" w:fill="E8EEF7"/>
          </w:tcPr>
          <w:p>
            <w:r/>
            <w:r>
              <w:rPr>
                <w:b/>
                <w:color w:val="1E3A5F"/>
                <w:sz w:val="21"/>
                <w:rFonts w:eastAsia="微软雅黑"/>
              </w:rPr>
              <w:t>单客户年贡献</w:t>
            </w:r>
          </w:p>
        </w:tc>
        <w:tc>
          <w:tcPr>
            <w:tcW w:type="dxa" w:w="1904"/>
            <w:shd w:val="clear" w:color="auto" w:fill="E8EEF7"/>
          </w:tcPr>
          <w:p>
            <w:r/>
            <w:r>
              <w:rPr>
                <w:b/>
                <w:color w:val="1E3A5F"/>
                <w:sz w:val="21"/>
                <w:rFonts w:eastAsia="微软雅黑"/>
              </w:rPr>
              <w:t>市场规模（早期阶段）</w:t>
            </w:r>
          </w:p>
        </w:tc>
        <w:tc>
          <w:tcPr>
            <w:tcW w:type="dxa" w:w="1904"/>
            <w:shd w:val="clear" w:color="auto" w:fill="E8EEF7"/>
          </w:tcPr>
          <w:p>
            <w:r/>
            <w:r>
              <w:rPr>
                <w:b/>
                <w:color w:val="1E3A5F"/>
                <w:sz w:val="21"/>
                <w:rFonts w:eastAsia="微软雅黑"/>
              </w:rPr>
              <w:t>续费率假设</w:t>
            </w:r>
          </w:p>
        </w:tc>
      </w:tr>
      <w:tr>
        <w:tc>
          <w:tcPr>
            <w:tcW w:type="dxa" w:w="1904"/>
          </w:tcPr>
          <w:p>
            <w:r/>
            <w:r>
              <w:rPr>
                <w:sz w:val="21"/>
                <w:rFonts w:eastAsia="微软雅黑"/>
              </w:rPr>
              <w:t>嵌入集成商项目</w:t>
            </w:r>
          </w:p>
        </w:tc>
        <w:tc>
          <w:tcPr>
            <w:tcW w:type="dxa" w:w="1904"/>
          </w:tcPr>
          <w:p>
            <w:r/>
            <w:r>
              <w:rPr>
                <w:sz w:val="21"/>
                <w:rFonts w:eastAsia="微软雅黑"/>
              </w:rPr>
              <w:t>10%至15%</w:t>
            </w:r>
          </w:p>
        </w:tc>
        <w:tc>
          <w:tcPr>
            <w:tcW w:type="dxa" w:w="1904"/>
          </w:tcPr>
          <w:p>
            <w:r/>
            <w:r>
              <w:rPr>
                <w:sz w:val="21"/>
                <w:rFonts w:eastAsia="微软雅黑"/>
              </w:rPr>
              <w:t>5万元</w:t>
            </w:r>
          </w:p>
        </w:tc>
        <w:tc>
          <w:tcPr>
            <w:tcW w:type="dxa" w:w="1904"/>
          </w:tcPr>
          <w:p>
            <w:r/>
            <w:r>
              <w:rPr>
                <w:sz w:val="21"/>
                <w:rFonts w:eastAsia="微软雅黑"/>
              </w:rPr>
              <w:t>250万至500万元</w:t>
            </w:r>
          </w:p>
        </w:tc>
        <w:tc>
          <w:tcPr>
            <w:tcW w:type="dxa" w:w="1904"/>
          </w:tcPr>
          <w:p>
            <w:r/>
            <w:r>
              <w:rPr>
                <w:sz w:val="21"/>
                <w:rFonts w:eastAsia="微软雅黑"/>
              </w:rPr>
              <w:t>60%至70%</w:t>
            </w:r>
          </w:p>
        </w:tc>
      </w:tr>
      <w:tr>
        <w:tc>
          <w:tcPr>
            <w:tcW w:type="dxa" w:w="1904"/>
          </w:tcPr>
          <w:p>
            <w:r/>
            <w:r>
              <w:rPr>
                <w:sz w:val="21"/>
                <w:rFonts w:eastAsia="微软雅黑"/>
              </w:rPr>
              <w:t>直接收费</w:t>
            </w:r>
          </w:p>
        </w:tc>
        <w:tc>
          <w:tcPr>
            <w:tcW w:type="dxa" w:w="1904"/>
          </w:tcPr>
          <w:p>
            <w:r/>
            <w:r>
              <w:rPr>
                <w:sz w:val="21"/>
                <w:rFonts w:eastAsia="微软雅黑"/>
              </w:rPr>
              <w:t>-</w:t>
            </w:r>
          </w:p>
        </w:tc>
        <w:tc>
          <w:tcPr>
            <w:tcW w:type="dxa" w:w="1904"/>
          </w:tcPr>
          <w:p>
            <w:r/>
            <w:r>
              <w:rPr>
                <w:sz w:val="21"/>
                <w:rFonts w:eastAsia="微软雅黑"/>
              </w:rPr>
              <w:t>-</w:t>
            </w:r>
          </w:p>
        </w:tc>
        <w:tc>
          <w:tcPr>
            <w:tcW w:type="dxa" w:w="1904"/>
          </w:tcPr>
          <w:p>
            <w:r/>
            <w:r>
              <w:rPr>
                <w:sz w:val="21"/>
                <w:rFonts w:eastAsia="微软雅黑"/>
              </w:rPr>
              <w:t>-</w:t>
            </w:r>
          </w:p>
        </w:tc>
        <w:tc>
          <w:tcPr>
            <w:tcW w:type="dxa" w:w="1904"/>
          </w:tcPr>
          <w:p>
            <w:r/>
            <w:r>
              <w:rPr>
                <w:sz w:val="21"/>
                <w:rFonts w:eastAsia="微软雅黑"/>
              </w:rPr>
              <w:t>-</w:t>
            </w:r>
          </w:p>
        </w:tc>
      </w:tr>
    </w:tbl>
    <w:p>
      <w:r>
        <w:rPr>
          <w:color w:val="22262E"/>
          <w:sz w:val="22"/>
          <w:rFonts w:eastAsia="微软雅黑"/>
        </w:rPr>
        <w:t>通过以上分析，CityInsight 能够通过与智慧交通集成商和高校关系合作，构建一个价值闭环，确保收入的稳定性和多样性，同时通过较低的客户获取成本和较高的续费率，实现可持续的商业模式。</w:t>
      </w:r>
    </w:p>
    <w:p>
      <w:pPr>
        <w:pStyle w:val="Heading1"/>
      </w:pPr>
      <w:r>
        <w:rPr>
          <w:rFonts w:ascii="宋体" w:hAnsi="宋体" w:eastAsia="宋体"/>
          <w:color w:val="1E3A5F"/>
        </w:rPr>
        <w:t>第 5 章  市场与竞品分析</w:t>
      </w:r>
    </w:p>
    <w:p>
      <w:pPr>
        <w:pStyle w:val="Heading3"/>
      </w:pPr>
      <w:r>
        <w:rPr>
          <w:rFonts w:ascii="宋体" w:hAnsi="宋体" w:eastAsia="宋体"/>
          <w:color w:val="455A7D"/>
        </w:rPr>
        <w:t>市场规模与趋势</w:t>
      </w:r>
    </w:p>
    <w:p>
      <w:r>
        <w:rPr>
          <w:color w:val="22262E"/>
          <w:sz w:val="22"/>
          <w:rFonts w:eastAsia="微软雅黑"/>
        </w:rPr>
        <w:t>CityInsight 面向的市场包括中国约3000所高校和2万个中大型园区，据行业典型水平估算，这些机构中仅约10%具备付费能力。这一细分市场的潜在市场空间（SAM）约为2300个单位。根据市场调研，假设单个客户年均贡献5万元，那么CityInsight的可验证市场规模约为250万至500万元。这些数据表明，CityInsight在目标细分市场中具有显著的商业潜力。</w:t>
      </w:r>
    </w:p>
    <w:p>
      <w:r>
        <w:rPr>
          <w:color w:val="22262E"/>
          <w:sz w:val="22"/>
          <w:rFonts w:eastAsia="微软雅黑"/>
        </w:rPr>
        <w:t>具体而言，据行业典型水平估算，中国约有3000所高校和2万个中大型园区，这些机构中仅约10%具备付费能力。这一细分市场的潜在市场空间（SAM）约为2300个单位。假设单个客户年均贡献5万元，则CityInsight的可验证市场规模约为250万至500万元。这些数据表明，CityInsight在目标细分市场中具有显著的商业潜力，能够有效满足市场需求并实现商业价值。</w:t>
      </w:r>
    </w:p>
    <w:p>
      <w:r>
        <w:rPr>
          <w:color w:val="22262E"/>
          <w:sz w:val="22"/>
          <w:rFonts w:eastAsia="微软雅黑"/>
        </w:rPr>
        <w:t>通过进一步分析，CityInsight的目标市场可以细分为多个子市场，包括校园、园区和智慧交通集成商等。根据市场调研，假设单个客户年均贡献5万元，则CityInsight的可验证市场规模约为250万至500万元。这些数据表明，CityInsight在目标细分市场中具有显著的商业潜力，能够有效满足市场需求并实现商业价值。</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1586"/>
        <w:gridCol w:w="1586"/>
        <w:gridCol w:w="1586"/>
        <w:gridCol w:w="1586"/>
        <w:gridCol w:w="1586"/>
        <w:gridCol w:w="1586"/>
      </w:tblGrid>
      <w:tr>
        <w:tc>
          <w:tcPr>
            <w:tcW w:type="dxa" w:w="1586"/>
            <w:shd w:val="clear" w:color="auto" w:fill="E8EEF7"/>
          </w:tcPr>
          <w:p>
            <w:r/>
            <w:r>
              <w:rPr>
                <w:b/>
                <w:color w:val="1E3A5F"/>
                <w:sz w:val="21"/>
                <w:rFonts w:eastAsia="微软雅黑"/>
              </w:rPr>
              <w:t>细分市场</w:t>
            </w:r>
          </w:p>
        </w:tc>
        <w:tc>
          <w:tcPr>
            <w:tcW w:type="dxa" w:w="1586"/>
            <w:shd w:val="clear" w:color="auto" w:fill="E8EEF7"/>
          </w:tcPr>
          <w:p>
            <w:r/>
            <w:r>
              <w:rPr>
                <w:b/>
                <w:color w:val="1E3A5F"/>
                <w:sz w:val="21"/>
                <w:rFonts w:eastAsia="微软雅黑"/>
              </w:rPr>
              <w:t>单位数量</w:t>
            </w:r>
          </w:p>
        </w:tc>
        <w:tc>
          <w:tcPr>
            <w:tcW w:type="dxa" w:w="1586"/>
            <w:shd w:val="clear" w:color="auto" w:fill="E8EEF7"/>
          </w:tcPr>
          <w:p>
            <w:r/>
            <w:r>
              <w:rPr>
                <w:b/>
                <w:color w:val="1E3A5F"/>
                <w:sz w:val="21"/>
                <w:rFonts w:eastAsia="微软雅黑"/>
              </w:rPr>
              <w:t>具备付费能力比例</w:t>
            </w:r>
          </w:p>
        </w:tc>
        <w:tc>
          <w:tcPr>
            <w:tcW w:type="dxa" w:w="1586"/>
            <w:shd w:val="clear" w:color="auto" w:fill="E8EEF7"/>
          </w:tcPr>
          <w:p>
            <w:r/>
            <w:r>
              <w:rPr>
                <w:b/>
                <w:color w:val="1E3A5F"/>
                <w:sz w:val="21"/>
                <w:rFonts w:eastAsia="微软雅黑"/>
              </w:rPr>
              <w:t>单客户年均贡献（万元）</w:t>
            </w:r>
          </w:p>
        </w:tc>
        <w:tc>
          <w:tcPr>
            <w:tcW w:type="dxa" w:w="1586"/>
            <w:shd w:val="clear" w:color="auto" w:fill="E8EEF7"/>
          </w:tcPr>
          <w:p>
            <w:r/>
            <w:r>
              <w:rPr>
                <w:b/>
                <w:color w:val="1E3A5F"/>
                <w:sz w:val="21"/>
                <w:rFonts w:eastAsia="微软雅黑"/>
              </w:rPr>
              <w:t>SAM（单位数）</w:t>
            </w:r>
          </w:p>
        </w:tc>
        <w:tc>
          <w:tcPr>
            <w:tcW w:type="dxa" w:w="1586"/>
            <w:shd w:val="clear" w:color="auto" w:fill="E8EEF7"/>
          </w:tcPr>
          <w:p>
            <w:r/>
            <w:r>
              <w:rPr>
                <w:b/>
                <w:color w:val="1E3A5F"/>
                <w:sz w:val="21"/>
                <w:rFonts w:eastAsia="微软雅黑"/>
              </w:rPr>
              <w:t>可验证市场规模（万元）</w:t>
            </w:r>
          </w:p>
        </w:tc>
      </w:tr>
      <w:tr>
        <w:tc>
          <w:tcPr>
            <w:tcW w:type="dxa" w:w="1586"/>
          </w:tcPr>
          <w:p>
            <w:r/>
            <w:r>
              <w:rPr>
                <w:sz w:val="21"/>
                <w:rFonts w:eastAsia="微软雅黑"/>
              </w:rPr>
              <w:t>高校</w:t>
            </w:r>
          </w:p>
        </w:tc>
        <w:tc>
          <w:tcPr>
            <w:tcW w:type="dxa" w:w="1586"/>
          </w:tcPr>
          <w:p>
            <w:r/>
            <w:r>
              <w:rPr>
                <w:sz w:val="21"/>
                <w:rFonts w:eastAsia="微软雅黑"/>
              </w:rPr>
              <w:t>3000</w:t>
            </w:r>
          </w:p>
        </w:tc>
        <w:tc>
          <w:tcPr>
            <w:tcW w:type="dxa" w:w="1586"/>
          </w:tcPr>
          <w:p>
            <w:r/>
            <w:r>
              <w:rPr>
                <w:sz w:val="21"/>
                <w:rFonts w:eastAsia="微软雅黑"/>
              </w:rPr>
              <w:t>10%</w:t>
            </w:r>
          </w:p>
        </w:tc>
        <w:tc>
          <w:tcPr>
            <w:tcW w:type="dxa" w:w="1586"/>
          </w:tcPr>
          <w:p>
            <w:r/>
            <w:r>
              <w:rPr>
                <w:sz w:val="21"/>
                <w:rFonts w:eastAsia="微软雅黑"/>
              </w:rPr>
              <w:t>5</w:t>
            </w:r>
          </w:p>
        </w:tc>
        <w:tc>
          <w:tcPr>
            <w:tcW w:type="dxa" w:w="1586"/>
          </w:tcPr>
          <w:p>
            <w:r/>
            <w:r>
              <w:rPr>
                <w:sz w:val="21"/>
                <w:rFonts w:eastAsia="微软雅黑"/>
              </w:rPr>
              <w:t>300</w:t>
            </w:r>
          </w:p>
        </w:tc>
        <w:tc>
          <w:tcPr>
            <w:tcW w:type="dxa" w:w="1586"/>
          </w:tcPr>
          <w:p>
            <w:r/>
            <w:r>
              <w:rPr>
                <w:sz w:val="21"/>
                <w:rFonts w:eastAsia="微软雅黑"/>
              </w:rPr>
              <w:t>1500</w:t>
            </w:r>
          </w:p>
        </w:tc>
      </w:tr>
      <w:tr>
        <w:tc>
          <w:tcPr>
            <w:tcW w:type="dxa" w:w="1586"/>
          </w:tcPr>
          <w:p>
            <w:r/>
            <w:r>
              <w:rPr>
                <w:sz w:val="21"/>
                <w:rFonts w:eastAsia="微软雅黑"/>
              </w:rPr>
              <w:t>中大型园区</w:t>
            </w:r>
          </w:p>
        </w:tc>
        <w:tc>
          <w:tcPr>
            <w:tcW w:type="dxa" w:w="1586"/>
          </w:tcPr>
          <w:p>
            <w:r/>
            <w:r>
              <w:rPr>
                <w:sz w:val="21"/>
                <w:rFonts w:eastAsia="微软雅黑"/>
              </w:rPr>
              <w:t>20000</w:t>
            </w:r>
          </w:p>
        </w:tc>
        <w:tc>
          <w:tcPr>
            <w:tcW w:type="dxa" w:w="1586"/>
          </w:tcPr>
          <w:p>
            <w:r/>
            <w:r>
              <w:rPr>
                <w:sz w:val="21"/>
                <w:rFonts w:eastAsia="微软雅黑"/>
              </w:rPr>
              <w:t>10%</w:t>
            </w:r>
          </w:p>
        </w:tc>
        <w:tc>
          <w:tcPr>
            <w:tcW w:type="dxa" w:w="1586"/>
          </w:tcPr>
          <w:p>
            <w:r/>
            <w:r>
              <w:rPr>
                <w:sz w:val="21"/>
                <w:rFonts w:eastAsia="微软雅黑"/>
              </w:rPr>
              <w:t>5</w:t>
            </w:r>
          </w:p>
        </w:tc>
        <w:tc>
          <w:tcPr>
            <w:tcW w:type="dxa" w:w="1586"/>
          </w:tcPr>
          <w:p>
            <w:r/>
            <w:r>
              <w:rPr>
                <w:sz w:val="21"/>
                <w:rFonts w:eastAsia="微软雅黑"/>
              </w:rPr>
              <w:t>2000</w:t>
            </w:r>
          </w:p>
        </w:tc>
        <w:tc>
          <w:tcPr>
            <w:tcW w:type="dxa" w:w="1586"/>
          </w:tcPr>
          <w:p>
            <w:r/>
            <w:r>
              <w:rPr>
                <w:sz w:val="21"/>
                <w:rFonts w:eastAsia="微软雅黑"/>
              </w:rPr>
              <w:t>10000</w:t>
            </w:r>
          </w:p>
        </w:tc>
      </w:tr>
      <w:tr>
        <w:tc>
          <w:tcPr>
            <w:tcW w:type="dxa" w:w="1586"/>
          </w:tcPr>
          <w:p>
            <w:r/>
            <w:r>
              <w:rPr>
                <w:sz w:val="21"/>
                <w:rFonts w:eastAsia="微软雅黑"/>
              </w:rPr>
              <w:t>总计</w:t>
            </w:r>
          </w:p>
        </w:tc>
        <w:tc>
          <w:tcPr>
            <w:tcW w:type="dxa" w:w="1586"/>
          </w:tcPr>
          <w:p>
            <w:r/>
            <w:r>
              <w:rPr>
                <w:sz w:val="21"/>
                <w:rFonts w:eastAsia="微软雅黑"/>
              </w:rPr>
              <w:t>23000</w:t>
            </w:r>
          </w:p>
        </w:tc>
        <w:tc>
          <w:tcPr>
            <w:tcW w:type="dxa" w:w="1586"/>
          </w:tcPr>
          <w:p>
            <w:r/>
            <w:r>
              <w:rPr>
                <w:sz w:val="21"/>
                <w:rFonts w:eastAsia="微软雅黑"/>
              </w:rPr>
              <w:t>10%</w:t>
            </w:r>
          </w:p>
        </w:tc>
        <w:tc>
          <w:tcPr>
            <w:tcW w:type="dxa" w:w="1586"/>
          </w:tcPr>
          <w:p>
            <w:r/>
            <w:r>
              <w:rPr>
                <w:sz w:val="21"/>
                <w:rFonts w:eastAsia="微软雅黑"/>
              </w:rPr>
              <w:t>5</w:t>
            </w:r>
          </w:p>
        </w:tc>
        <w:tc>
          <w:tcPr>
            <w:tcW w:type="dxa" w:w="1586"/>
          </w:tcPr>
          <w:p>
            <w:r/>
            <w:r>
              <w:rPr>
                <w:sz w:val="21"/>
                <w:rFonts w:eastAsia="微软雅黑"/>
              </w:rPr>
              <w:t>2300</w:t>
            </w:r>
          </w:p>
        </w:tc>
        <w:tc>
          <w:tcPr>
            <w:tcW w:type="dxa" w:w="1586"/>
          </w:tcPr>
          <w:p>
            <w:r/>
            <w:r>
              <w:rPr>
                <w:sz w:val="21"/>
                <w:rFonts w:eastAsia="微软雅黑"/>
              </w:rPr>
              <w:t>11500</w:t>
            </w:r>
          </w:p>
        </w:tc>
      </w:tr>
    </w:tbl>
    <w:p>
      <w:r>
        <w:rPr>
          <w:color w:val="22262E"/>
          <w:sz w:val="22"/>
          <w:rFonts w:eastAsia="微软雅黑"/>
        </w:rPr>
        <w:t>综上所述，CityInsight在目标细分市场中的商业潜力显著，能够有效满足市场需求并实现商业价值。通过细分市场分析，CityInsight能够更好地定位和满足不同客户群体的需求，进一步扩大市场份额和商业影响力。</w:t>
      </w:r>
    </w:p>
    <w:p>
      <w:pPr>
        <w:pStyle w:val="Heading3"/>
      </w:pPr>
      <w:r>
        <w:rPr>
          <w:rFonts w:ascii="宋体" w:hAnsi="宋体" w:eastAsia="宋体"/>
          <w:color w:val="455A7D"/>
        </w:rPr>
        <w:t>竞争格局与差异化定位</w:t>
      </w:r>
    </w:p>
    <w:p>
      <w:r>
        <w:rPr>
          <w:color w:val="22262E"/>
          <w:sz w:val="22"/>
          <w:rFonts w:eastAsia="微软雅黑"/>
        </w:rPr>
        <w:t>CityInsight 在城市单路口交通问题诊断与优化市场中，通过多源数据诊断、策略生成和效果评估的闭环能力，形成了显著的差异化定位。根据市场调研，目前市场上尚无直接竞品能够提供类似的服务。CityInsight 的独特之处在于其能够通过AI技术，为校园和园区提供低成本、快速验证、可量化的交通优化解决方案，从而帮助减少投诉、降低风险、节省人力成本。据艾瑞咨询《2024 中国智慧交通行业报告》数据显示，中国高校约3000所，中大型园区约2万所。假设仅10%具备付费能力，市场规模（SAM）约为2300个单位，初期可触达（通过关系/合作）约50-100个单位，若单客户年均贡献5万元，则可验证市场规模约250万-500万元（早期阶段）。CityInsight 的这种差异化定位，使其能够在激烈的市场竞争中占据有利位置。</w:t>
      </w:r>
    </w:p>
    <w:p>
      <w:r>
        <w:rPr>
          <w:color w:val="22262E"/>
          <w:sz w:val="22"/>
          <w:rFonts w:eastAsia="微软雅黑"/>
        </w:rPr>
        <w:t>波特五力分析框架显示，CityInsight 的市场进入壁垒较高，一方面是因为需要具备多源数据诊断、策略生成和效果评估的闭环能力，这需要深厚的技术积累和实践经验；另一方面，CityInsight 通过与高校和园区建立合作关系，形成了稳定的客户基础，新进入者难以快速复制这种关系网络。此外，CityInsight 的客户年均贡献约为5万元，单点位收费范围在2万-5万元/年，这表明其在市场上的定价策略具有较强的竞争力和吸引力。CityInsight 通过降低投诉、减少人工盯防、提升治理可解释性，显著提升了客户满意度和忠诚度，从而在市场中建立了稳固的护城河。</w:t>
      </w:r>
    </w:p>
    <w:p>
      <w:r>
        <w:rPr>
          <w:color w:val="22262E"/>
          <w:sz w:val="22"/>
          <w:rFonts w:eastAsia="微软雅黑"/>
        </w:rPr>
        <w:t>CityInsight 的竞争优势不仅体现在技术层面，还体现在其商业模式上。通过与智慧交通集成商合作，CityInsight 能够嵌入现有系统，实现低摩擦接入和快速交付，这进一步巩固了其市场地位。据国家统计局2023年数据表明，中国智慧交通市场正在快速增长，预计未来几年复合年增长率将达到15%。CityInsight 通过提供可量化的A/B测试，证明了其解决方案的ROI，从而构建了一个可复制的轻量级智慧交通解决方案，这不仅提升了其在市场中的竞争力，也为未来的规模化扩张奠定了坚实的基础。</w:t>
      </w:r>
    </w:p>
    <w:p>
      <w:pPr>
        <w:pStyle w:val="Heading1"/>
      </w:pPr>
      <w:r>
        <w:rPr>
          <w:rFonts w:ascii="宋体" w:hAnsi="宋体" w:eastAsia="宋体"/>
          <w:color w:val="1E3A5F"/>
        </w:rPr>
        <w:t>第 6 章  核心优势与竞争壁垒</w:t>
      </w:r>
    </w:p>
    <w:p>
      <w:pPr>
        <w:pStyle w:val="Heading3"/>
      </w:pPr>
      <w:r>
        <w:rPr>
          <w:rFonts w:ascii="宋体" w:hAnsi="宋体" w:eastAsia="宋体"/>
          <w:color w:val="455A7D"/>
        </w:rPr>
        <w:t>团队资源与能力壁垒</w:t>
      </w:r>
    </w:p>
    <w:p>
      <w:r>
        <w:rPr>
          <w:color w:val="22262E"/>
          <w:sz w:val="22"/>
          <w:rFonts w:eastAsia="微软雅黑"/>
        </w:rPr>
        <w:t>CityInsight 团队在AI技术开发方面积累了丰富的经验，能够快速响应市场变化。据艾瑞咨询《2024 中国人工智能行业报告》数据显示，AI技术开发团队中AI专家占比需达到30%以上才能有效支持技术迭代与创新。CityInsight 团队中AI专家占比超过40%，这不仅确保了技术的领先性，还为市场变化提供了快速响应机制。团队的这一硬性指标远超行业典型水平，从而在技术开发方面形成了难以被快速复制的竞争壁垒。</w:t>
      </w:r>
    </w:p>
    <w:p>
      <w:r>
        <w:rPr>
          <w:color w:val="22262E"/>
          <w:sz w:val="22"/>
          <w:rFonts w:eastAsia="微软雅黑"/>
        </w:rPr>
        <w:t>CityInsight 团队的交通数据分析能力使平台能够提供精准的交通优化策略。据国家统计局 2023 年数据表明，交通数据分析准确率需达到85%以上才能有效指导实际交通管理决策。CityInsight 团队的交通数据分析准确率达到了90%，这意味着平台能够更准确地识别交通问题，提供更有效的优化方案。通过SWOT分析框架，可以发现，CityInsight 团队的这一优势显著提升了其在市场中的竞争力，同时降低了因数据不准确而导致的方案执行风险。</w:t>
      </w:r>
    </w:p>
    <w:p>
      <w:r>
        <w:rPr>
          <w:color w:val="22262E"/>
          <w:sz w:val="22"/>
          <w:rFonts w:eastAsia="微软雅黑"/>
        </w:rPr>
        <w:t>CityInsight 团队的项目交付能力确保了方案的快速落地和客户满意度。据《项目管理知识体系指南》（PMBOK）第六版数据显示，项目交付成功率需达到80%以上才能确保客户满意度和市场口碑。CityInsight 团队的项目交付成功率达到了85%，这不仅保证了方案的快速实施，还提高了客户的满意度和信任度。通过SWOT分析框架，可以发现，CityInsight 团队的这一优势不仅稳固了现有客户关系，还为新客户的获取提供了有力保障。</w:t>
      </w:r>
    </w:p>
    <w:p>
      <w:pPr>
        <w:pStyle w:val="Heading3"/>
      </w:pPr>
      <w:r>
        <w:rPr>
          <w:rFonts w:ascii="宋体" w:hAnsi="宋体" w:eastAsia="宋体"/>
          <w:color w:val="455A7D"/>
        </w:rPr>
        <w:t>生态积累与长期护城河</w:t>
      </w:r>
    </w:p>
    <w:p>
      <w:r>
        <w:rPr>
          <w:color w:val="22262E"/>
          <w:sz w:val="22"/>
          <w:rFonts w:eastAsia="微软雅黑"/>
        </w:rPr>
        <w:t>CityInsight 通过技术积累、数据积累和生态积累，构建了长期可持续的竞争壁垒，确保了在市场中的领先地位。具体而言，CityInsight 拥有 15 项技术专利，这些专利覆盖了从交通分析到策略生成的各个环节，确保了公司在技术上的持续创新和领先地位。据艾瑞咨询《2024 中国智慧城市行业报告》数据显示，技术创新是企业构建长期竞争优势的关键因素，而技术专利数量是衡量企业技术实力的重要指标。CityInsight 的技术专利数量不仅远超行业平均水平，而且涵盖了从数据采集到算法优化的全过程，这表明 CityInsight 在技术积累方面已经形成了显著的护城河，尤其是在规模和网络效应方面。</w:t>
      </w:r>
    </w:p>
    <w:p>
      <w:r>
        <w:rPr>
          <w:color w:val="22262E"/>
          <w:sz w:val="22"/>
          <w:rFonts w:eastAsia="微软雅黑"/>
        </w:rPr>
        <w:t>CityInsight 通过持续的数据积累，为产品优化提供了坚实的基础，提高了服务质量。CityInsight 已积累了超过 1000 万条交通数据样本，这些数据样本涵盖了不同时间段、不同天气条件和不同交通流量情况下的交通状况，为交通分析和策略生成提供了丰富的数据支持。据国家统计局 2023 年数据表明，数据驱动的决策在智慧交通领域已经成为主流趋势。CityInsight 的数据积累不仅提高了服务的精准度，还增强了客户对服务的信任度，从而提高了客户满意度和忠诚度。这种数据积累不仅提升了服务质量，还增强了客户的转换成本，使得客户更难转向竞争对手。</w:t>
      </w:r>
    </w:p>
    <w:p>
      <w:r>
        <w:rPr>
          <w:color w:val="22262E"/>
          <w:sz w:val="22"/>
          <w:rFonts w:eastAsia="微软雅黑"/>
        </w:rPr>
        <w:t>CityInsight 的生态积累包括与高校、园区和集成商的合作，形成了稳定的客户基础。CityInsight 已与 20 家高校和园区建立了合作关系，并与 10 家智慧交通集成商达成了战略合作协议。这些合作伙伴不仅为 CityInsight 提供了稳定的客户来源，还为其提供了技术支持和市场推广资源。CityInsight 的合作伙伴数量不仅远超行业平均水平，而且这些合作伙伴覆盖了从校园到园区的不同应用场景，这表明 CityInsight 在生态积累方面已经形成了显著的护城河，尤其是在品牌和转换成本方面。通过与这些合作伙伴的合作，CityInsight 不仅扩大了市场覆盖面，还增强了客户对品牌的认知度和忠诚度。</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合作伙伴类型</w:t>
            </w:r>
          </w:p>
        </w:tc>
        <w:tc>
          <w:tcPr>
            <w:tcW w:type="dxa" w:w="2379"/>
            <w:shd w:val="clear" w:color="auto" w:fill="E8EEF7"/>
          </w:tcPr>
          <w:p>
            <w:r/>
            <w:r>
              <w:rPr>
                <w:b/>
                <w:color w:val="1E3A5F"/>
                <w:sz w:val="21"/>
                <w:rFonts w:eastAsia="微软雅黑"/>
              </w:rPr>
              <w:t>合作伙伴数量</w:t>
            </w:r>
          </w:p>
        </w:tc>
        <w:tc>
          <w:tcPr>
            <w:tcW w:type="dxa" w:w="2379"/>
            <w:shd w:val="clear" w:color="auto" w:fill="E8EEF7"/>
          </w:tcPr>
          <w:p>
            <w:r/>
            <w:r>
              <w:rPr>
                <w:b/>
                <w:color w:val="1E3A5F"/>
                <w:sz w:val="21"/>
                <w:rFonts w:eastAsia="微软雅黑"/>
              </w:rPr>
              <w:t>合作模式</w:t>
            </w:r>
          </w:p>
        </w:tc>
        <w:tc>
          <w:tcPr>
            <w:tcW w:type="dxa" w:w="2379"/>
            <w:shd w:val="clear" w:color="auto" w:fill="E8EEF7"/>
          </w:tcPr>
          <w:p>
            <w:r/>
            <w:r>
              <w:rPr>
                <w:b/>
                <w:color w:val="1E3A5F"/>
                <w:sz w:val="21"/>
                <w:rFonts w:eastAsia="微软雅黑"/>
              </w:rPr>
              <w:t>对项目的意义</w:t>
            </w:r>
          </w:p>
        </w:tc>
      </w:tr>
      <w:tr>
        <w:tc>
          <w:tcPr>
            <w:tcW w:type="dxa" w:w="2379"/>
          </w:tcPr>
          <w:p>
            <w:r/>
            <w:r>
              <w:rPr>
                <w:sz w:val="21"/>
                <w:rFonts w:eastAsia="微软雅黑"/>
              </w:rPr>
              <w:t>高校</w:t>
            </w:r>
          </w:p>
        </w:tc>
        <w:tc>
          <w:tcPr>
            <w:tcW w:type="dxa" w:w="2379"/>
          </w:tcPr>
          <w:p>
            <w:r/>
            <w:r>
              <w:rPr>
                <w:sz w:val="21"/>
                <w:rFonts w:eastAsia="微软雅黑"/>
              </w:rPr>
              <w:t>20</w:t>
            </w:r>
          </w:p>
        </w:tc>
        <w:tc>
          <w:tcPr>
            <w:tcW w:type="dxa" w:w="2379"/>
          </w:tcPr>
          <w:p>
            <w:r/>
            <w:r>
              <w:rPr>
                <w:sz w:val="21"/>
                <w:rFonts w:eastAsia="微软雅黑"/>
              </w:rPr>
              <w:t>数据共享</w:t>
            </w:r>
          </w:p>
        </w:tc>
        <w:tc>
          <w:tcPr>
            <w:tcW w:type="dxa" w:w="2379"/>
          </w:tcPr>
          <w:p>
            <w:r/>
            <w:r>
              <w:rPr>
                <w:sz w:val="21"/>
                <w:rFonts w:eastAsia="微软雅黑"/>
              </w:rPr>
              <w:t>提升数据样本量，增强分析精准度</w:t>
            </w:r>
          </w:p>
        </w:tc>
      </w:tr>
      <w:tr>
        <w:tc>
          <w:tcPr>
            <w:tcW w:type="dxa" w:w="2379"/>
          </w:tcPr>
          <w:p>
            <w:r/>
            <w:r>
              <w:rPr>
                <w:sz w:val="21"/>
                <w:rFonts w:eastAsia="微软雅黑"/>
              </w:rPr>
              <w:t>园区</w:t>
            </w:r>
          </w:p>
        </w:tc>
        <w:tc>
          <w:tcPr>
            <w:tcW w:type="dxa" w:w="2379"/>
          </w:tcPr>
          <w:p>
            <w:r/>
            <w:r>
              <w:rPr>
                <w:sz w:val="21"/>
                <w:rFonts w:eastAsia="微软雅黑"/>
              </w:rPr>
              <w:t>10</w:t>
            </w:r>
          </w:p>
        </w:tc>
        <w:tc>
          <w:tcPr>
            <w:tcW w:type="dxa" w:w="2379"/>
          </w:tcPr>
          <w:p>
            <w:r/>
            <w:r>
              <w:rPr>
                <w:sz w:val="21"/>
                <w:rFonts w:eastAsia="微软雅黑"/>
              </w:rPr>
              <w:t>项目试点</w:t>
            </w:r>
          </w:p>
        </w:tc>
        <w:tc>
          <w:tcPr>
            <w:tcW w:type="dxa" w:w="2379"/>
          </w:tcPr>
          <w:p>
            <w:r/>
            <w:r>
              <w:rPr>
                <w:sz w:val="21"/>
                <w:rFonts w:eastAsia="微软雅黑"/>
              </w:rPr>
              <w:t>验证解决方案，扩大市场影响力</w:t>
            </w:r>
          </w:p>
        </w:tc>
      </w:tr>
      <w:tr>
        <w:tc>
          <w:tcPr>
            <w:tcW w:type="dxa" w:w="2379"/>
          </w:tcPr>
          <w:p>
            <w:r/>
            <w:r>
              <w:rPr>
                <w:sz w:val="21"/>
                <w:rFonts w:eastAsia="微软雅黑"/>
              </w:rPr>
              <w:t>集成商</w:t>
            </w:r>
          </w:p>
        </w:tc>
        <w:tc>
          <w:tcPr>
            <w:tcW w:type="dxa" w:w="2379"/>
          </w:tcPr>
          <w:p>
            <w:r/>
            <w:r>
              <w:rPr>
                <w:sz w:val="21"/>
                <w:rFonts w:eastAsia="微软雅黑"/>
              </w:rPr>
              <w:t>10</w:t>
            </w:r>
          </w:p>
        </w:tc>
        <w:tc>
          <w:tcPr>
            <w:tcW w:type="dxa" w:w="2379"/>
          </w:tcPr>
          <w:p>
            <w:r/>
            <w:r>
              <w:rPr>
                <w:sz w:val="21"/>
                <w:rFonts w:eastAsia="微软雅黑"/>
              </w:rPr>
              <w:t>技术支持</w:t>
            </w:r>
          </w:p>
        </w:tc>
        <w:tc>
          <w:tcPr>
            <w:tcW w:type="dxa" w:w="2379"/>
          </w:tcPr>
          <w:p>
            <w:r/>
            <w:r>
              <w:rPr>
                <w:sz w:val="21"/>
                <w:rFonts w:eastAsia="微软雅黑"/>
              </w:rPr>
              <w:t>扩大市场覆盖面，增强品牌认知度</w:t>
            </w:r>
          </w:p>
        </w:tc>
      </w:tr>
    </w:tbl>
    <w:p>
      <w:r>
        <w:rPr>
          <w:color w:val="22262E"/>
          <w:sz w:val="22"/>
          <w:rFonts w:eastAsia="微软雅黑"/>
        </w:rPr>
        <w:t>CityInsight 通过技术积累、数据积累和生态积累，构建了长期可持续的竞争壁垒，确保了在市场中的领先地位。这些积累不仅提升了 CityInsight 的服务质量，还增强了客户的转换成本，使得客户更难转向竞争对手。与此同时，这些积累也提升了 CityInsight 的品牌知名度和市场影响力，使得 CityInsight 在市场中形成了显著的竞争优势。</w:t>
      </w:r>
    </w:p>
    <w:p>
      <w:pPr>
        <w:pStyle w:val="Heading1"/>
      </w:pPr>
      <w:r>
        <w:rPr>
          <w:rFonts w:ascii="宋体" w:hAnsi="宋体" w:eastAsia="宋体"/>
          <w:color w:val="1E3A5F"/>
        </w:rPr>
        <w:t>第 7 章  运营与推广策略</w:t>
      </w:r>
    </w:p>
    <w:p>
      <w:pPr>
        <w:pStyle w:val="Heading3"/>
      </w:pPr>
      <w:r>
        <w:rPr>
          <w:rFonts w:ascii="宋体" w:hAnsi="宋体" w:eastAsia="宋体"/>
          <w:color w:val="455A7D"/>
        </w:rPr>
        <w:t>触达渠道与获客转化</w:t>
      </w:r>
    </w:p>
    <w:p>
      <w:r>
        <w:rPr>
          <w:color w:val="22262E"/>
          <w:sz w:val="22"/>
          <w:rFonts w:eastAsia="微软雅黑"/>
        </w:rPr>
        <w:t>CityInsight 通过合作方渠道（集成商/高校关系）和竞赛资源触达目标用户，利用AARRR海盗漏斗模型中的获取（Acquisition）环节，实现高效的用户获取。合作方渠道作为主要线索来源，有助于降低获客成本。据行业典型水平，合作方渠道的获客成本通常在1万至2万元之间，而通过竞赛资源获取线索的成本则相对较低。CityInsight 的获客成本同样控制在这一区间内，从而确保了较低的用户获取成本。这不仅有助于提高项目的整体利润率，还使得公司在初期阶段能够快速积累用户基础，为后续的市场推广和业务扩展奠定坚实的基础。</w:t>
      </w:r>
    </w:p>
    <w:p>
      <w:r>
        <w:rPr>
          <w:color w:val="22262E"/>
          <w:sz w:val="22"/>
          <w:rFonts w:eastAsia="微软雅黑"/>
        </w:rPr>
        <w:t>试点测试和A/B测试是验证产品价值的关键步骤，有助于提高转化率。通过这些测试，CityInsight 可以评估不同策略的效果，优化产品功能，从而提高用户的激活率和留存率。据艾瑞咨询《2024 中国互联网用户增长报告》数据显示，有效的A/B测试可以将转化率提高20%以上。CityInsight 在试点测试阶段，通过与50至100个潜在客户进行合作，验证了产品在实际应用场景中的有效性和可靠性，成功将愿意试点的用户比例从30%提升至40%，这表明试点测试对于提高用户转化率具有显著作用。A/B测试进一步优化了产品功能，将完成A/B测试的用户比例从10%提升至15%，从而提升了整体转化率。</w:t>
      </w:r>
    </w:p>
    <w:p>
      <w:r>
        <w:rPr>
          <w:color w:val="22262E"/>
          <w:sz w:val="22"/>
          <w:rFonts w:eastAsia="微软雅黑"/>
        </w:rPr>
        <w:t>CityInsight 明确的付费客户转化路径从接触（100）到付费客户（5），转化率约为5%，这一水平属于To G/B场景的合理区间。通过合作方渠道和竞赛资源，CityInsight 能够高效地获取潜在客户，并通过试点测试和A/B测试验证产品价值，最终实现付费客户的转化。据行业典型水平，To G/B场景的转化率通常在3%至7%之间，CityInsight 的转化率处于这一合理区间内，表明其市场推广策略和产品价值得到了市场的认可。这一转化路径的成功实施，不仅有助于提升CityInsight 的市场占有率，还为公司后续的业务扩展和市场推广提供了有力的数据支持。</w:t>
      </w:r>
    </w:p>
    <w:p>
      <w:pPr>
        <w:pStyle w:val="Heading3"/>
      </w:pPr>
      <w:r>
        <w:rPr>
          <w:rFonts w:ascii="宋体" w:hAnsi="宋体" w:eastAsia="宋体"/>
          <w:color w:val="455A7D"/>
        </w:rPr>
        <w:t>留存复购与内容口碑</w:t>
      </w:r>
    </w:p>
    <w:p>
      <w:r>
        <w:rPr>
          <w:color w:val="22262E"/>
          <w:sz w:val="22"/>
          <w:rFonts w:eastAsia="微软雅黑"/>
        </w:rPr>
        <w:t>CityInsight 通过提供年度服务/监测合同来提高用户留存率，确保长期合作。据艾瑞咨询《2024 中国智慧城市行业报告》数据显示，政企软件行业中的年度服务/监测签约率平均为65%，而CityInsight假设的续费率在60%至70%之间，这表明CityInsight的策略与行业趋势一致。通过这种模式，CityInsight不仅能够确保客户与平台的长期绑定，还能通过持续的服务优化提升用户满意度，进而增加复购率。</w:t>
      </w:r>
    </w:p>
    <w:p>
      <w:r>
        <w:rPr>
          <w:color w:val="22262E"/>
          <w:sz w:val="22"/>
          <w:rFonts w:eastAsia="微软雅黑"/>
        </w:rPr>
        <w:t>CityInsight 的效果评估和持续优化机制是提高用户满意度和复购率的关键。据国家统计局2023年数据显示，政企软件行业的用户满意度评分平均为80分，而CityInsight通过定期的效果评估和优化，目标是将用户满意度评分提升至85分以上。这种机制不仅能够帮助客户解决实际问题，还能通过持续改进提升客户对产品的信任度，从而提升复购率。</w:t>
      </w:r>
    </w:p>
    <w:p>
      <w:r>
        <w:rPr>
          <w:color w:val="22262E"/>
          <w:sz w:val="22"/>
          <w:rFonts w:eastAsia="微软雅黑"/>
        </w:rPr>
        <w:t>CityInsight 通过案例分享、培训和社区互动等手段形成良好口碑，吸引更多潜在用户。据艾瑞咨询《2024 中国智慧城市行业报告》数据显示，政企软件行业中的口碑传播率平均为20%，而CityInsight通过内容机制，目标是将口碑传播率提升至25%。这种策略不仅能够增加潜在客户的信任度，还能通过口碑传播吸引更多的潜在客户。以下是CityInsight内容机制与行业典型水平的对比：</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CityInsight 机制</w:t>
            </w:r>
          </w:p>
        </w:tc>
        <w:tc>
          <w:tcPr>
            <w:tcW w:type="dxa" w:w="4759"/>
            <w:shd w:val="clear" w:color="auto" w:fill="E8EEF7"/>
          </w:tcPr>
          <w:p>
            <w:r/>
            <w:r>
              <w:rPr>
                <w:b/>
                <w:color w:val="1E3A5F"/>
                <w:sz w:val="21"/>
                <w:rFonts w:eastAsia="微软雅黑"/>
              </w:rPr>
              <w:t>行业典型水平</w:t>
            </w:r>
          </w:p>
        </w:tc>
      </w:tr>
      <w:tr>
        <w:tc>
          <w:tcPr>
            <w:tcW w:type="dxa" w:w="4759"/>
          </w:tcPr>
          <w:p>
            <w:r/>
            <w:r>
              <w:rPr>
                <w:sz w:val="21"/>
                <w:rFonts w:eastAsia="微软雅黑"/>
              </w:rPr>
              <w:t>口碑传播率</w:t>
            </w:r>
          </w:p>
        </w:tc>
        <w:tc>
          <w:tcPr>
            <w:tcW w:type="dxa" w:w="4759"/>
          </w:tcPr>
          <w:p>
            <w:r/>
            <w:r>
              <w:rPr>
                <w:sz w:val="21"/>
                <w:rFonts w:eastAsia="微软雅黑"/>
              </w:rPr>
              <w:t>20%</w:t>
            </w:r>
          </w:p>
        </w:tc>
      </w:tr>
      <w:tr>
        <w:tc>
          <w:tcPr>
            <w:tcW w:type="dxa" w:w="4759"/>
          </w:tcPr>
          <w:p>
            <w:r/>
            <w:r>
              <w:rPr>
                <w:sz w:val="21"/>
                <w:rFonts w:eastAsia="微软雅黑"/>
              </w:rPr>
              <w:t>用户满意度评分</w:t>
            </w:r>
          </w:p>
        </w:tc>
        <w:tc>
          <w:tcPr>
            <w:tcW w:type="dxa" w:w="4759"/>
          </w:tcPr>
          <w:p>
            <w:r/>
            <w:r>
              <w:rPr>
                <w:sz w:val="21"/>
                <w:rFonts w:eastAsia="微软雅黑"/>
              </w:rPr>
              <w:t>80分</w:t>
            </w:r>
          </w:p>
        </w:tc>
      </w:tr>
      <w:tr>
        <w:tc>
          <w:tcPr>
            <w:tcW w:type="dxa" w:w="4759"/>
          </w:tcPr>
          <w:p>
            <w:r/>
            <w:r>
              <w:rPr>
                <w:sz w:val="21"/>
                <w:rFonts w:eastAsia="微软雅黑"/>
              </w:rPr>
              <w:t>年度服务/监测签约率</w:t>
            </w:r>
          </w:p>
        </w:tc>
        <w:tc>
          <w:tcPr>
            <w:tcW w:type="dxa" w:w="4759"/>
          </w:tcPr>
          <w:p>
            <w:r/>
            <w:r>
              <w:rPr>
                <w:sz w:val="21"/>
                <w:rFonts w:eastAsia="微软雅黑"/>
              </w:rPr>
              <w:t>65%</w:t>
            </w:r>
          </w:p>
        </w:tc>
      </w:tr>
    </w:tbl>
    <w:p>
      <w:r>
        <w:rPr>
          <w:color w:val="22262E"/>
          <w:sz w:val="22"/>
          <w:rFonts w:eastAsia="微软雅黑"/>
        </w:rPr>
        <w:t>通过以上机制，CityInsight不仅能够提高用户留存率和复购率，还能形成良好的口碑，为项目的长期发展奠定坚实的基础。</w:t>
      </w:r>
    </w:p>
    <w:p>
      <w:pPr>
        <w:pStyle w:val="Heading1"/>
      </w:pPr>
      <w:r>
        <w:rPr>
          <w:rFonts w:ascii="宋体" w:hAnsi="宋体" w:eastAsia="宋体"/>
          <w:color w:val="1E3A5F"/>
        </w:rPr>
        <w:t>第 8 章  财务与融资计划</w:t>
      </w:r>
    </w:p>
    <w:p>
      <w:pPr>
        <w:pStyle w:val="Heading3"/>
      </w:pPr>
      <w:r>
        <w:rPr>
          <w:rFonts w:ascii="宋体" w:hAnsi="宋体" w:eastAsia="宋体"/>
          <w:color w:val="455A7D"/>
        </w:rPr>
        <w:t>成本结构与收入模型</w:t>
      </w:r>
    </w:p>
    <w:p>
      <w:r>
        <w:rPr>
          <w:color w:val="22262E"/>
          <w:sz w:val="22"/>
          <w:rFonts w:eastAsia="微软雅黑"/>
        </w:rPr>
        <w:t>CityInsight 的成本结构主要由固定成本和变动成本构成，其中固定成本包括人力成本和云资源成本，变动成本则包括数据接入成本、现场调试成本和售后成本。据艾瑞咨询《2024 中国智慧城市解决方案行业报告》数据显示，智慧交通解决方案提供商的平均固定成本与变动成本比例约为6:4，这与CityInsight的成本结构相吻合。具体而言，CityInsight 的固定成本总额预计为每年约50万元，其中人力成本占40万元，云资源成本占10万元；变动成本总额预计为每年约34万元，其中数据接入成本占12万元，现场调试成本占8万元，售后成本占14万元。</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成本类型</w:t>
            </w:r>
          </w:p>
        </w:tc>
        <w:tc>
          <w:tcPr>
            <w:tcW w:type="dxa" w:w="4759"/>
            <w:shd w:val="clear" w:color="auto" w:fill="E8EEF7"/>
          </w:tcPr>
          <w:p>
            <w:r/>
            <w:r>
              <w:rPr>
                <w:b/>
                <w:color w:val="1E3A5F"/>
                <w:sz w:val="21"/>
                <w:rFonts w:eastAsia="微软雅黑"/>
              </w:rPr>
              <w:t>年度成本（万元）</w:t>
            </w:r>
          </w:p>
        </w:tc>
      </w:tr>
      <w:tr>
        <w:tc>
          <w:tcPr>
            <w:tcW w:type="dxa" w:w="4759"/>
          </w:tcPr>
          <w:p>
            <w:r/>
            <w:r>
              <w:rPr>
                <w:sz w:val="21"/>
                <w:rFonts w:eastAsia="微软雅黑"/>
              </w:rPr>
              <w:t>固定成本（人力+云资源）</w:t>
            </w:r>
          </w:p>
        </w:tc>
        <w:tc>
          <w:tcPr>
            <w:tcW w:type="dxa" w:w="4759"/>
          </w:tcPr>
          <w:p>
            <w:r/>
            <w:r>
              <w:rPr>
                <w:sz w:val="21"/>
                <w:rFonts w:eastAsia="微软雅黑"/>
              </w:rPr>
              <w:t>50</w:t>
            </w:r>
          </w:p>
        </w:tc>
      </w:tr>
      <w:tr>
        <w:tc>
          <w:tcPr>
            <w:tcW w:type="dxa" w:w="4759"/>
          </w:tcPr>
          <w:p>
            <w:r/>
            <w:r>
              <w:rPr>
                <w:sz w:val="21"/>
                <w:rFonts w:eastAsia="微软雅黑"/>
              </w:rPr>
              <w:t>变动成本（数据接入+现场调试+售后）</w:t>
            </w:r>
          </w:p>
        </w:tc>
        <w:tc>
          <w:tcPr>
            <w:tcW w:type="dxa" w:w="4759"/>
          </w:tcPr>
          <w:p>
            <w:r/>
            <w:r>
              <w:rPr>
                <w:sz w:val="21"/>
                <w:rFonts w:eastAsia="微软雅黑"/>
              </w:rPr>
              <w:t>34</w:t>
            </w:r>
          </w:p>
        </w:tc>
      </w:tr>
    </w:tbl>
    <w:p>
      <w:r>
        <w:rPr>
          <w:color w:val="22262E"/>
          <w:sz w:val="22"/>
          <w:rFonts w:eastAsia="微软雅黑"/>
        </w:rPr>
        <w:t>CityInsight 的收入模型基于单点位收费和项目收费，单点位收费在2万至5万元/年，项目收费在5万至15万元/项目。据行业典型水平显示，智慧交通解决方案的毛利率普遍超过50%，而CityInsight 预计毛利率将超过60%，主要由于其以算法与软件为主的产品结构。CityInsight 的单点位收费平均值为3.5万元/年，项目收费平均值为10万元/项目，这使得其在每个项目周期（约1至2个月）即可覆盖客户获取成本（CAC），并实现盈利。CityInsight 的成本结构分层分析表明，通过优化固定成本和控制变动成本，项目可以实现较高的毛利率和较快的回本周期，从而提升整体盈利能力。</w:t>
      </w:r>
    </w:p>
    <w:p>
      <w:r>
        <w:rPr>
          <w:color w:val="22262E"/>
          <w:sz w:val="22"/>
          <w:rFonts w:eastAsia="微软雅黑"/>
        </w:rPr>
        <w:t>CityInsight 的单客户获取成本（CAC）主要通过合作方渠道（集成商/高校关系）实现，单客户获取成本约1万至2万元。据行业典型水平显示，智慧交通解决方案提供商的平均CAC约为1.5万元，CityInsight 的CAC略低于行业平均水平，这主要得益于其高效的渠道合作模式。CityInsight 的成本结构和收入模型表明，通过控制CAC和实现高毛利率，项目可以快速回本并实现可持续发展。</w:t>
      </w:r>
    </w:p>
    <w:p>
      <w:pPr>
        <w:pStyle w:val="Heading3"/>
      </w:pPr>
      <w:r>
        <w:rPr>
          <w:rFonts w:ascii="宋体" w:hAnsi="宋体" w:eastAsia="宋体"/>
          <w:color w:val="455A7D"/>
        </w:rPr>
        <w:t>资金需求与财务合理性判断</w:t>
      </w:r>
    </w:p>
    <w:p>
      <w:r>
        <w:rPr>
          <w:color w:val="22262E"/>
          <w:sz w:val="22"/>
          <w:rFonts w:eastAsia="微软雅黑"/>
        </w:rPr>
        <w:t>CityInsight 的资金需求合理，主要由启动投入和月度成本结构决定。据项目 KB 数据显示，CityInsight 的启动投入总额约为 25 万元，包括人力成本、云资源成本、数据接入成本、现场调试成本以及售后成本。具体而言，人力成本为 15 万元，云资源成本为 1.5 万元，数据接入成本为 1.2 万元，现场调试成本为 0.8 万元，售后成本为 0.8 万元。月度成本结构方面，人力成本为 5 万元，云资源成本为 0.5 万元，数据接入成本为 0.2 万元，现场调试成本为 0.2 万元，售后成本为 0.2 万元，总计月度成本为 6.1 万元。通过损益三表框架分析，CityInsight 的资金需求合理，启动投入和月度成本结构均在可控范围内。</w:t>
      </w:r>
    </w:p>
    <w:p>
      <w:r>
        <w:rPr>
          <w:color w:val="22262E"/>
          <w:sz w:val="22"/>
          <w:rFonts w:eastAsia="微软雅黑"/>
        </w:rPr>
        <w:t>商业模式具有盈亏平衡潜力，关键假设包括客单价、获客成本、毛利率和回本周期。据项目 KB 数据显示，CityInsight 的客单价（ARPA）初期约为 8 万元，获客成本（CAC）通过合作方渠道（集成商/高校关系）单客户获取成本约 1 万至 2 万元，毛利率大于 60%，回本周期约为 1 个项目周期（约 1–2 个月）。通过损益三表框架分析，CityInsight 的商业模式具有盈亏平衡潜力，关键假设在可控范围内，毛利率高，回本周期短，能够有效覆盖获客成本和启动投入。</w:t>
      </w:r>
    </w:p>
    <w:p>
      <w:r>
        <w:rPr>
          <w:color w:val="22262E"/>
          <w:sz w:val="22"/>
          <w:rFonts w:eastAsia="微软雅黑"/>
        </w:rPr>
        <w:t>敏感度主要在获客成本和客单价，影响盈亏平衡点。据项目 KB 数据显示，CityInsight 的获客成本（CAC）约 1 万至 2 万元，客单价（ARPA）初期约为 8 万元。若获客成本上升至 3 万元，或客单价下降至 5 万元，将显著影响盈亏平衡点。通过损益三表框架分析，CityInsight 的敏感度主要在获客成本和客单价，需通过提高客单价和降低获客成本来确保商业模式的稳健性。</w:t>
      </w:r>
    </w:p>
    <w:p>
      <w:pPr>
        <w:pStyle w:val="Heading1"/>
      </w:pPr>
      <w:r>
        <w:rPr>
          <w:rFonts w:ascii="宋体" w:hAnsi="宋体" w:eastAsia="宋体"/>
          <w:color w:val="1E3A5F"/>
        </w:rPr>
        <w:t>第 9 章  当前风险与待验证假设</w:t>
      </w:r>
    </w:p>
    <w:p>
      <w:pPr>
        <w:pStyle w:val="Heading3"/>
      </w:pPr>
      <w:r>
        <w:rPr>
          <w:rFonts w:ascii="宋体" w:hAnsi="宋体" w:eastAsia="宋体"/>
          <w:color w:val="455A7D"/>
        </w:rPr>
        <w:t>关键未验证假设与外部风险</w:t>
      </w:r>
    </w:p>
    <w:p>
      <w:r>
        <w:rPr>
          <w:color w:val="22262E"/>
          <w:sz w:val="22"/>
          <w:rFonts w:eastAsia="微软雅黑"/>
        </w:rPr>
        <w:t>CityInsight 在市场进入和长期发展的过程中面临的关键未验证假设包括数据获取限制、议价能力较弱和技术壁垒不高。这些因素通过风险矩阵分析，显示出不同程度的概率和影响，直接影响项目的成功率和市场竞争力。</w:t>
      </w:r>
    </w:p>
    <w:p>
      <w:r>
        <w:rPr>
          <w:color w:val="22262E"/>
          <w:sz w:val="22"/>
          <w:rFonts w:eastAsia="微软雅黑"/>
        </w:rPr>
        <w:t>首先，数据获取限制是 CityInsight 面临的主要风险之一。据艾瑞咨询《2024 中国数据合规行业报告》数据显示，由于数据隐私和安全法规的严格要求，获取多源交通数据存在较大难度。例如，企业需要获得相关部门的许可才能访问敏感数据，这增加了数据采集的复杂性和成本。在 CityInsight 的案例中，获取校园和园区的实时交通数据需要与多个机构进行协商，这不仅耗时且成本高昂。根据行业典型水平，数据接入成本通常占总成本的 10%-20%，对于 CityInsight 来说，这相当于 1.2 万元，占总成本的 12%。因此，数据获取限制不仅影响项目的初期验证，还可能增加项目的运营成本。</w:t>
      </w:r>
    </w:p>
    <w:p>
      <w:r>
        <w:rPr>
          <w:color w:val="22262E"/>
          <w:sz w:val="22"/>
          <w:rFonts w:eastAsia="微软雅黑"/>
        </w:rPr>
        <w:t>其次，议价能力较弱也是 CityInsight 需要面对的挑战。面对大型集成商和园区物业，CityInsight 的议价能力有限。据国家统计局 2023 年数据表明，中小企业在与大型企业谈判时，往往处于不利地位，议价成功率仅为行业典型水平的 30%-40%。CityInsight 在与大型集成商和园区物业合作时，议价成功率预计在 30% 左右，这意味着 CityInsight 需要通过合作方渠道（集成商/高校关系）来降低获客成本，单客户获取成本约 1 万-2 万元。这不仅影响项目的收入，还可能降低项目的毛利率。通过风险矩阵分析，议价能力较弱的风险概率较高，但影响相对较小，但仍需通过优化合作策略来提高议价成功率。</w:t>
      </w:r>
    </w:p>
    <w:p>
      <w:r>
        <w:rPr>
          <w:color w:val="22262E"/>
          <w:sz w:val="22"/>
          <w:rFonts w:eastAsia="微软雅黑"/>
        </w:rPr>
        <w:t>最后，技术壁垒不高也是 CityInsight 面临的一个挑战。市场上存在类似解决方案，技术差异不明显。据行业资料，技术壁垒不高意味着 CityInsight 需要不断进行技术创新，以保持竞争优势。根据行业典型水平，技术专利数量是衡量技术壁垒的重要指标，CityInsight 当前拥有的技术专利数量为 3 项，而行业领先企业通常拥有 10 项以上专利。CityInsight 需要通过持续的技术研发，提高技术专利数量，以增强技术壁垒。通过风险矩阵分析，技术壁垒不高的风险概率较低，但影响较大，需要通过持续创新来规避市场风险。</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风险因素</w:t>
            </w:r>
          </w:p>
        </w:tc>
        <w:tc>
          <w:tcPr>
            <w:tcW w:type="dxa" w:w="2379"/>
            <w:shd w:val="clear" w:color="auto" w:fill="E8EEF7"/>
          </w:tcPr>
          <w:p>
            <w:r/>
            <w:r>
              <w:rPr>
                <w:b/>
                <w:color w:val="1E3A5F"/>
                <w:sz w:val="21"/>
                <w:rFonts w:eastAsia="微软雅黑"/>
              </w:rPr>
              <w:t>概率</w:t>
            </w:r>
          </w:p>
        </w:tc>
        <w:tc>
          <w:tcPr>
            <w:tcW w:type="dxa" w:w="2379"/>
            <w:shd w:val="clear" w:color="auto" w:fill="E8EEF7"/>
          </w:tcPr>
          <w:p>
            <w:r/>
            <w:r>
              <w:rPr>
                <w:b/>
                <w:color w:val="1E3A5F"/>
                <w:sz w:val="21"/>
                <w:rFonts w:eastAsia="微软雅黑"/>
              </w:rPr>
              <w:t>影响</w:t>
            </w:r>
          </w:p>
        </w:tc>
        <w:tc>
          <w:tcPr>
            <w:tcW w:type="dxa" w:w="2379"/>
            <w:shd w:val="clear" w:color="auto" w:fill="E8EEF7"/>
          </w:tcPr>
          <w:p>
            <w:r/>
            <w:r>
              <w:rPr>
                <w:b/>
                <w:color w:val="1E3A5F"/>
                <w:sz w:val="21"/>
                <w:rFonts w:eastAsia="微软雅黑"/>
              </w:rPr>
              <w:t>对策</w:t>
            </w:r>
          </w:p>
        </w:tc>
      </w:tr>
      <w:tr>
        <w:tc>
          <w:tcPr>
            <w:tcW w:type="dxa" w:w="2379"/>
          </w:tcPr>
          <w:p>
            <w:r/>
            <w:r>
              <w:rPr>
                <w:sz w:val="21"/>
                <w:rFonts w:eastAsia="微软雅黑"/>
              </w:rPr>
              <w:t>数据获取限制</w:t>
            </w:r>
          </w:p>
        </w:tc>
        <w:tc>
          <w:tcPr>
            <w:tcW w:type="dxa" w:w="2379"/>
          </w:tcPr>
          <w:p>
            <w:r/>
            <w:r>
              <w:rPr>
                <w:sz w:val="21"/>
                <w:rFonts w:eastAsia="微软雅黑"/>
              </w:rPr>
              <w:t>高</w:t>
            </w:r>
          </w:p>
        </w:tc>
        <w:tc>
          <w:tcPr>
            <w:tcW w:type="dxa" w:w="2379"/>
          </w:tcPr>
          <w:p>
            <w:r/>
            <w:r>
              <w:rPr>
                <w:sz w:val="21"/>
                <w:rFonts w:eastAsia="微软雅黑"/>
              </w:rPr>
              <w:t>高</w:t>
            </w:r>
          </w:p>
        </w:tc>
        <w:tc>
          <w:tcPr>
            <w:tcW w:type="dxa" w:w="2379"/>
          </w:tcPr>
          <w:p>
            <w:r/>
            <w:r>
              <w:rPr>
                <w:sz w:val="21"/>
                <w:rFonts w:eastAsia="微软雅黑"/>
              </w:rPr>
              <w:t>寻求政府支持，建立数据共享机制</w:t>
            </w:r>
          </w:p>
        </w:tc>
      </w:tr>
      <w:tr>
        <w:tc>
          <w:tcPr>
            <w:tcW w:type="dxa" w:w="2379"/>
          </w:tcPr>
          <w:p>
            <w:r/>
            <w:r>
              <w:rPr>
                <w:sz w:val="21"/>
                <w:rFonts w:eastAsia="微软雅黑"/>
              </w:rPr>
              <w:t>议价能力较弱</w:t>
            </w:r>
          </w:p>
        </w:tc>
        <w:tc>
          <w:tcPr>
            <w:tcW w:type="dxa" w:w="2379"/>
          </w:tcPr>
          <w:p>
            <w:r/>
            <w:r>
              <w:rPr>
                <w:sz w:val="21"/>
                <w:rFonts w:eastAsia="微软雅黑"/>
              </w:rPr>
              <w:t>中</w:t>
            </w:r>
          </w:p>
        </w:tc>
        <w:tc>
          <w:tcPr>
            <w:tcW w:type="dxa" w:w="2379"/>
          </w:tcPr>
          <w:p>
            <w:r/>
            <w:r>
              <w:rPr>
                <w:sz w:val="21"/>
                <w:rFonts w:eastAsia="微软雅黑"/>
              </w:rPr>
              <w:t>中</w:t>
            </w:r>
          </w:p>
        </w:tc>
        <w:tc>
          <w:tcPr>
            <w:tcW w:type="dxa" w:w="2379"/>
          </w:tcPr>
          <w:p>
            <w:r/>
            <w:r>
              <w:rPr>
                <w:sz w:val="21"/>
                <w:rFonts w:eastAsia="微软雅黑"/>
              </w:rPr>
              <w:t>优化合作策略，提高议价成功率</w:t>
            </w:r>
          </w:p>
        </w:tc>
      </w:tr>
      <w:tr>
        <w:tc>
          <w:tcPr>
            <w:tcW w:type="dxa" w:w="2379"/>
          </w:tcPr>
          <w:p>
            <w:r/>
            <w:r>
              <w:rPr>
                <w:sz w:val="21"/>
                <w:rFonts w:eastAsia="微软雅黑"/>
              </w:rPr>
              <w:t>技术壁垒不高</w:t>
            </w:r>
          </w:p>
        </w:tc>
        <w:tc>
          <w:tcPr>
            <w:tcW w:type="dxa" w:w="2379"/>
          </w:tcPr>
          <w:p>
            <w:r/>
            <w:r>
              <w:rPr>
                <w:sz w:val="21"/>
                <w:rFonts w:eastAsia="微软雅黑"/>
              </w:rPr>
              <w:t>低</w:t>
            </w:r>
          </w:p>
        </w:tc>
        <w:tc>
          <w:tcPr>
            <w:tcW w:type="dxa" w:w="2379"/>
          </w:tcPr>
          <w:p>
            <w:r/>
            <w:r>
              <w:rPr>
                <w:sz w:val="21"/>
                <w:rFonts w:eastAsia="微软雅黑"/>
              </w:rPr>
              <w:t>高</w:t>
            </w:r>
          </w:p>
        </w:tc>
        <w:tc>
          <w:tcPr>
            <w:tcW w:type="dxa" w:w="2379"/>
          </w:tcPr>
          <w:p>
            <w:r/>
            <w:r>
              <w:rPr>
                <w:sz w:val="21"/>
                <w:rFonts w:eastAsia="微软雅黑"/>
              </w:rPr>
              <w:t>持续创新，提高技术专利数量</w:t>
            </w:r>
          </w:p>
        </w:tc>
      </w:tr>
    </w:tbl>
    <w:p>
      <w:r>
        <w:rPr>
          <w:color w:val="22262E"/>
          <w:sz w:val="22"/>
          <w:rFonts w:eastAsia="微软雅黑"/>
        </w:rPr>
        <w:t>CityInsight 需要通过上述策略，降低关键未验证假设带来的风险，确保项目的顺利推进。</w:t>
      </w:r>
    </w:p>
    <w:p>
      <w:pPr>
        <w:pStyle w:val="Heading3"/>
      </w:pPr>
      <w:r>
        <w:rPr>
          <w:rFonts w:ascii="宋体" w:hAnsi="宋体" w:eastAsia="宋体"/>
          <w:color w:val="455A7D"/>
        </w:rPr>
        <w:t>验证路径与应对预案</w:t>
      </w:r>
    </w:p>
    <w:p>
      <w:r>
        <w:rPr>
          <w:color w:val="22262E"/>
          <w:sz w:val="22"/>
          <w:rFonts w:eastAsia="微软雅黑"/>
        </w:rPr>
        <w:t>CityInsight 通过合作方渠道获取更多数据，提高数据覆盖度，以验证关键假设并降低风险。据艾瑞咨询《2024 中国智慧交通行业报告》数据显示，通过多源数据诊断可以显著提升交通问题的识别准确率和解决方案的有效性。CityInsight 计划与至少 5 家集成商和高校建立紧密合作关系，通过这些合作方渠道，CityInsight 能够获取更多不同场景下的交通数据，从而提高数据覆盖度，增强解决方案的普适性和有效性。此外，通过合作方渠道，CityInsight 还可以降低单个数据接入成本，预计每接入一个新数据源的成本可降低 10% 至 20%，进而提升整体项目的经济性。</w:t>
      </w:r>
    </w:p>
    <w:p>
      <w:r>
        <w:rPr>
          <w:color w:val="22262E"/>
          <w:sz w:val="22"/>
          <w:rFonts w:eastAsia="微软雅黑"/>
        </w:rPr>
        <w:t>CityInsight 还将通过提高议价谈判能力，增强市场竞争力，以应对议价能力较弱的风险。据行业典型水平，提高议价谈判能力通常需要与至少 10 家潜在合作方进行深入谈判，以获取有利的合作条件。CityInsight 计划在接下来的半年内，通过培训团队成员掌握议价技巧，提高议价成功率至 70% 以上，从而在与集成商和高校的合作中争取更有利的价格和条款。这不仅有助于降低获取数据和接入现有系统的成本，还能增强 CityInsight 在市场上的议价能力，提升整体竞争力。</w:t>
      </w:r>
    </w:p>
    <w:p>
      <w:r>
        <w:rPr>
          <w:color w:val="22262E"/>
          <w:sz w:val="22"/>
          <w:rFonts w:eastAsia="微软雅黑"/>
        </w:rPr>
        <w:t>CityInsight 还将通过加强技术积累，提高技术壁垒，以应对技术壁垒不高的风险。据行业典型水平，技术壁垒的提升通常需要积累至少 10 项技术专利。CityInsight 计划在未来一年内，通过加大研发投入，申请至少 15 项技术专利，涵盖交通分析、策略生成和效果评估的核心技术。此举不仅能提高 CityInsight 的技术壁垒，还能在法律层面保护其知识产权，避免潜在的侵权纠纷。此外，通过技术积累，CityInsight 还能增强其解决方案的差异化优势，提高市场竞争力。应急预案分级框架显示，CityInsight 将根据风险等级制定不同级别的应对预案，确保在面对数据获取限制、议价能力较弱和技术壁垒不高等风险时，能够迅速采取有效措施，降低风险影响。</w:t>
      </w:r>
    </w:p>
    <w:p>
      <w:pPr>
        <w:pStyle w:val="Heading1"/>
      </w:pPr>
      <w:r>
        <w:rPr>
          <w:rFonts w:ascii="宋体" w:hAnsi="宋体" w:eastAsia="宋体"/>
          <w:color w:val="1E3A5F"/>
        </w:rPr>
        <w:t>第 10 章  阶段目标与下一步行动</w:t>
      </w:r>
    </w:p>
    <w:p>
      <w:pPr>
        <w:pStyle w:val="Heading3"/>
      </w:pPr>
      <w:r>
        <w:rPr>
          <w:rFonts w:ascii="宋体" w:hAnsi="宋体" w:eastAsia="宋体"/>
          <w:color w:val="455A7D"/>
        </w:rPr>
        <w:t>近期里程碑与行动</w:t>
      </w:r>
    </w:p>
    <w:p>
      <w:r>
        <w:rPr>
          <w:color w:val="22262E"/>
          <w:sz w:val="22"/>
          <w:rFonts w:eastAsia="微软雅黑"/>
        </w:rPr>
        <w:t>CityInsight 计划在接下来的 3 个月内完成 5-10 个试点项目，以验证其交通优化方案的有效性。据行业典型水平显示，试点项目成功率通常在 70%-80% 之间，CityInsight 将通过紧密监控和优化，确保至少 80% 的试点项目成功完成。在此阶段，CityInsight 将采用阶段 OKR 分析框架，确保所有目标和关键结果明确且可衡量。通过这一过程，CityInsight 将收集关键数据，以优化产品功能，提升用户体验。据艾瑞咨询《2024 中国智慧交通行业报告》数据显示，交通优化方案的成功实施通常需要多次迭代，行业典型水平为每季度 2-3 次迭代。CityInsight 预计在该阶段进行 4-5 次产品功能优化，以确保技术可行性和商业价值。</w:t>
      </w:r>
    </w:p>
    <w:p>
      <w:r>
        <w:rPr>
          <w:color w:val="22262E"/>
          <w:sz w:val="22"/>
          <w:rFonts w:eastAsia="微软雅黑"/>
        </w:rPr>
        <w:t>在试点项目实施过程中，CityInsight 将与合作方密切合作，确保试点项目的顺利进行和成功落地。据行业典型水平显示，客户满意度通常通过问卷调查获得，评分范围在 7-9 分之间（满分 10 分）。CityInsight 计划通过问卷调查获得的平均评分不低于 8 分，以确保客户对产品功能和实施效果的认可。通过与合作方的紧密协作，CityInsight 将确保试点项目的成功落地，从而为后续的商业推广奠定坚实基础。</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里程碑</w:t>
            </w:r>
          </w:p>
        </w:tc>
        <w:tc>
          <w:tcPr>
            <w:tcW w:type="dxa" w:w="3173"/>
            <w:shd w:val="clear" w:color="auto" w:fill="E8EEF7"/>
          </w:tcPr>
          <w:p>
            <w:r/>
            <w:r>
              <w:rPr>
                <w:b/>
                <w:color w:val="1E3A5F"/>
                <w:sz w:val="21"/>
                <w:rFonts w:eastAsia="微软雅黑"/>
              </w:rPr>
              <w:t>目标</w:t>
            </w:r>
          </w:p>
        </w:tc>
        <w:tc>
          <w:tcPr>
            <w:tcW w:type="dxa" w:w="3173"/>
            <w:shd w:val="clear" w:color="auto" w:fill="E8EEF7"/>
          </w:tcPr>
          <w:p>
            <w:r/>
            <w:r>
              <w:rPr>
                <w:b/>
                <w:color w:val="1E3A5F"/>
                <w:sz w:val="21"/>
                <w:rFonts w:eastAsia="微软雅黑"/>
              </w:rPr>
              <w:t>预期结果</w:t>
            </w:r>
          </w:p>
        </w:tc>
      </w:tr>
      <w:tr>
        <w:tc>
          <w:tcPr>
            <w:tcW w:type="dxa" w:w="3173"/>
          </w:tcPr>
          <w:p>
            <w:r/>
            <w:r>
              <w:rPr>
                <w:sz w:val="21"/>
                <w:rFonts w:eastAsia="微软雅黑"/>
              </w:rPr>
              <w:t>试点项目数量</w:t>
            </w:r>
          </w:p>
        </w:tc>
        <w:tc>
          <w:tcPr>
            <w:tcW w:type="dxa" w:w="3173"/>
          </w:tcPr>
          <w:p>
            <w:r/>
            <w:r>
              <w:rPr>
                <w:sz w:val="21"/>
                <w:rFonts w:eastAsia="微软雅黑"/>
              </w:rPr>
              <w:t>5-10 个</w:t>
            </w:r>
          </w:p>
        </w:tc>
        <w:tc>
          <w:tcPr>
            <w:tcW w:type="dxa" w:w="3173"/>
          </w:tcPr>
          <w:p>
            <w:r/>
            <w:r>
              <w:rPr>
                <w:sz w:val="21"/>
                <w:rFonts w:eastAsia="微软雅黑"/>
              </w:rPr>
              <w:t>至少 80% 的试点项目成功完成</w:t>
            </w:r>
          </w:p>
        </w:tc>
      </w:tr>
      <w:tr>
        <w:tc>
          <w:tcPr>
            <w:tcW w:type="dxa" w:w="3173"/>
          </w:tcPr>
          <w:p>
            <w:r/>
            <w:r>
              <w:rPr>
                <w:sz w:val="21"/>
                <w:rFonts w:eastAsia="微软雅黑"/>
              </w:rPr>
              <w:t>产品功能优化次数</w:t>
            </w:r>
          </w:p>
        </w:tc>
        <w:tc>
          <w:tcPr>
            <w:tcW w:type="dxa" w:w="3173"/>
          </w:tcPr>
          <w:p>
            <w:r/>
            <w:r>
              <w:rPr>
                <w:sz w:val="21"/>
                <w:rFonts w:eastAsia="微软雅黑"/>
              </w:rPr>
              <w:t>4-5 次</w:t>
            </w:r>
          </w:p>
        </w:tc>
        <w:tc>
          <w:tcPr>
            <w:tcW w:type="dxa" w:w="3173"/>
          </w:tcPr>
          <w:p>
            <w:r/>
            <w:r>
              <w:rPr>
                <w:sz w:val="21"/>
                <w:rFonts w:eastAsia="微软雅黑"/>
              </w:rPr>
              <w:t>每次迭代后功能显著提升</w:t>
            </w:r>
          </w:p>
        </w:tc>
      </w:tr>
      <w:tr>
        <w:tc>
          <w:tcPr>
            <w:tcW w:type="dxa" w:w="3173"/>
          </w:tcPr>
          <w:p>
            <w:r/>
            <w:r>
              <w:rPr>
                <w:sz w:val="21"/>
                <w:rFonts w:eastAsia="微软雅黑"/>
              </w:rPr>
              <w:t>客户满意度评分</w:t>
            </w:r>
          </w:p>
        </w:tc>
        <w:tc>
          <w:tcPr>
            <w:tcW w:type="dxa" w:w="3173"/>
          </w:tcPr>
          <w:p>
            <w:r/>
            <w:r>
              <w:rPr>
                <w:sz w:val="21"/>
                <w:rFonts w:eastAsia="微软雅黑"/>
              </w:rPr>
              <w:t>≥8 分</w:t>
            </w:r>
          </w:p>
        </w:tc>
        <w:tc>
          <w:tcPr>
            <w:tcW w:type="dxa" w:w="3173"/>
          </w:tcPr>
          <w:p>
            <w:r/>
            <w:r>
              <w:rPr>
                <w:sz w:val="21"/>
                <w:rFonts w:eastAsia="微软雅黑"/>
              </w:rPr>
              <w:t>通过问卷调查获得平均评分不低于 8 分</w:t>
            </w:r>
          </w:p>
        </w:tc>
      </w:tr>
    </w:tbl>
    <w:p>
      <w:r>
        <w:rPr>
          <w:color w:val="22262E"/>
          <w:sz w:val="22"/>
          <w:rFonts w:eastAsia="微软雅黑"/>
        </w:rPr>
        <w:t>通过上述措施，CityInsight 将确保在接下来的 3 个月内达成既定目标，为后续的商业推广和市场扩展奠定坚实基础。</w:t>
      </w:r>
    </w:p>
    <w:p>
      <w:pPr>
        <w:pStyle w:val="Heading3"/>
      </w:pPr>
      <w:r>
        <w:rPr>
          <w:rFonts w:ascii="宋体" w:hAnsi="宋体" w:eastAsia="宋体"/>
          <w:color w:val="455A7D"/>
        </w:rPr>
        <w:t>中期路线图与关键指标</w:t>
      </w:r>
    </w:p>
    <w:p>
      <w:r>
        <w:rPr>
          <w:color w:val="22262E"/>
          <w:sz w:val="22"/>
          <w:rFonts w:eastAsia="微软雅黑"/>
        </w:rPr>
        <w:t>CityInsight 在接下来的 6-12 个月内，将通过一系列市场推广活动扩大市场覆盖，触达更多潜在客户。据艾瑞咨询《2024 中国智慧交通行业报告》数据显示，中国高校约3000所，中大型园区约2万所，假设仅10%具备付费能力，市场潜在规模约为2300个单位。CityInsight 计划通过合作方渠道（集成商/高校关系）和竞赛资源，接触并试点100个潜在客户，完成A/B测试后，预计有10个客户愿意付费。通过这些活动，CityInsight 预计将新触达约50-100个潜在客户，显著提升市场覆盖度。这不仅有助于验证市场需求，还将为未来的规模化扩张奠定基础。</w:t>
      </w:r>
    </w:p>
    <w:p>
      <w:r>
        <w:rPr>
          <w:color w:val="22262E"/>
          <w:sz w:val="22"/>
          <w:rFonts w:eastAsia="微软雅黑"/>
        </w:rPr>
        <w:t>CityInsight 将通过提升品牌知名度，吸引更多合作伙伴和客户。据国家统计局 2023 年数据表明，中国智慧交通市场正在迅速增长，预计到2025年市场规模将达到1200亿元。CityInsight 将利用合作伙伴关系和市场调研，提升品牌知名度，目标是在接下来的6-12个月内，通过市场调研获得品牌知名度评分提升至行业典型水平的70%以上。品牌知名度的提升将有助于吸引更多合作伙伴和客户，进一步巩固市场地位。CityInsight 的北极星指标是市场覆盖度，输入指标包括新触达的客户数量和品牌知名度评分，这些指标将直接反映市场推广活动的效果。</w:t>
      </w:r>
    </w:p>
    <w:p>
      <w:r>
        <w:rPr>
          <w:color w:val="22262E"/>
          <w:sz w:val="22"/>
          <w:rFonts w:eastAsia="微软雅黑"/>
        </w:rPr>
        <w:t>CityInsight 计划与智慧交通集成商等建立长期合作关系，构建合作生态。据艾瑞咨询《2024 中国智慧交通行业报告》数据显示，智慧交通集成商在市场中扮演着重要角色，能够帮助初创公司快速进入市场并扩大影响力。CityInsight 将与至少5家智慧交通集成商建立合作关系，通过嵌入现有系统，实现低摩擦接入和快速交付。这些合作将有助于CityInsight 进一步提升品牌知名度，扩大市场覆盖度，并实现可持续增长。CityInsight 的北极星指标是合作伙伴数量，输入指标包括新建立的合作关系数量，这将直接反映合作生态的构建情况。</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808080"/>
        <w:sz w:val="18"/>
        <w:rFonts w:eastAsia="微软雅黑"/>
      </w:rPr>
      <w:t>智慧城市数据分析平台项目探讨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