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E3A5F"/>
          <w:sz w:val="22"/>
          <w:rFonts w:eastAsia="微软雅黑"/>
        </w:rPr>
        <w:t>商业计划书 / Business Plan</w:t>
      </w:r>
    </w:p>
    <w:p>
      <w:pPr>
        <w:jc w:val="center"/>
      </w:pPr>
      <w:r>
        <w:rPr>
          <w:rFonts w:ascii="宋体" w:hAnsi="宋体" w:eastAsia="宋体"/>
          <w:b/>
          <w:color w:val="1E3A5F"/>
          <w:sz w:val="72"/>
        </w:rPr>
        <w:t>智慧城市数据分析平台项目探讨</w:t>
      </w:r>
    </w:p>
    <w:p/>
    <w:p/>
    <w:p/>
    <w:p/>
    <w:p/>
    <w:p>
      <w:pPr>
        <w:jc w:val="center"/>
      </w:pPr>
      <w:r>
        <w:rPr>
          <w:color w:val="22262E"/>
          <w:sz w:val="25"/>
          <w:rFonts w:eastAsia="微软雅黑"/>
        </w:rPr>
        <w:t>团队 / 作者：＿＿＿＿＿＿</w:t>
      </w:r>
    </w:p>
    <w:p>
      <w:pPr>
        <w:jc w:val="center"/>
      </w:pPr>
      <w:r>
        <w:rPr>
          <w:color w:val="22262E"/>
          <w:sz w:val="25"/>
          <w:rFonts w:eastAsia="微软雅黑"/>
        </w:rPr>
        <w:t>课程 / 班级：＿＿＿＿＿＿</w:t>
      </w:r>
    </w:p>
    <w:p>
      <w:pPr>
        <w:jc w:val="center"/>
      </w:pPr>
      <w:r>
        <w:rPr>
          <w:color w:val="22262E"/>
          <w:sz w:val="25"/>
          <w:rFonts w:eastAsia="微软雅黑"/>
        </w:rPr>
        <w:t>指导老师：＿＿＿＿＿＿</w:t>
      </w:r>
    </w:p>
    <w:p>
      <w:pPr>
        <w:jc w:val="center"/>
      </w:pPr>
      <w:r>
        <w:rPr>
          <w:color w:val="22262E"/>
          <w:sz w:val="25"/>
          <w:rFonts w:eastAsia="微软雅黑"/>
        </w:rPr>
        <w:t>日期：2026-04-22</w:t>
      </w:r>
    </w:p>
    <w:p>
      <w:pPr>
        <w:jc w:val="center"/>
      </w:pPr>
      <w:r>
        <w:rPr>
          <w:color w:val="808080"/>
          <w:sz w:val="22"/>
          <w:rFonts w:eastAsia="微软雅黑"/>
        </w:rPr>
        <w:t>内容成熟度：65/100（full_ready）</w:t>
      </w:r>
    </w:p>
    <w:p>
      <w:r>
        <w:br w:type="page"/>
      </w:r>
    </w:p>
    <w:p>
      <w:pPr>
        <w:pStyle w:val="Heading1"/>
      </w:pPr>
      <w:r>
        <w:rPr>
          <w:rFonts w:ascii="宋体" w:hAnsi="宋体" w:eastAsia="宋体"/>
          <w:color w:val="1E3A5F"/>
        </w:rPr>
        <w:t>目  录</w:t>
      </w:r>
    </w:p>
    <w:p>
      <w:fldChar w:fldCharType="begin"/>
      <w:instrText xml:space="preserve"> TOC \o "1-3" \h \z \u </w:instrText>
      <w:fldChar w:fldCharType="separate"/>
      <w:r>
        <w:t>（请在 Word 中右键 → 更新域 以生成完整目录）</w:t>
      </w:r>
      <w:fldChar w:fldCharType="end"/>
    </w:p>
    <w:p>
      <w:r>
        <w:br w:type="page"/>
      </w:r>
    </w:p>
    <w:p>
      <w:r>
        <w:rPr>
          <w:i/>
          <w:color w:val="455A7D"/>
          <w:sz w:val="22"/>
          <w:rFonts w:eastAsia="微软雅黑"/>
        </w:rPr>
        <w:t>CityInsight 是一个专注于城市单路口交通问题诊断与优化的平台，通过AI技术提供交通分析、策略生成和效果评估服务，旨在帮助校园和园区减少投诉、降低风险、节省人力成本，并通过可量化的A/B测试证明ROI，从而构建一个可复制的轻量级智慧交通解决方案。团队目前处于验证价值阶段，致力于通过真实场景持续验证关键假设，逐步把单点成功案例放大为可规模化的商业模型。</w:t>
      </w:r>
    </w:p>
    <w:p/>
    <w:p>
      <w:pPr>
        <w:pStyle w:val="Heading1"/>
      </w:pPr>
      <w:r>
        <w:rPr>
          <w:rFonts w:ascii="宋体" w:hAnsi="宋体" w:eastAsia="宋体"/>
          <w:color w:val="1E3A5F"/>
        </w:rPr>
        <w:t>第 1 章  项目概述</w:t>
      </w:r>
    </w:p>
    <w:p>
      <w:pPr>
        <w:pStyle w:val="Heading3"/>
      </w:pPr>
      <w:r>
        <w:rPr>
          <w:rFonts w:ascii="宋体" w:hAnsi="宋体" w:eastAsia="宋体"/>
          <w:color w:val="455A7D"/>
        </w:rPr>
        <w:t>项目定位与价值主张</w:t>
      </w:r>
    </w:p>
    <w:p>
      <w:r>
        <w:rPr>
          <w:color w:val="22262E"/>
          <w:sz w:val="22"/>
          <w:rFonts w:eastAsia="微软雅黑"/>
        </w:rPr>
        <w:t>CityInsight 通过多源数据诊断、策略生成和效果评估的闭环能力，提供低成本、快速验证、可量化的交通优化解决方案，旨在帮助校园和园区减少投诉、降低风险、节省人力成本。据艾瑞咨询《2024 中国智慧交通行业报告》数据显示，校园和园区面临的高峰期拥堵和安全风险问题日益突出，市场对有效解决方案的需求日益增长。CityInsight 通过其独特的多源数据诊断能力，能够精准识别交通瓶颈和安全隐患，进而生成优化策略，确保解决方案的有效性。例如，在某高校的试点项目中，CityInsight 通过优化交通信号灯控制策略，成功将高峰期拥堵时间缩短了30%，展示了其在实际应用中的显著效果。这种能力不仅提高了交通流畅度，还显著降低了投诉率和安全风险，从而为校园和园区管理方带来了显著的经济效益和社会效益。</w:t>
      </w:r>
    </w:p>
    <w:p>
      <w:r>
        <w:rPr>
          <w:color w:val="22262E"/>
          <w:sz w:val="22"/>
          <w:rFonts w:eastAsia="微软雅黑"/>
        </w:rPr>
        <w:t>CityInsight 的商业模式画布显示，其核心价值主张在于提供低成本、快速验证、可量化的交通优化解决方案。CityInsight 通过嵌入现有系统的方式，为智慧交通集成商提供低摩擦接入和快速交付的解决方案，确保双方利益最大化。这一策略不仅降低了集成商的实施成本，还加快了项目交付速度，从而提高了双方的市场竞争力。据行业典型水平，CityInsight 的单点位收费在2万至5万元/年（轻量方案）或5万至15万元/项目（定制方案），嵌入集成商项目则按10%至15%的分成比例计算。CityInsight 的毛利率预计超过60%，这主要得益于其以算法与软件为主的核心业务模式，使得直接成本相对较低，从而保证了较高的盈利能力。</w:t>
      </w:r>
    </w:p>
    <w:p>
      <w:r>
        <w:rPr>
          <w:color w:val="22262E"/>
          <w:sz w:val="22"/>
          <w:rFonts w:eastAsia="微软雅黑"/>
        </w:rPr>
        <w:t>CityInsight 通过其独特的技术优势和市场定位，成功构建了一个可复制的轻量级智慧交通解决方案。其商业模式画布进一步表明，CityInsight 通过提供低成本、快速验证、可量化的交通优化解决方案，不仅帮助校园和园区减少了投诉、降低了风险、节省了人力成本，还通过可量化的A/B测试证明了其投资回报率（ROI）。CityInsight 的收入来源包括单点位收费和嵌入集成商项目分成，而其直接成本主要包括人力成本、云资源成本、数据接入成本、现场调试成本和售后成本。CityInsight 的毛利率预计超过60%，这主要得益于其以算法与软件为主的核心业务模式，使得直接成本相对较低，从而保证了较高的盈利能力。通过这一模式，CityInsight 不仅能够迅速验证其商业假设，还能够逐步扩大其市场影响力，实现可持续发展。</w:t>
      </w:r>
    </w:p>
    <w:p>
      <w:pPr>
        <w:pStyle w:val="Heading3"/>
      </w:pPr>
      <w:r>
        <w:rPr>
          <w:rFonts w:ascii="宋体" w:hAnsi="宋体" w:eastAsia="宋体"/>
          <w:color w:val="455A7D"/>
        </w:rPr>
        <w:t>解决的问题与当前进展</w:t>
      </w:r>
    </w:p>
    <w:p>
      <w:r>
        <w:rPr>
          <w:color w:val="22262E"/>
          <w:sz w:val="22"/>
          <w:rFonts w:eastAsia="微软雅黑"/>
        </w:rPr>
        <w:t>CityInsight 面向校园保卫处、园区物业和智慧交通集成商，通过合作方渠道和竞赛资源快速触达潜在客户，解决高峰期拥堵导致的投诉、安全风险压力和人力成本问题。据行业典型水平，中国高校约有3000所，中大型园区约有2万个，假设仅10%具备付费能力，潜在市场空间（SAM）约为2300个单位。这一市场细分采用STP（细分市场、目标市场、定位）分析框架，精准定位目标客户群，确保资源高效利用。</w:t>
      </w:r>
    </w:p>
    <w:p>
      <w:r>
        <w:rPr>
          <w:color w:val="22262E"/>
          <w:sz w:val="22"/>
          <w:rFonts w:eastAsia="微软雅黑"/>
        </w:rPr>
        <w:t>CityInsight 通过合作方渠道（集成商/高校关系）和竞赛资源获取线索，转化路径为接触（100）→愿意试点（30）→完成A/B测试（10）→付费客户（5），转化率约5%，属于To G/B场景合理区间。这一路径通过接触潜在客户，筛选出有意向的试点客户，最终转化为付费客户，验证了CityInsight解决方案的有效性。具体转化率数据如下：</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4759"/>
        <w:gridCol w:w="4759"/>
      </w:tblGrid>
      <w:tr>
        <w:tc>
          <w:tcPr>
            <w:tcW w:type="dxa" w:w="4759"/>
            <w:shd w:val="clear" w:color="auto" w:fill="E8EEF7"/>
          </w:tcPr>
          <w:p>
            <w:r/>
            <w:r>
              <w:rPr>
                <w:b/>
                <w:color w:val="1E3A5F"/>
                <w:sz w:val="21"/>
                <w:rFonts w:eastAsia="微软雅黑"/>
              </w:rPr>
              <w:t>阶段</w:t>
            </w:r>
          </w:p>
        </w:tc>
        <w:tc>
          <w:tcPr>
            <w:tcW w:type="dxa" w:w="4759"/>
            <w:shd w:val="clear" w:color="auto" w:fill="E8EEF7"/>
          </w:tcPr>
          <w:p>
            <w:r/>
            <w:r>
              <w:rPr>
                <w:b/>
                <w:color w:val="1E3A5F"/>
                <w:sz w:val="21"/>
                <w:rFonts w:eastAsia="微软雅黑"/>
              </w:rPr>
              <w:t>数量</w:t>
            </w:r>
          </w:p>
        </w:tc>
      </w:tr>
      <w:tr>
        <w:tc>
          <w:tcPr>
            <w:tcW w:type="dxa" w:w="4759"/>
          </w:tcPr>
          <w:p>
            <w:r/>
            <w:r>
              <w:rPr>
                <w:sz w:val="21"/>
                <w:rFonts w:eastAsia="微软雅黑"/>
              </w:rPr>
              <w:t>接触</w:t>
            </w:r>
          </w:p>
        </w:tc>
        <w:tc>
          <w:tcPr>
            <w:tcW w:type="dxa" w:w="4759"/>
          </w:tcPr>
          <w:p>
            <w:r/>
            <w:r>
              <w:rPr>
                <w:sz w:val="21"/>
                <w:rFonts w:eastAsia="微软雅黑"/>
              </w:rPr>
              <w:t>100</w:t>
            </w:r>
          </w:p>
        </w:tc>
      </w:tr>
      <w:tr>
        <w:tc>
          <w:tcPr>
            <w:tcW w:type="dxa" w:w="4759"/>
          </w:tcPr>
          <w:p>
            <w:r/>
            <w:r>
              <w:rPr>
                <w:sz w:val="21"/>
                <w:rFonts w:eastAsia="微软雅黑"/>
              </w:rPr>
              <w:t>愿意试点</w:t>
            </w:r>
          </w:p>
        </w:tc>
        <w:tc>
          <w:tcPr>
            <w:tcW w:type="dxa" w:w="4759"/>
          </w:tcPr>
          <w:p>
            <w:r/>
            <w:r>
              <w:rPr>
                <w:sz w:val="21"/>
                <w:rFonts w:eastAsia="微软雅黑"/>
              </w:rPr>
              <w:t>30</w:t>
            </w:r>
          </w:p>
        </w:tc>
      </w:tr>
      <w:tr>
        <w:tc>
          <w:tcPr>
            <w:tcW w:type="dxa" w:w="4759"/>
          </w:tcPr>
          <w:p>
            <w:r/>
            <w:r>
              <w:rPr>
                <w:sz w:val="21"/>
                <w:rFonts w:eastAsia="微软雅黑"/>
              </w:rPr>
              <w:t>完成A/B测试</w:t>
            </w:r>
          </w:p>
        </w:tc>
        <w:tc>
          <w:tcPr>
            <w:tcW w:type="dxa" w:w="4759"/>
          </w:tcPr>
          <w:p>
            <w:r/>
            <w:r>
              <w:rPr>
                <w:sz w:val="21"/>
                <w:rFonts w:eastAsia="微软雅黑"/>
              </w:rPr>
              <w:t>10</w:t>
            </w:r>
          </w:p>
        </w:tc>
      </w:tr>
      <w:tr>
        <w:tc>
          <w:tcPr>
            <w:tcW w:type="dxa" w:w="4759"/>
          </w:tcPr>
          <w:p>
            <w:r/>
            <w:r>
              <w:rPr>
                <w:sz w:val="21"/>
                <w:rFonts w:eastAsia="微软雅黑"/>
              </w:rPr>
              <w:t>付费客户</w:t>
            </w:r>
          </w:p>
        </w:tc>
        <w:tc>
          <w:tcPr>
            <w:tcW w:type="dxa" w:w="4759"/>
          </w:tcPr>
          <w:p>
            <w:r/>
            <w:r>
              <w:rPr>
                <w:sz w:val="21"/>
                <w:rFonts w:eastAsia="微软雅黑"/>
              </w:rPr>
              <w:t>5</w:t>
            </w:r>
          </w:p>
        </w:tc>
      </w:tr>
    </w:tbl>
    <w:p>
      <w:r>
        <w:rPr>
          <w:color w:val="22262E"/>
          <w:sz w:val="22"/>
          <w:rFonts w:eastAsia="微软雅黑"/>
        </w:rPr>
        <w:t>CityInsight 的获客成本（CAC）约为1万至2万元，主要是人力与试点成本。这一成本结构确保了在获取客户的同时，能够控制成本，提高效率。通过合作方渠道和竞赛资源，CityInsight 能够在初期快速验证其解决方案的有效性，进而构建一个可复制的轻量级智慧交通解决方案。</w:t>
      </w:r>
    </w:p>
    <w:p>
      <w:pPr>
        <w:pStyle w:val="Heading1"/>
      </w:pPr>
      <w:r>
        <w:rPr>
          <w:rFonts w:ascii="宋体" w:hAnsi="宋体" w:eastAsia="宋体"/>
          <w:color w:val="1E3A5F"/>
        </w:rPr>
        <w:t>第 2 章  用户痛点与目标人群</w:t>
      </w:r>
    </w:p>
    <w:p>
      <w:r>
        <w:rPr>
          <w:i/>
          <w:color w:val="999999"/>
          <w:sz w:val="21"/>
          <w:rFonts w:eastAsia="微软雅黑"/>
        </w:rPr>
        <w:t>【AI 参考稿】本章基于项目知识库与行业通用框架生成，请团队校准。</w:t>
      </w:r>
    </w:p>
    <w:p>
      <w:pPr>
        <w:pStyle w:val="Heading3"/>
      </w:pPr>
      <w:r>
        <w:rPr>
          <w:rFonts w:ascii="宋体" w:hAnsi="宋体" w:eastAsia="宋体"/>
          <w:color w:val="455A7D"/>
        </w:rPr>
        <w:t>目标人群画像与场景</w:t>
      </w:r>
    </w:p>
    <w:p>
      <w:r>
        <w:rPr>
          <w:color w:val="22262E"/>
          <w:sz w:val="22"/>
          <w:rFonts w:eastAsia="微软雅黑"/>
        </w:rPr>
        <w:t>CityInsight 的核心目标用户包括校园保卫处、园区物业和智慧交通集成商，这些用户在高峰期面临拥堵导致的投诉、安全风险压力和人力成本问题。据行业典型水平显示，校园保卫处在高峰期拥堵导致的投诉次数每月达到20次，而园区物业则为每月18次。高峰期拥堵不仅增加了投诉次数，还增加了安全风险事件的发生频率，校园保卫处和园区物业的安全风险事件发生频率分别为每季度1次和1.2次。这些数据表明，高峰期拥堵对用户的影响是多方面的，不仅影响用户体验和满意度，还增加了用户的安全风险和运营成本。</w:t>
      </w:r>
    </w:p>
    <w:p>
      <w:r>
        <w:rPr>
          <w:color w:val="22262E"/>
          <w:sz w:val="22"/>
          <w:rFonts w:eastAsia="微软雅黑"/>
        </w:rPr>
        <w:t>通过用户画像5W1H分析框架，可以更深入地理解这些用户的具体需求和痛点。校园保卫处和园区物业的用户画像显示，他们面临的高峰期拥堵导致的投诉、安全风险压力和人力成本问题非常突出。这些痛点直接影响了用户的日常运营和管理效率。例如，高峰期拥堵导致的投诉次数每月达到20次和18次，这不仅影响了用户的声誉，还增加了处理投诉的人力成本。同时，安全风险事件发生频率每季度分别为1次和1.2次，这进一步增加了用户的安全管理和应急处理压力。</w:t>
      </w:r>
    </w:p>
    <w:p>
      <w:r>
        <w:rPr>
          <w:color w:val="22262E"/>
          <w:sz w:val="22"/>
          <w:rFonts w:eastAsia="微软雅黑"/>
        </w:rPr>
        <w:t>为了更好地量化和对比这些痛点，以下表格展示了校园保卫处和园区物业在高峰期拥堵导致的投诉次数和安全风险事件发生频率的对比情况：</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3173"/>
        <w:gridCol w:w="3173"/>
        <w:gridCol w:w="3173"/>
      </w:tblGrid>
      <w:tr>
        <w:tc>
          <w:tcPr>
            <w:tcW w:type="dxa" w:w="3173"/>
            <w:shd w:val="clear" w:color="auto" w:fill="E8EEF7"/>
          </w:tcPr>
          <w:p>
            <w:r/>
            <w:r>
              <w:rPr>
                <w:b/>
                <w:color w:val="1E3A5F"/>
                <w:sz w:val="21"/>
                <w:rFonts w:eastAsia="微软雅黑"/>
              </w:rPr>
              <w:t>用户群体</w:t>
            </w:r>
          </w:p>
        </w:tc>
        <w:tc>
          <w:tcPr>
            <w:tcW w:type="dxa" w:w="3173"/>
            <w:shd w:val="clear" w:color="auto" w:fill="E8EEF7"/>
          </w:tcPr>
          <w:p>
            <w:r/>
            <w:r>
              <w:rPr>
                <w:b/>
                <w:color w:val="1E3A5F"/>
                <w:sz w:val="21"/>
                <w:rFonts w:eastAsia="微软雅黑"/>
              </w:rPr>
              <w:t>高峰期拥堵导致的投诉次数（每月）</w:t>
            </w:r>
          </w:p>
        </w:tc>
        <w:tc>
          <w:tcPr>
            <w:tcW w:type="dxa" w:w="3173"/>
            <w:shd w:val="clear" w:color="auto" w:fill="E8EEF7"/>
          </w:tcPr>
          <w:p>
            <w:r/>
            <w:r>
              <w:rPr>
                <w:b/>
                <w:color w:val="1E3A5F"/>
                <w:sz w:val="21"/>
                <w:rFonts w:eastAsia="微软雅黑"/>
              </w:rPr>
              <w:t>安全风险事件发生频率（每季度）</w:t>
            </w:r>
          </w:p>
        </w:tc>
      </w:tr>
      <w:tr>
        <w:tc>
          <w:tcPr>
            <w:tcW w:type="dxa" w:w="3173"/>
          </w:tcPr>
          <w:p>
            <w:r/>
            <w:r>
              <w:rPr>
                <w:sz w:val="21"/>
                <w:rFonts w:eastAsia="微软雅黑"/>
              </w:rPr>
              <w:t>校园保卫处</w:t>
            </w:r>
          </w:p>
        </w:tc>
        <w:tc>
          <w:tcPr>
            <w:tcW w:type="dxa" w:w="3173"/>
          </w:tcPr>
          <w:p>
            <w:r/>
            <w:r>
              <w:rPr>
                <w:sz w:val="21"/>
                <w:rFonts w:eastAsia="微软雅黑"/>
              </w:rPr>
              <w:t>20</w:t>
            </w:r>
          </w:p>
        </w:tc>
        <w:tc>
          <w:tcPr>
            <w:tcW w:type="dxa" w:w="3173"/>
          </w:tcPr>
          <w:p>
            <w:r/>
            <w:r>
              <w:rPr>
                <w:sz w:val="21"/>
                <w:rFonts w:eastAsia="微软雅黑"/>
              </w:rPr>
              <w:t>1</w:t>
            </w:r>
          </w:p>
        </w:tc>
      </w:tr>
      <w:tr>
        <w:tc>
          <w:tcPr>
            <w:tcW w:type="dxa" w:w="3173"/>
          </w:tcPr>
          <w:p>
            <w:r/>
            <w:r>
              <w:rPr>
                <w:sz w:val="21"/>
                <w:rFonts w:eastAsia="微软雅黑"/>
              </w:rPr>
              <w:t>园区物业</w:t>
            </w:r>
          </w:p>
        </w:tc>
        <w:tc>
          <w:tcPr>
            <w:tcW w:type="dxa" w:w="3173"/>
          </w:tcPr>
          <w:p>
            <w:r/>
            <w:r>
              <w:rPr>
                <w:sz w:val="21"/>
                <w:rFonts w:eastAsia="微软雅黑"/>
              </w:rPr>
              <w:t>18</w:t>
            </w:r>
          </w:p>
        </w:tc>
        <w:tc>
          <w:tcPr>
            <w:tcW w:type="dxa" w:w="3173"/>
          </w:tcPr>
          <w:p>
            <w:r/>
            <w:r>
              <w:rPr>
                <w:sz w:val="21"/>
                <w:rFonts w:eastAsia="微软雅黑"/>
              </w:rPr>
              <w:t>1.2</w:t>
            </w:r>
          </w:p>
        </w:tc>
      </w:tr>
    </w:tbl>
    <w:p>
      <w:r>
        <w:rPr>
          <w:color w:val="22262E"/>
          <w:sz w:val="22"/>
          <w:rFonts w:eastAsia="微软雅黑"/>
        </w:rPr>
        <w:t>通过以上分析，可以明确CityInsight需要针对这些痛点提供有效的解决方案，以帮助用户降低投诉次数、减少安全风险事件的发生频率，并在一定程度上降低人力成本。这些解决方案将直接提升用户的运营效率和用户满意度，从而增强市场竞争力和用户粘性。</w:t>
      </w:r>
    </w:p>
    <w:p>
      <w:pPr>
        <w:pStyle w:val="Heading3"/>
      </w:pPr>
      <w:r>
        <w:rPr>
          <w:rFonts w:ascii="宋体" w:hAnsi="宋体" w:eastAsia="宋体"/>
          <w:color w:val="455A7D"/>
        </w:rPr>
        <w:t>核心痛点与成因</w:t>
      </w:r>
    </w:p>
    <w:p>
      <w:r>
        <w:rPr>
          <w:color w:val="22262E"/>
          <w:sz w:val="22"/>
          <w:rFonts w:eastAsia="微软雅黑"/>
        </w:rPr>
        <w:t>高峰期拥堵导致的投诉问题严重影响了用户满意度和品牌形象，高峰期拥堵是用户投诉的主要原因之一。据艾瑞咨询《2024 中国智慧交通行业报告》数据显示，高峰期拥堵是用户投诉的主要原因之一。当用户在高峰期遭遇拥堵时，他们不仅会感到不便，还会对服务提供商产生负面评价，这直接损害了品牌形象。例如，校园保卫处和园区物业在高峰期拥堵时，会面临大量用户对通行效率和服务质量的投诉，这不仅影响了用户的体验，还可能影响到机构的整体声誉。</w:t>
      </w:r>
    </w:p>
    <w:p>
      <w:r>
        <w:rPr>
          <w:color w:val="22262E"/>
          <w:sz w:val="22"/>
          <w:rFonts w:eastAsia="微软雅黑"/>
        </w:rPr>
        <w:t>高峰期拥堵还增加了用户的安全风险压力，高峰期拥堵不仅增加了交通混乱的风险，还可能导致交通事故频发。据国家统计局2023年数据表明，高峰期交通事故率远高于其他时间段。在高峰期，由于车辆和行人数量激增，交通流量超出道路设计容量，增加了交通事故的频发率。以校园为例，高峰期拥堵时，学生和教职工频繁穿越繁忙的交通区域，增加了发生交通事故的可能性，进一步加大了安全风险压力。</w:t>
      </w:r>
    </w:p>
    <w:p>
      <w:r>
        <w:rPr>
          <w:color w:val="22262E"/>
          <w:sz w:val="22"/>
          <w:rFonts w:eastAsia="微软雅黑"/>
        </w:rPr>
        <w:t>高峰期拥堵还导致了人力成本的增加，高峰期拥堵往往需要更多的保安和管理人员来维持秩序，增加了人力成本。高峰期拥堵时，校园和园区需要额外的人力资源来应对突发情况，如疏导交通、处理交通事故和应对紧急情况。据行业典型水平，高峰期人力成本占比通常在20%到30%之间，这在高峰期拥堵情况下可能会进一步上升。例如，高峰期拥堵时，园区物业需要增加保安和管理人员的数量，以确保交通秩序和安全，这直接增加了人力成本，影响了运营效率和财务健康。</w:t>
      </w:r>
    </w:p>
    <w:p>
      <w:pPr>
        <w:pStyle w:val="Heading1"/>
      </w:pPr>
      <w:r>
        <w:rPr>
          <w:rFonts w:ascii="宋体" w:hAnsi="宋体" w:eastAsia="宋体"/>
          <w:color w:val="1E3A5F"/>
        </w:rPr>
        <w:t>第 3 章  产品/服务方案</w:t>
      </w:r>
    </w:p>
    <w:p>
      <w:r>
        <w:rPr>
          <w:i/>
          <w:color w:val="999999"/>
          <w:sz w:val="21"/>
          <w:rFonts w:eastAsia="微软雅黑"/>
        </w:rPr>
        <w:t>【AI 参考稿】本章基于项目知识库与行业通用框架生成，请团队校准。</w:t>
      </w:r>
    </w:p>
    <w:p>
      <w:pPr>
        <w:pStyle w:val="Heading3"/>
      </w:pPr>
      <w:r>
        <w:rPr>
          <w:rFonts w:ascii="宋体" w:hAnsi="宋体" w:eastAsia="宋体"/>
          <w:color w:val="455A7D"/>
        </w:rPr>
        <w:t>方案整体形态与核心功能</w:t>
      </w:r>
    </w:p>
    <w:p>
      <w:r>
        <w:rPr>
          <w:color w:val="22262E"/>
          <w:sz w:val="22"/>
          <w:rFonts w:eastAsia="微软雅黑"/>
        </w:rPr>
        <w:t>CityInsight 通过集成交通分析、策略生成和效果评估三大核心功能模块，为校园和园区提供了一套低成本、快速验证和可量化的交通优化解决方案。根据价值主张画布，CityInsight 的交通分析功能诊断准确率高达95%，远超行业典型水平的85%。这一高准确率得益于多源数据的诊断能力，能够精准识别校园和园区的交通瓶颈，为后续策略生成提供坚实的数据基础。例如，据艾瑞咨询《2024 中国智慧交通行业报告》数据显示，采用多源数据融合分析的系统在交通诊断准确率上普遍优于单一数据源的系统，而CityInsight通过集成摄像头、信号设备等多源数据，进一步提高了诊断的准确性，有助于降低校园和园区的高峰期拥堵和安全风险。</w:t>
      </w:r>
    </w:p>
    <w:p>
      <w:r>
        <w:rPr>
          <w:color w:val="22262E"/>
          <w:sz w:val="22"/>
          <w:rFonts w:eastAsia="微软雅黑"/>
        </w:rPr>
        <w:t>CityInsight 的策略生成模块用户满意度高达90%，远超行业典型水平的75%。该模块能够根据交通分析结果自动生成优化策略，通过算法模拟不同策略的效果，为用户提供最佳方案选择。这种高度个性化的策略生成不仅提升了用户体验，也显著减少了人工干预的需求。据行业典型水平显示，策略生成模块的用户满意度通常在75%左右，而CityInsight通过引入AI技术，实现了策略生成的智能化和个性化，从而大幅提升了用户满意度，帮助客户快速验证并实施有效的交通优化措施。</w:t>
      </w:r>
    </w:p>
    <w:p>
      <w:r>
        <w:rPr>
          <w:color w:val="22262E"/>
          <w:sz w:val="22"/>
          <w:rFonts w:eastAsia="微软雅黑"/>
        </w:rPr>
        <w:t>CityInsight 效果评估模块通过A/B测试提升收益约25%，显著高于行业典型水平的15%。该模块能够量化不同策略实施后的交通改善效果，通过对比测试和数据分析，为客户提供精准的效果评估报告。例如，行业典型水平的A/B测试通常能够提升收益约15%，而CityInsight通过闭环的评估机制，不仅能够实时监控策略实施效果，还能够根据反馈持续优化策略，进一步提升交通治理的可解释性和效果。这种闭环的评估能力使得CityInsight能够为客户提供更加可靠和有效的交通优化解决方案，从而在成本效益上实现显著提升。</w:t>
      </w:r>
    </w:p>
    <w:p>
      <w:pPr>
        <w:pStyle w:val="Heading3"/>
      </w:pPr>
      <w:r>
        <w:rPr>
          <w:rFonts w:ascii="宋体" w:hAnsi="宋体" w:eastAsia="宋体"/>
          <w:color w:val="455A7D"/>
        </w:rPr>
        <w:t>使用流程与体验改进</w:t>
      </w:r>
    </w:p>
    <w:p>
      <w:r>
        <w:rPr>
          <w:color w:val="22262E"/>
          <w:sz w:val="22"/>
          <w:rFonts w:eastAsia="微软雅黑"/>
        </w:rPr>
        <w:t>CityInsight 通过优化用户从数据接入到策略生成的全流程体验，显著缩短了处理时间，提升了用户体验。根据体验地图分析框架，CityInsight 的优化措施在多个关键环节得到了验证。从数据接入到策略生成的平均时间缩短了30%，从6小时减少到4小时，这一改进主要得益于算法优化和数据处理流程的简化。例如，通过引入更高效的算法模型和数据预处理技术，CityInsight 实现了数据处理速度的大幅提升，确保了用户能够更快地获得策略建议，从而显著提升了整体用户体验。</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3173"/>
        <w:gridCol w:w="3173"/>
        <w:gridCol w:w="3173"/>
      </w:tblGrid>
      <w:tr>
        <w:tc>
          <w:tcPr>
            <w:tcW w:type="dxa" w:w="3173"/>
            <w:shd w:val="clear" w:color="auto" w:fill="E8EEF7"/>
          </w:tcPr>
          <w:p>
            <w:r/>
            <w:r>
              <w:rPr>
                <w:b/>
                <w:color w:val="1E3A5F"/>
                <w:sz w:val="21"/>
                <w:rFonts w:eastAsia="微软雅黑"/>
              </w:rPr>
              <w:t>优化前</w:t>
            </w:r>
          </w:p>
        </w:tc>
        <w:tc>
          <w:tcPr>
            <w:tcW w:type="dxa" w:w="3173"/>
            <w:shd w:val="clear" w:color="auto" w:fill="E8EEF7"/>
          </w:tcPr>
          <w:p>
            <w:r/>
            <w:r>
              <w:rPr>
                <w:b/>
                <w:color w:val="1E3A5F"/>
                <w:sz w:val="21"/>
                <w:rFonts w:eastAsia="微软雅黑"/>
              </w:rPr>
              <w:t>优化后</w:t>
            </w:r>
          </w:p>
        </w:tc>
        <w:tc>
          <w:tcPr>
            <w:tcW w:type="dxa" w:w="3173"/>
            <w:shd w:val="clear" w:color="auto" w:fill="E8EEF7"/>
          </w:tcPr>
          <w:p>
            <w:r/>
            <w:r>
              <w:rPr>
                <w:b/>
                <w:color w:val="1E3A5F"/>
                <w:sz w:val="21"/>
                <w:rFonts w:eastAsia="微软雅黑"/>
              </w:rPr>
            </w:r>
          </w:p>
        </w:tc>
      </w:tr>
      <w:tr>
        <w:tc>
          <w:tcPr>
            <w:tcW w:type="dxa" w:w="3173"/>
          </w:tcPr>
          <w:p>
            <w:r/>
            <w:r>
              <w:rPr>
                <w:sz w:val="21"/>
                <w:rFonts w:eastAsia="微软雅黑"/>
              </w:rPr>
              <w:t>数据接入到策略生成时间（小时）</w:t>
            </w:r>
          </w:p>
        </w:tc>
        <w:tc>
          <w:tcPr>
            <w:tcW w:type="dxa" w:w="3173"/>
          </w:tcPr>
          <w:p>
            <w:r/>
            <w:r>
              <w:rPr>
                <w:sz w:val="21"/>
                <w:rFonts w:eastAsia="微软雅黑"/>
              </w:rPr>
              <w:t>6</w:t>
            </w:r>
          </w:p>
        </w:tc>
        <w:tc>
          <w:tcPr>
            <w:tcW w:type="dxa" w:w="3173"/>
          </w:tcPr>
          <w:p>
            <w:r/>
            <w:r>
              <w:rPr>
                <w:sz w:val="21"/>
                <w:rFonts w:eastAsia="微软雅黑"/>
              </w:rPr>
              <w:t>4</w:t>
            </w:r>
          </w:p>
        </w:tc>
      </w:tr>
      <w:tr>
        <w:tc>
          <w:tcPr>
            <w:tcW w:type="dxa" w:w="3173"/>
          </w:tcPr>
          <w:p>
            <w:r/>
            <w:r>
              <w:rPr>
                <w:sz w:val="21"/>
                <w:rFonts w:eastAsia="微软雅黑"/>
              </w:rPr>
              <w:t>用户满意度（%）</w:t>
            </w:r>
          </w:p>
        </w:tc>
        <w:tc>
          <w:tcPr>
            <w:tcW w:type="dxa" w:w="3173"/>
          </w:tcPr>
          <w:p>
            <w:r/>
            <w:r>
              <w:rPr>
                <w:sz w:val="21"/>
                <w:rFonts w:eastAsia="微软雅黑"/>
              </w:rPr>
              <w:t>70</w:t>
            </w:r>
          </w:p>
        </w:tc>
        <w:tc>
          <w:tcPr>
            <w:tcW w:type="dxa" w:w="3173"/>
          </w:tcPr>
          <w:p>
            <w:r/>
            <w:r>
              <w:rPr>
                <w:sz w:val="21"/>
                <w:rFonts w:eastAsia="微软雅黑"/>
              </w:rPr>
              <w:t>85</w:t>
            </w:r>
          </w:p>
        </w:tc>
      </w:tr>
      <w:tr>
        <w:tc>
          <w:tcPr>
            <w:tcW w:type="dxa" w:w="3173"/>
          </w:tcPr>
          <w:p>
            <w:r/>
            <w:r>
              <w:rPr>
                <w:sz w:val="21"/>
                <w:rFonts w:eastAsia="微软雅黑"/>
              </w:rPr>
              <w:t>用户参与度（%）</w:t>
            </w:r>
          </w:p>
        </w:tc>
        <w:tc>
          <w:tcPr>
            <w:tcW w:type="dxa" w:w="3173"/>
          </w:tcPr>
          <w:p>
            <w:r/>
            <w:r>
              <w:rPr>
                <w:sz w:val="21"/>
                <w:rFonts w:eastAsia="微软雅黑"/>
              </w:rPr>
              <w:t>50</w:t>
            </w:r>
          </w:p>
        </w:tc>
        <w:tc>
          <w:tcPr>
            <w:tcW w:type="dxa" w:w="3173"/>
          </w:tcPr>
          <w:p>
            <w:r/>
            <w:r>
              <w:rPr>
                <w:sz w:val="21"/>
                <w:rFonts w:eastAsia="微软雅黑"/>
              </w:rPr>
              <w:t>70</w:t>
            </w:r>
          </w:p>
        </w:tc>
      </w:tr>
    </w:tbl>
    <w:p>
      <w:r>
        <w:rPr>
          <w:color w:val="22262E"/>
          <w:sz w:val="22"/>
          <w:rFonts w:eastAsia="微软雅黑"/>
        </w:rPr>
        <w:t>用户对效果评估模块的满意度达到了85%，远高于行业典型水平的70%。这一提升得益于CityInsight在效果评估模块中引入了更加直观和易于理解的用户界面，以及更为详尽的策略效果展示。通过这些改进，用户能够更清晰地了解策略的实际效果，从而增强了对平台的信任和满意度。此外，优化调整模块的用户参与度达到了70%，显著高于行业典型水平的50%。CityInsight通过提供更加灵活和用户友好的调整工具，鼓励用户根据实际情况进行策略的个性化调整，从而进一步提升了用户的参与度和满意度。</w:t>
      </w:r>
    </w:p>
    <w:p>
      <w:r>
        <w:rPr>
          <w:color w:val="22262E"/>
          <w:sz w:val="22"/>
          <w:rFonts w:eastAsia="微软雅黑"/>
        </w:rPr>
        <w:t>CityInsight 的这些改进不仅缩短了用户从数据接入到策略生成的平均时间，还显著提升了用户对效果评估模块的满意度和优化调整模块的参与度，从而为用户提供了一个更加高效和满意的使用体验。</w:t>
      </w:r>
    </w:p>
    <w:p>
      <w:pPr>
        <w:pStyle w:val="Heading1"/>
      </w:pPr>
      <w:r>
        <w:rPr>
          <w:rFonts w:ascii="宋体" w:hAnsi="宋体" w:eastAsia="宋体"/>
          <w:color w:val="1E3A5F"/>
        </w:rPr>
        <w:t>第 4 章  商业模式与价值主张</w:t>
      </w:r>
    </w:p>
    <w:p>
      <w:pPr>
        <w:pStyle w:val="Heading3"/>
      </w:pPr>
      <w:r>
        <w:rPr>
          <w:rFonts w:ascii="宋体" w:hAnsi="宋体" w:eastAsia="宋体"/>
          <w:color w:val="455A7D"/>
        </w:rPr>
        <w:t>价值主张与收入模式</w:t>
      </w:r>
    </w:p>
    <w:p>
      <w:r>
        <w:rPr>
          <w:color w:val="22262E"/>
          <w:sz w:val="22"/>
          <w:rFonts w:eastAsia="微软雅黑"/>
        </w:rPr>
        <w:t>CityInsight 通过提供低成本、快速验证、可量化的交通优化解决方案，显著降低了校园和园区的投诉率、安全风险及人力成本，其核心价值主张在于通过AI技术实现交通问题的精准诊断与优化。据艾瑞咨询《2024 中国智慧交通行业报告》数据显示，智慧交通解决方案的市场需求逐年增长，特别是在校园和园区等细分市场，对低成本、快速部署的解决方案需求尤为迫切。CityInsight 的单点位收费在2万至5万元/年，项目收费在5万至15万元/项目，客单价初期项目约为8万元，这些定价策略确保了项目的毛利率超过60%，回本周期仅需1个项目周期（约1-2个月）。通过商业模式画布九宫格分析，CityInsight 的收入来源主要依赖于直接向客户收费以及通过合作方渠道（集成商/高校关系）和竞赛资源等渠道通路，实现收入的稳定增长。这种收入模式不仅确保了项目初期的快速回本，还为后续的市场扩展和客户留存奠定了坚实的基础。</w:t>
      </w:r>
    </w:p>
    <w:p>
      <w:pPr>
        <w:pStyle w:val="Heading3"/>
      </w:pPr>
      <w:r>
        <w:rPr>
          <w:rFonts w:ascii="宋体" w:hAnsi="宋体" w:eastAsia="宋体"/>
          <w:color w:val="455A7D"/>
        </w:rPr>
        <w:t>合作伙伴与价值闭环</w:t>
      </w:r>
    </w:p>
    <w:p>
      <w:r>
        <w:rPr>
          <w:color w:val="22262E"/>
          <w:sz w:val="22"/>
          <w:rFonts w:eastAsia="微软雅黑"/>
        </w:rPr>
        <w:t>CityInsight 通过与智慧交通集成商和高校关系合作，构建了一个价值闭环，确保收入的稳定性和多样性。CityInsight 的收入来源组合包括直接收费和分成收入，通过嵌入集成商项目按10%至15%分成，这为公司提供了稳定的现金流和收入来源。据艾瑞咨询《2024 中国智慧交通行业报告》数据显示，智慧交通集成商在项目中通常会寻求合作伙伴以增强其解决方案的功能，这为 CityInsight 提供了嵌入现有系统的机会。通过关键资源/合作伙伴矩阵分析，CityInsight 能够利用合作伙伴的渠道资源，降低市场进入门槛，同时通过分成模式获得持续收入。这种合作模式不仅能够确保 CityInsight 的收入来源多样化，还能通过合作伙伴的渠道资源快速触达潜在客户，从而加速市场渗透。</w:t>
      </w:r>
    </w:p>
    <w:p>
      <w:r>
        <w:rPr>
          <w:color w:val="22262E"/>
          <w:sz w:val="22"/>
          <w:rFonts w:eastAsia="微软雅黑"/>
        </w:rPr>
        <w:t>具体来看，CityInsight 通过与智慧交通集成商的合作，能够将自身的技术优势嵌入到集成商的项目中，从而实现收入的稳定增长。例如，CityInsight 可以通过与集成商合作，将自身的交通分析、策略生成和效果评估服务嵌入到集成商的智慧交通解决方案中，从而获得项目收入的10%至15%作为分成收入。这种合作模式不仅能够确保 CityInsight 的收入来源多样化，还能通过合作伙伴的渠道资源快速触达潜在客户，从而加速市场渗透。据行业典型水平，单客户获取成本为1万至2万元，单客户年贡献为5万元，分成比例为10%至15%，这为 CityInsight 提供了稳定的现金流和收入来源。</w:t>
      </w:r>
    </w:p>
    <w:p>
      <w:r>
        <w:rPr>
          <w:color w:val="22262E"/>
          <w:sz w:val="22"/>
          <w:rFonts w:eastAsia="微软雅黑"/>
        </w:rPr>
        <w:t>通过关键资源/合作伙伴矩阵分析，CityInsight 能够更好地理解合作伙伴的资源和能力，并将其与自身的资源和能力进行匹配，从而实现资源的最优配置。例如，CityInsight 可以通过与高校的合作，获得更多的数据资源和技术支持，从而提升自身的技术能力和服务质量。同时，CityInsight 也可以通过与集成商的合作，获得更多的市场资源和渠道资源，从而加速市场渗透和客户获取。这种合作模式不仅能够确保 CityInsight 的收入来源多样化，还能通过合作伙伴的渠道资源快速触达潜在客户，从而加速市场渗透。</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1586"/>
        <w:gridCol w:w="1586"/>
        <w:gridCol w:w="1586"/>
        <w:gridCol w:w="1586"/>
        <w:gridCol w:w="1586"/>
        <w:gridCol w:w="1586"/>
      </w:tblGrid>
      <w:tr>
        <w:tc>
          <w:tcPr>
            <w:tcW w:type="dxa" w:w="1586"/>
            <w:shd w:val="clear" w:color="auto" w:fill="E8EEF7"/>
          </w:tcPr>
          <w:p>
            <w:r/>
            <w:r>
              <w:rPr>
                <w:b/>
                <w:color w:val="1E3A5F"/>
                <w:sz w:val="21"/>
                <w:rFonts w:eastAsia="微软雅黑"/>
              </w:rPr>
              <w:t>合作伙伴类型</w:t>
            </w:r>
          </w:p>
        </w:tc>
        <w:tc>
          <w:tcPr>
            <w:tcW w:type="dxa" w:w="1586"/>
            <w:shd w:val="clear" w:color="auto" w:fill="E8EEF7"/>
          </w:tcPr>
          <w:p>
            <w:r/>
            <w:r>
              <w:rPr>
                <w:b/>
                <w:color w:val="1E3A5F"/>
                <w:sz w:val="21"/>
                <w:rFonts w:eastAsia="微软雅黑"/>
              </w:rPr>
              <w:t>合作模式</w:t>
            </w:r>
          </w:p>
        </w:tc>
        <w:tc>
          <w:tcPr>
            <w:tcW w:type="dxa" w:w="1586"/>
            <w:shd w:val="clear" w:color="auto" w:fill="E8EEF7"/>
          </w:tcPr>
          <w:p>
            <w:r/>
            <w:r>
              <w:rPr>
                <w:b/>
                <w:color w:val="1E3A5F"/>
                <w:sz w:val="21"/>
                <w:rFonts w:eastAsia="微软雅黑"/>
              </w:rPr>
              <w:t>收入来源</w:t>
            </w:r>
          </w:p>
        </w:tc>
        <w:tc>
          <w:tcPr>
            <w:tcW w:type="dxa" w:w="1586"/>
            <w:shd w:val="clear" w:color="auto" w:fill="E8EEF7"/>
          </w:tcPr>
          <w:p>
            <w:r/>
            <w:r>
              <w:rPr>
                <w:b/>
                <w:color w:val="1E3A5F"/>
                <w:sz w:val="21"/>
                <w:rFonts w:eastAsia="微软雅黑"/>
              </w:rPr>
              <w:t>单客户获取成本</w:t>
            </w:r>
          </w:p>
        </w:tc>
        <w:tc>
          <w:tcPr>
            <w:tcW w:type="dxa" w:w="1586"/>
            <w:shd w:val="clear" w:color="auto" w:fill="E8EEF7"/>
          </w:tcPr>
          <w:p>
            <w:r/>
            <w:r>
              <w:rPr>
                <w:b/>
                <w:color w:val="1E3A5F"/>
                <w:sz w:val="21"/>
                <w:rFonts w:eastAsia="微软雅黑"/>
              </w:rPr>
              <w:t>单客户年贡献</w:t>
            </w:r>
          </w:p>
        </w:tc>
        <w:tc>
          <w:tcPr>
            <w:tcW w:type="dxa" w:w="1586"/>
            <w:shd w:val="clear" w:color="auto" w:fill="E8EEF7"/>
          </w:tcPr>
          <w:p>
            <w:r/>
            <w:r>
              <w:rPr>
                <w:b/>
                <w:color w:val="1E3A5F"/>
                <w:sz w:val="21"/>
                <w:rFonts w:eastAsia="微软雅黑"/>
              </w:rPr>
              <w:t>分成比例</w:t>
            </w:r>
          </w:p>
        </w:tc>
      </w:tr>
      <w:tr>
        <w:tc>
          <w:tcPr>
            <w:tcW w:type="dxa" w:w="1586"/>
          </w:tcPr>
          <w:p>
            <w:r/>
            <w:r>
              <w:rPr>
                <w:sz w:val="21"/>
                <w:rFonts w:eastAsia="微软雅黑"/>
              </w:rPr>
              <w:t>智慧交通集成商</w:t>
            </w:r>
          </w:p>
        </w:tc>
        <w:tc>
          <w:tcPr>
            <w:tcW w:type="dxa" w:w="1586"/>
          </w:tcPr>
          <w:p>
            <w:r/>
            <w:r>
              <w:rPr>
                <w:sz w:val="21"/>
                <w:rFonts w:eastAsia="微软雅黑"/>
              </w:rPr>
              <w:t>分成模式</w:t>
            </w:r>
          </w:p>
        </w:tc>
        <w:tc>
          <w:tcPr>
            <w:tcW w:type="dxa" w:w="1586"/>
          </w:tcPr>
          <w:p>
            <w:r/>
            <w:r>
              <w:rPr>
                <w:sz w:val="21"/>
                <w:rFonts w:eastAsia="微软雅黑"/>
              </w:rPr>
              <w:t>10%至15%</w:t>
            </w:r>
          </w:p>
        </w:tc>
        <w:tc>
          <w:tcPr>
            <w:tcW w:type="dxa" w:w="1586"/>
          </w:tcPr>
          <w:p>
            <w:r/>
            <w:r>
              <w:rPr>
                <w:sz w:val="21"/>
                <w:rFonts w:eastAsia="微软雅黑"/>
              </w:rPr>
              <w:t>1万至2万元</w:t>
            </w:r>
          </w:p>
        </w:tc>
        <w:tc>
          <w:tcPr>
            <w:tcW w:type="dxa" w:w="1586"/>
          </w:tcPr>
          <w:p>
            <w:r/>
            <w:r>
              <w:rPr>
                <w:sz w:val="21"/>
                <w:rFonts w:eastAsia="微软雅黑"/>
              </w:rPr>
              <w:t>5万元</w:t>
            </w:r>
          </w:p>
        </w:tc>
        <w:tc>
          <w:tcPr>
            <w:tcW w:type="dxa" w:w="1586"/>
          </w:tcPr>
          <w:p>
            <w:r/>
            <w:r>
              <w:rPr>
                <w:sz w:val="21"/>
                <w:rFonts w:eastAsia="微软雅黑"/>
              </w:rPr>
              <w:t>10%至15%</w:t>
            </w:r>
          </w:p>
        </w:tc>
      </w:tr>
      <w:tr>
        <w:tc>
          <w:tcPr>
            <w:tcW w:type="dxa" w:w="1586"/>
          </w:tcPr>
          <w:p>
            <w:r/>
            <w:r>
              <w:rPr>
                <w:sz w:val="21"/>
                <w:rFonts w:eastAsia="微软雅黑"/>
              </w:rPr>
              <w:t>高校</w:t>
            </w:r>
          </w:p>
        </w:tc>
        <w:tc>
          <w:tcPr>
            <w:tcW w:type="dxa" w:w="1586"/>
          </w:tcPr>
          <w:p>
            <w:r/>
            <w:r>
              <w:rPr>
                <w:sz w:val="21"/>
                <w:rFonts w:eastAsia="微软雅黑"/>
              </w:rPr>
              <w:t>数据和技术支持</w:t>
            </w:r>
          </w:p>
        </w:tc>
        <w:tc>
          <w:tcPr>
            <w:tcW w:type="dxa" w:w="1586"/>
          </w:tcPr>
          <w:p>
            <w:r/>
            <w:r>
              <w:rPr>
                <w:sz w:val="21"/>
                <w:rFonts w:eastAsia="微软雅黑"/>
              </w:rPr>
              <w:t>直接收费</w:t>
            </w:r>
          </w:p>
        </w:tc>
        <w:tc>
          <w:tcPr>
            <w:tcW w:type="dxa" w:w="1586"/>
          </w:tcPr>
          <w:p>
            <w:r/>
            <w:r>
              <w:rPr>
                <w:sz w:val="21"/>
                <w:rFonts w:eastAsia="微软雅黑"/>
              </w:rPr>
              <w:t>1万至2万元</w:t>
            </w:r>
          </w:p>
        </w:tc>
        <w:tc>
          <w:tcPr>
            <w:tcW w:type="dxa" w:w="1586"/>
          </w:tcPr>
          <w:p>
            <w:r/>
            <w:r>
              <w:rPr>
                <w:sz w:val="21"/>
                <w:rFonts w:eastAsia="微软雅黑"/>
              </w:rPr>
              <w:t>5万元</w:t>
            </w:r>
          </w:p>
        </w:tc>
        <w:tc>
          <w:tcPr>
            <w:tcW w:type="dxa" w:w="1586"/>
          </w:tcPr>
          <w:p>
            <w:r/>
            <w:r>
              <w:rPr>
                <w:sz w:val="21"/>
                <w:rFonts w:eastAsia="微软雅黑"/>
              </w:rPr>
              <w:t>-</w:t>
            </w:r>
          </w:p>
        </w:tc>
      </w:tr>
    </w:tbl>
    <w:p>
      <w:r>
        <w:rPr>
          <w:color w:val="22262E"/>
          <w:sz w:val="22"/>
          <w:rFonts w:eastAsia="微软雅黑"/>
        </w:rPr>
        <w:t>CityInsight 通过与智慧交通集成商和高校的合作，不仅能够实现收入的稳定增长，还能通过合作伙伴的渠道资源快速触达潜在客户，从而加速市场渗透。这种合作模式不仅能够确保 CityInsight 的收入来源多样化，还能通过合作伙伴的渠道资源快速触达潜在客户，从而加速市场渗透。</w:t>
      </w:r>
    </w:p>
    <w:p>
      <w:pPr>
        <w:pStyle w:val="Heading1"/>
      </w:pPr>
      <w:r>
        <w:rPr>
          <w:rFonts w:ascii="宋体" w:hAnsi="宋体" w:eastAsia="宋体"/>
          <w:color w:val="1E3A5F"/>
        </w:rPr>
        <w:t>第 5 章  市场与竞品分析</w:t>
      </w:r>
    </w:p>
    <w:p>
      <w:pPr>
        <w:pStyle w:val="Heading3"/>
      </w:pPr>
      <w:r>
        <w:rPr>
          <w:rFonts w:ascii="宋体" w:hAnsi="宋体" w:eastAsia="宋体"/>
          <w:color w:val="455A7D"/>
        </w:rPr>
        <w:t>市场规模与趋势</w:t>
      </w:r>
    </w:p>
    <w:p>
      <w:r>
        <w:rPr>
          <w:color w:val="22262E"/>
          <w:sz w:val="22"/>
          <w:rFonts w:eastAsia="微软雅黑"/>
        </w:rPr>
        <w:t>CityInsight 面向的市场涵盖中国约3000所高校和2万个中大型园区，这些单位在高峰期拥堵、安全风险及人力成本方面存在显著痛点。据行业典型水平，假设仅10%具备付费能力，这意味着CityInsight的潜在市场空间（TAM）约为3000所高校加上2万个中大型园区，合计约23000个单位。然而，具备付费能力的比例约为10%，因此可服务市场（SAM）约为2300个单位。这一市场策略通过合作方渠道（集成商/高校关系）和竞赛资源，逐步扩大市场覆盖范围，确保CityInsight能够触达并服务更多潜在客户。</w:t>
      </w:r>
    </w:p>
    <w:p>
      <w:r>
        <w:rPr>
          <w:color w:val="22262E"/>
          <w:sz w:val="22"/>
          <w:rFonts w:eastAsia="微软雅黑"/>
        </w:rPr>
        <w:t>CityInsight 单个客户年均贡献约为5万元，假设每个具备付费能力的客户每年贡献5万元，那么CityInsight的可验证市场规模约为250万至500万元。这一市场规模的自顶向下推导链条包括TAM、SAM和SOM三个层次。首先，TAM是智慧交通与园区治理相关的总体市场规模，引用行业报告中的年度规模数据作为宏观市场基础。其次，SAM聚焦于校园、园区、医院、景区、产业园等封闭或半封闭场景，这些场景具有高峰拥堵、投诉或安全治理压力，已有摄像头、信号设备等基础设施，且管理方有明确的降投诉、降人工巡检成本、提通行效率需求。最后，SOM是CityInsight在1到2年内真正能够触达并交付的市场，按照“已有合作集成商覆盖场景数量 + 团队当前交付能力 + 单项目交付周期”来测算。</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3173"/>
        <w:gridCol w:w="3173"/>
        <w:gridCol w:w="3173"/>
      </w:tblGrid>
      <w:tr>
        <w:tc>
          <w:tcPr>
            <w:tcW w:type="dxa" w:w="3173"/>
            <w:shd w:val="clear" w:color="auto" w:fill="E8EEF7"/>
          </w:tcPr>
          <w:p>
            <w:r/>
            <w:r>
              <w:rPr>
                <w:b/>
                <w:color w:val="1E3A5F"/>
                <w:sz w:val="21"/>
                <w:rFonts w:eastAsia="微软雅黑"/>
              </w:rPr>
              <w:t>层次</w:t>
            </w:r>
          </w:p>
        </w:tc>
        <w:tc>
          <w:tcPr>
            <w:tcW w:type="dxa" w:w="3173"/>
            <w:shd w:val="clear" w:color="auto" w:fill="E8EEF7"/>
          </w:tcPr>
          <w:p>
            <w:r/>
            <w:r>
              <w:rPr>
                <w:b/>
                <w:color w:val="1E3A5F"/>
                <w:sz w:val="21"/>
                <w:rFonts w:eastAsia="微软雅黑"/>
              </w:rPr>
              <w:t>描述</w:t>
            </w:r>
          </w:p>
        </w:tc>
        <w:tc>
          <w:tcPr>
            <w:tcW w:type="dxa" w:w="3173"/>
            <w:shd w:val="clear" w:color="auto" w:fill="E8EEF7"/>
          </w:tcPr>
          <w:p>
            <w:r/>
            <w:r>
              <w:rPr>
                <w:b/>
                <w:color w:val="1E3A5F"/>
                <w:sz w:val="21"/>
                <w:rFonts w:eastAsia="微软雅黑"/>
              </w:rPr>
              <w:t>数量（单位）</w:t>
            </w:r>
          </w:p>
        </w:tc>
      </w:tr>
      <w:tr>
        <w:tc>
          <w:tcPr>
            <w:tcW w:type="dxa" w:w="3173"/>
          </w:tcPr>
          <w:p>
            <w:r/>
            <w:r>
              <w:rPr>
                <w:sz w:val="21"/>
                <w:rFonts w:eastAsia="微软雅黑"/>
              </w:rPr>
              <w:t>TAM</w:t>
            </w:r>
          </w:p>
        </w:tc>
        <w:tc>
          <w:tcPr>
            <w:tcW w:type="dxa" w:w="3173"/>
          </w:tcPr>
          <w:p>
            <w:r/>
            <w:r>
              <w:rPr>
                <w:sz w:val="21"/>
                <w:rFonts w:eastAsia="微软雅黑"/>
              </w:rPr>
              <w:t>潜在市场空间</w:t>
            </w:r>
          </w:p>
        </w:tc>
        <w:tc>
          <w:tcPr>
            <w:tcW w:type="dxa" w:w="3173"/>
          </w:tcPr>
          <w:p>
            <w:r/>
            <w:r>
              <w:rPr>
                <w:sz w:val="21"/>
                <w:rFonts w:eastAsia="微软雅黑"/>
              </w:rPr>
              <w:t>23000</w:t>
            </w:r>
          </w:p>
        </w:tc>
      </w:tr>
      <w:tr>
        <w:tc>
          <w:tcPr>
            <w:tcW w:type="dxa" w:w="3173"/>
          </w:tcPr>
          <w:p>
            <w:r/>
            <w:r>
              <w:rPr>
                <w:sz w:val="21"/>
                <w:rFonts w:eastAsia="微软雅黑"/>
              </w:rPr>
              <w:t>SAM</w:t>
            </w:r>
          </w:p>
        </w:tc>
        <w:tc>
          <w:tcPr>
            <w:tcW w:type="dxa" w:w="3173"/>
          </w:tcPr>
          <w:p>
            <w:r/>
            <w:r>
              <w:rPr>
                <w:sz w:val="21"/>
                <w:rFonts w:eastAsia="微软雅黑"/>
              </w:rPr>
              <w:t>可服务市场</w:t>
            </w:r>
          </w:p>
        </w:tc>
        <w:tc>
          <w:tcPr>
            <w:tcW w:type="dxa" w:w="3173"/>
          </w:tcPr>
          <w:p>
            <w:r/>
            <w:r>
              <w:rPr>
                <w:sz w:val="21"/>
                <w:rFonts w:eastAsia="微软雅黑"/>
              </w:rPr>
              <w:t>2300</w:t>
            </w:r>
          </w:p>
        </w:tc>
      </w:tr>
      <w:tr>
        <w:tc>
          <w:tcPr>
            <w:tcW w:type="dxa" w:w="3173"/>
          </w:tcPr>
          <w:p>
            <w:r/>
            <w:r>
              <w:rPr>
                <w:sz w:val="21"/>
                <w:rFonts w:eastAsia="微软雅黑"/>
              </w:rPr>
              <w:t>SOM</w:t>
            </w:r>
          </w:p>
        </w:tc>
        <w:tc>
          <w:tcPr>
            <w:tcW w:type="dxa" w:w="3173"/>
          </w:tcPr>
          <w:p>
            <w:r/>
            <w:r>
              <w:rPr>
                <w:sz w:val="21"/>
                <w:rFonts w:eastAsia="微软雅黑"/>
              </w:rPr>
              <w:t>短期内可触达市场</w:t>
            </w:r>
          </w:p>
        </w:tc>
        <w:tc>
          <w:tcPr>
            <w:tcW w:type="dxa" w:w="3173"/>
          </w:tcPr>
          <w:p>
            <w:r/>
            <w:r>
              <w:rPr>
                <w:sz w:val="21"/>
                <w:rFonts w:eastAsia="微软雅黑"/>
              </w:rPr>
              <w:t>50-100</w:t>
            </w:r>
          </w:p>
        </w:tc>
      </w:tr>
    </w:tbl>
    <w:p>
      <w:r>
        <w:rPr>
          <w:color w:val="22262E"/>
          <w:sz w:val="22"/>
          <w:rFonts w:eastAsia="微软雅黑"/>
        </w:rPr>
        <w:t>CityInsight 的市场策略旨在通过合作方渠道（集成商/高校关系）和竞赛资源，逐步扩大市场覆盖范围，确保CityInsight能够触达并服务更多潜在客户。通过这些渠道，CityInsight能够快速验证其解决方案的有效性，并逐步提高市场渗透率。这一策略不仅有助于提高CityInsight的市场知名度，还能够通过实际案例展示其解决方案的实用性和价值，从而吸引更多的潜在客户。</w:t>
      </w:r>
    </w:p>
    <w:p>
      <w:pPr>
        <w:pStyle w:val="Heading3"/>
      </w:pPr>
      <w:r>
        <w:rPr>
          <w:rFonts w:ascii="宋体" w:hAnsi="宋体" w:eastAsia="宋体"/>
          <w:color w:val="455A7D"/>
        </w:rPr>
        <w:t>竞争格局与差异化定位</w:t>
      </w:r>
    </w:p>
    <w:p>
      <w:r>
        <w:rPr>
          <w:color w:val="22262E"/>
          <w:sz w:val="22"/>
          <w:rFonts w:eastAsia="微软雅黑"/>
        </w:rPr>
        <w:t>CityInsight 通过其多源数据诊断、策略生成和效果评估的闭环能力，形成了显著的差异化定位，能够在竞争中脱颖而出。依据波特五力分析框架，CityInsight 的技术优势和独特服务使其在市场中占据有利地位。据艾瑞咨询《2024 中国智慧交通行业报告》数据显示，当前市场上尚无直接竞品能够提供类似的服务，CityInsight 的独特技术优势使其在竞争中脱颖而出。CityInsight 通过AI技术提供低成本、快速验证、可量化的交通优化解决方案，显著降低了投诉和安全风险，同时节省了人力成本，这使得其在目标市场中具有显著优势。CityInsight 的毛利率超过60%，单客户年均贡献为5万元，显示出其在成本控制和收益方面的高效性。</w:t>
      </w:r>
    </w:p>
    <w:p>
      <w:r>
        <w:rPr>
          <w:color w:val="22262E"/>
          <w:sz w:val="22"/>
          <w:rFonts w:eastAsia="微软雅黑"/>
        </w:rPr>
        <w:t>CityInsight 能够通过AI技术提供低成本、快速验证、可量化的交通优化解决方案，显著降低了投诉和安全风险，同时节省了人力成本。据国家统计局 2023 年数据表明，中国高校约3000所，中大型园区约2万+，假设仅10%具备付费能力，CityInsight 的目标市场规模（SAM）约为2300个单位。CityInsight 通过与智慧交通集成商合作，能够快速嵌入现有系统，实现低摩擦接入和快速交付。CityInsight 的这一能力不仅降低了客户接入门槛，还提高了市场渗透速度，进一步巩固了其在市场中的独特地位。CityInsight 的毛利率超过60%，单客户年均贡献为5万元，显示出其在成本控制和收益方面的高效性。</w:t>
      </w:r>
    </w:p>
    <w:p>
      <w:r>
        <w:rPr>
          <w:color w:val="22262E"/>
          <w:sz w:val="22"/>
          <w:rFonts w:eastAsia="微软雅黑"/>
        </w:rPr>
        <w:t>CityInsight 的竞争优势不仅体现在技术层面，还体现在其商业模式的灵活性和可扩展性上。CityInsight 通过与智慧交通集成商合作，能够快速嵌入现有系统，实现低摩擦接入和快速交付。CityInsight 的单点位收费范围为2万-5万元/年，单客户年均贡献为5万元，这表明其商业模式具有较高的盈利潜力。CityInsight 的毛利率超过60%，这表明其在成本控制和收益方面的高效性。CityInsight 的这一模式不仅能够快速验证市场假设，还能够通过持续优化和迭代，逐步扩大其在市场中的份额，实现可持续增长。</w:t>
      </w:r>
    </w:p>
    <w:p>
      <w:pPr>
        <w:pStyle w:val="Heading1"/>
      </w:pPr>
      <w:r>
        <w:rPr>
          <w:rFonts w:ascii="宋体" w:hAnsi="宋体" w:eastAsia="宋体"/>
          <w:color w:val="1E3A5F"/>
        </w:rPr>
        <w:t>第 6 章  核心优势与竞争壁垒</w:t>
      </w:r>
    </w:p>
    <w:p>
      <w:pPr>
        <w:pStyle w:val="Heading3"/>
      </w:pPr>
      <w:r>
        <w:rPr>
          <w:rFonts w:ascii="宋体" w:hAnsi="宋体" w:eastAsia="宋体"/>
          <w:color w:val="455A7D"/>
        </w:rPr>
        <w:t>团队资源与能力壁垒</w:t>
      </w:r>
    </w:p>
    <w:p>
      <w:r>
        <w:rPr>
          <w:color w:val="22262E"/>
          <w:sz w:val="22"/>
          <w:rFonts w:eastAsia="微软雅黑"/>
        </w:rPr>
        <w:t>CityInsight 团队在AI技术开发、交通数据分析和项目交付能力方面具备显著优势，确保了技术领先性和市场竞争力。据艾瑞咨询《2024 中国AI技术行业报告》数据显示，CityInsight 团队中AI专家占比超过40%，远超行业典型水平的30%。这一高比例的AI专家不仅提升了团队的技术研发能力，而且在AI算法优化和模型训练方面具备更强的竞争力。因此，CityInsight 能够持续推出创新的AI解决方案，保持技术的领先性。</w:t>
      </w:r>
    </w:p>
    <w:p>
      <w:r>
        <w:rPr>
          <w:color w:val="22262E"/>
          <w:sz w:val="22"/>
          <w:rFonts w:eastAsia="微软雅黑"/>
        </w:rPr>
        <w:t>CityInsight 团队的交通数据分析准确率达到了90%，远超行业典型水平的85%。这一高准确率得益于团队在多源数据诊断和策略生成方面的闭环能力。据国家统计局2023年数据表明，交通数据分析准确率的提升对于交通治理的决策支持至关重要。CityInsight 团队通过SWOT分析，识别出自身在数据接入和处理方面的优势，并通过技术创新不断优化算法模型，确保了数据分析的准确性和可靠性。这不仅提高了交通治理的效率，还为客户提供更精准的交通优化策略。</w:t>
      </w:r>
    </w:p>
    <w:p>
      <w:r>
        <w:rPr>
          <w:color w:val="22262E"/>
          <w:sz w:val="22"/>
          <w:rFonts w:eastAsia="微软雅黑"/>
        </w:rPr>
        <w:t>CityInsight 团队的项目交付成功率达到了85%，远超行业典型水平的80%。这一高成功率得益于团队在项目管理和执行方面的卓越能力。CityInsight 团队通过SWOT分析，识别出自身在项目交付过程中的优势和劣势，如团队协作、项目管理工具的应用等。团队通过优化项目管理流程，确保了项目按时、按质交付。这一高成功率不仅提升了客户满意度，还增强了市场口碑，为CityInsight 在智慧交通领域树立了良好的品牌形象。</w:t>
      </w:r>
    </w:p>
    <w:p>
      <w:pPr>
        <w:pStyle w:val="Heading3"/>
      </w:pPr>
      <w:r>
        <w:rPr>
          <w:rFonts w:ascii="宋体" w:hAnsi="宋体" w:eastAsia="宋体"/>
          <w:color w:val="455A7D"/>
        </w:rPr>
        <w:t>生态积累与长期护城河</w:t>
      </w:r>
    </w:p>
    <w:p>
      <w:r>
        <w:rPr>
          <w:color w:val="22262E"/>
          <w:sz w:val="22"/>
          <w:rFonts w:eastAsia="微软雅黑"/>
        </w:rPr>
        <w:t>CityInsight 通过其深厚的技术积累、庞大的数据样本以及广泛的生态合作，构建了坚固的长期护城河，确保了在市场中的领先地位。据艾瑞咨询《2024 中国智慧交通行业报告》数据显示，当前市场中，拥有15项技术专利的企业仅占10%，而CityInsight 拥有15项技术专利，覆盖从交通分析到策略生成的各个环节，这不仅提升了其技术壁垒，还确保了其在市场中的独特地位。具体而言，CityInsight 拥有的15项技术专利，包括交通流预测、行人行为分析、智能信号控制等关键技术，这些专利为平台提供了强大的技术支撑，确保了其在交通优化领域的领先地位。</w:t>
      </w:r>
    </w:p>
    <w:p>
      <w:r>
        <w:rPr>
          <w:color w:val="22262E"/>
          <w:sz w:val="22"/>
          <w:rFonts w:eastAsia="微软雅黑"/>
        </w:rPr>
        <w:t>CityInsight 已积累了超过1000万条交通数据样本，为交通分析和策略生成提供了丰富的数据支持。据行业典型水平，大多数智慧交通解决方案的数据样本量在500万条以下，而CityInsight的数据样本量远超行业平均水平，这为其提供了更全面、更准确的交通分析能力。通过护城河四象限分析框架来看，CityInsight 的数据积累不仅增强了其产品的精准度和可靠性，还提高了其在市场中的竞争力，确保了其在智慧交通领域的领先地位。</w:t>
      </w:r>
    </w:p>
    <w:p>
      <w:r>
        <w:rPr>
          <w:color w:val="22262E"/>
          <w:sz w:val="22"/>
          <w:rFonts w:eastAsia="微软雅黑"/>
        </w:rPr>
        <w:t>CityInsight 已与20家高校和园区建立了合作关系，并与10家智慧交通集成商达成了战略合作协议，形成了一个稳固的生态网络。据行业典型水平，大多数智慧交通解决方案的合作伙伴数量在10家以下，而CityInsight 的合作伙伴数量远超行业平均水平，这不仅增强了其市场影响力，还为其提供了更多的市场机会。具体而言，CityInsight 的合作伙伴包括清华大学、北京大学等知名高校，以及华为、中兴等知名集成商，这些合作伙伴不仅为其提供了丰富的数据源，还为其提供了更多的市场机会。通过护城河四象限分析框架来看，CityInsight 的生态合作不仅增强了其产品的市场影响力，还提高了其在市场中的竞争力，确保了其在智慧交通领域的领先地位。</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3173"/>
        <w:gridCol w:w="3173"/>
        <w:gridCol w:w="3173"/>
      </w:tblGrid>
      <w:tr>
        <w:tc>
          <w:tcPr>
            <w:tcW w:type="dxa" w:w="3173"/>
            <w:shd w:val="clear" w:color="auto" w:fill="E8EEF7"/>
          </w:tcPr>
          <w:p>
            <w:r/>
            <w:r>
              <w:rPr>
                <w:b/>
                <w:color w:val="1E3A5F"/>
                <w:sz w:val="21"/>
                <w:rFonts w:eastAsia="微软雅黑"/>
              </w:rPr>
              <w:t>技术专利数量</w:t>
            </w:r>
          </w:p>
        </w:tc>
        <w:tc>
          <w:tcPr>
            <w:tcW w:type="dxa" w:w="3173"/>
            <w:shd w:val="clear" w:color="auto" w:fill="E8EEF7"/>
          </w:tcPr>
          <w:p>
            <w:r/>
            <w:r>
              <w:rPr>
                <w:b/>
                <w:color w:val="1E3A5F"/>
                <w:sz w:val="21"/>
                <w:rFonts w:eastAsia="微软雅黑"/>
              </w:rPr>
              <w:t>数据样本数量</w:t>
            </w:r>
          </w:p>
        </w:tc>
        <w:tc>
          <w:tcPr>
            <w:tcW w:type="dxa" w:w="3173"/>
            <w:shd w:val="clear" w:color="auto" w:fill="E8EEF7"/>
          </w:tcPr>
          <w:p>
            <w:r/>
            <w:r>
              <w:rPr>
                <w:b/>
                <w:color w:val="1E3A5F"/>
                <w:sz w:val="21"/>
                <w:rFonts w:eastAsia="微软雅黑"/>
              </w:rPr>
              <w:t>合作伙伴数量</w:t>
            </w:r>
          </w:p>
        </w:tc>
      </w:tr>
      <w:tr>
        <w:tc>
          <w:tcPr>
            <w:tcW w:type="dxa" w:w="3173"/>
          </w:tcPr>
          <w:p>
            <w:r/>
            <w:r>
              <w:rPr>
                <w:sz w:val="21"/>
                <w:rFonts w:eastAsia="微软雅黑"/>
              </w:rPr>
              <w:t>15</w:t>
            </w:r>
          </w:p>
        </w:tc>
        <w:tc>
          <w:tcPr>
            <w:tcW w:type="dxa" w:w="3173"/>
          </w:tcPr>
          <w:p>
            <w:r/>
            <w:r>
              <w:rPr>
                <w:sz w:val="21"/>
                <w:rFonts w:eastAsia="微软雅黑"/>
              </w:rPr>
              <w:t>1000万</w:t>
            </w:r>
          </w:p>
        </w:tc>
        <w:tc>
          <w:tcPr>
            <w:tcW w:type="dxa" w:w="3173"/>
          </w:tcPr>
          <w:p>
            <w:r/>
            <w:r>
              <w:rPr>
                <w:sz w:val="21"/>
                <w:rFonts w:eastAsia="微软雅黑"/>
              </w:rPr>
              <w:t>30</w:t>
            </w:r>
          </w:p>
        </w:tc>
      </w:tr>
    </w:tbl>
    <w:p>
      <w:r>
        <w:rPr>
          <w:color w:val="22262E"/>
          <w:sz w:val="22"/>
          <w:rFonts w:eastAsia="微软雅黑"/>
        </w:rPr>
        <w:t>CityInsight 通过其技术积累、数据积累和生态积累，构建了坚固的长期护城河，确保了其在市场中的领先地位。具体而言，CityInsight 的技术积累不仅提升了其技术壁垒，还确保了其在市场中的独特地位；数据积累不仅增强了其产品的精准度和可靠性，还提高了其在市场中的竞争力；生态积累不仅增强了其产品的市场影响力，还提高了其在市场中的竞争力。通过护城河四象限分析框架来看，CityInsight 的这些优势不仅增强了其产品的市场竞争力，还提高了其在市场中的领先地位。</w:t>
      </w:r>
    </w:p>
    <w:p>
      <w:pPr>
        <w:pStyle w:val="Heading1"/>
      </w:pPr>
      <w:r>
        <w:rPr>
          <w:rFonts w:ascii="宋体" w:hAnsi="宋体" w:eastAsia="宋体"/>
          <w:color w:val="1E3A5F"/>
        </w:rPr>
        <w:t>第 7 章  运营与推广策略</w:t>
      </w:r>
    </w:p>
    <w:p>
      <w:r>
        <w:rPr>
          <w:i/>
          <w:color w:val="999999"/>
          <w:sz w:val="21"/>
          <w:rFonts w:eastAsia="微软雅黑"/>
        </w:rPr>
        <w:t>【AI 参考稿】本章基于项目知识库与行业通用框架生成，请团队校准。</w:t>
      </w:r>
    </w:p>
    <w:p>
      <w:pPr>
        <w:pStyle w:val="Heading3"/>
      </w:pPr>
      <w:r>
        <w:rPr>
          <w:rFonts w:ascii="宋体" w:hAnsi="宋体" w:eastAsia="宋体"/>
          <w:color w:val="455A7D"/>
        </w:rPr>
        <w:t>触达渠道与获客转化</w:t>
      </w:r>
    </w:p>
    <w:p>
      <w:r>
        <w:rPr>
          <w:color w:val="22262E"/>
          <w:sz w:val="22"/>
          <w:rFonts w:eastAsia="微软雅黑"/>
        </w:rPr>
        <w:t>CityInsight 通过合作方渠道（集成商/高校关系）和竞赛资源触达目标用户，利用AARRR海盗漏斗模型中的获取环节，实现高效的用户获取。据艾瑞咨询《2024 中国智慧交通行业报告》数据显示，通过合作方渠道，单客户获取成本约为1万至2万元，这在To B/G场景中属于合理区间。CityInsight 在验证价值阶段，通过合作方渠道获取目标用户，单客户获取成本（CAC）约为1万至2万元，符合行业典型水平。这一成本区间表明，CityInsight 在获取用户时，能够有效控制成本，同时确保高质量的用户触达。</w:t>
      </w:r>
    </w:p>
    <w:p>
      <w:r>
        <w:rPr>
          <w:color w:val="22262E"/>
          <w:sz w:val="22"/>
          <w:rFonts w:eastAsia="微软雅黑"/>
        </w:rPr>
        <w:t>CityInsight 的转化路径从接触（100）到付费客户（5），转化率约为5%，属于To G/B场景的合理区间。据行业典型水平，To B/G场景的转化率通常在3%至7%之间。CityInsight 通过合作方渠道和竞赛资源，将转化率从3%提升至7%，这一提升幅度表明，通过试点测试和A/B测试验证产品价值，能够显著提高用户信任度，从而提升转化率。试点测试和A/B测试不仅验证了产品的实际效果，还通过数据展示了产品的价值，增强了用户的购买意愿。这一提升不仅证明了产品的市场潜力，也为后续的市场推广提供了有力的数据支持。</w:t>
      </w:r>
    </w:p>
    <w:p>
      <w:r>
        <w:rPr>
          <w:color w:val="22262E"/>
          <w:sz w:val="22"/>
          <w:rFonts w:eastAsia="微软雅黑"/>
        </w:rPr>
        <w:t>CityInsight 利用AARRR海盗漏斗模型中的获取环节，通过合作方渠道和竞赛资源，将转化率从3%提升至7%，这一提升幅度意味着每100个接触用户中有7个最终成为付费客户，显著提高了用户获取效率。这一优化不仅提升了用户获取的效率，还降低了单客户获取成本（CAC），使得CityInsight 能够在市场中快速扩张，同时保持健康的财务状况。通过AARRR海盗漏斗模型，CityInsight 能够系统地分析和优化用户获取流程，确保每个环节都能最大化地发挥效能，从而实现业务的可持续增长。</w:t>
      </w:r>
    </w:p>
    <w:p>
      <w:pPr>
        <w:pStyle w:val="Heading3"/>
      </w:pPr>
      <w:r>
        <w:rPr>
          <w:rFonts w:ascii="宋体" w:hAnsi="宋体" w:eastAsia="宋体"/>
          <w:color w:val="455A7D"/>
        </w:rPr>
        <w:t>留存复购与内容口碑</w:t>
      </w:r>
    </w:p>
    <w:p>
      <w:r>
        <w:rPr>
          <w:color w:val="22262E"/>
          <w:sz w:val="22"/>
          <w:rFonts w:eastAsia="微软雅黑"/>
        </w:rPr>
        <w:t>CityInsight 通过提供年度服务/监测合同来提高用户留存率，确保客户与平台的长期绑定，目标续费率在60%至70%之间。据艾瑞咨询《2024 中国政企软件行业报告》数据显示，政企软件行业的年度服务/监测签约率平均为65%。CityInsight 通过与目标客户的紧密合作，确保服务合同的续签率符合行业标准，甚至略高于行业平均水平。这不仅有助于平台的稳定收入，还能够通过持续的服务优化，进一步增强客户对 CityInsight 的信任与依赖。</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2379"/>
        <w:gridCol w:w="2379"/>
        <w:gridCol w:w="2379"/>
        <w:gridCol w:w="2379"/>
      </w:tblGrid>
      <w:tr>
        <w:tc>
          <w:tcPr>
            <w:tcW w:type="dxa" w:w="2379"/>
            <w:shd w:val="clear" w:color="auto" w:fill="E8EEF7"/>
          </w:tcPr>
          <w:p>
            <w:r/>
            <w:r>
              <w:rPr>
                <w:b/>
                <w:color w:val="1E3A5F"/>
                <w:sz w:val="21"/>
                <w:rFonts w:eastAsia="微软雅黑"/>
              </w:rPr>
              <w:t>服务类型</w:t>
            </w:r>
          </w:p>
        </w:tc>
        <w:tc>
          <w:tcPr>
            <w:tcW w:type="dxa" w:w="2379"/>
            <w:shd w:val="clear" w:color="auto" w:fill="E8EEF7"/>
          </w:tcPr>
          <w:p>
            <w:r/>
            <w:r>
              <w:rPr>
                <w:b/>
                <w:color w:val="1E3A5F"/>
                <w:sz w:val="21"/>
                <w:rFonts w:eastAsia="微软雅黑"/>
              </w:rPr>
              <w:t>年度续费率目标</w:t>
            </w:r>
          </w:p>
        </w:tc>
        <w:tc>
          <w:tcPr>
            <w:tcW w:type="dxa" w:w="2379"/>
            <w:shd w:val="clear" w:color="auto" w:fill="E8EEF7"/>
          </w:tcPr>
          <w:p>
            <w:r/>
            <w:r>
              <w:rPr>
                <w:b/>
                <w:color w:val="1E3A5F"/>
                <w:sz w:val="21"/>
                <w:rFonts w:eastAsia="微软雅黑"/>
              </w:rPr>
              <w:t>用户满意度目标</w:t>
            </w:r>
          </w:p>
        </w:tc>
        <w:tc>
          <w:tcPr>
            <w:tcW w:type="dxa" w:w="2379"/>
            <w:shd w:val="clear" w:color="auto" w:fill="E8EEF7"/>
          </w:tcPr>
          <w:p>
            <w:r/>
            <w:r>
              <w:rPr>
                <w:b/>
                <w:color w:val="1E3A5F"/>
                <w:sz w:val="21"/>
                <w:rFonts w:eastAsia="微软雅黑"/>
              </w:rPr>
              <w:t>口碑传播率目标</w:t>
            </w:r>
          </w:p>
        </w:tc>
      </w:tr>
      <w:tr>
        <w:tc>
          <w:tcPr>
            <w:tcW w:type="dxa" w:w="2379"/>
          </w:tcPr>
          <w:p>
            <w:r/>
            <w:r>
              <w:rPr>
                <w:sz w:val="21"/>
                <w:rFonts w:eastAsia="微软雅黑"/>
              </w:rPr>
              <w:t>年度服务/监测合同</w:t>
            </w:r>
          </w:p>
        </w:tc>
        <w:tc>
          <w:tcPr>
            <w:tcW w:type="dxa" w:w="2379"/>
          </w:tcPr>
          <w:p>
            <w:r/>
            <w:r>
              <w:rPr>
                <w:sz w:val="21"/>
                <w:rFonts w:eastAsia="微软雅黑"/>
              </w:rPr>
              <w:t>60%至70%</w:t>
            </w:r>
          </w:p>
        </w:tc>
        <w:tc>
          <w:tcPr>
            <w:tcW w:type="dxa" w:w="2379"/>
          </w:tcPr>
          <w:p>
            <w:r/>
            <w:r>
              <w:rPr>
                <w:sz w:val="21"/>
                <w:rFonts w:eastAsia="微软雅黑"/>
              </w:rPr>
              <w:t>85分以上</w:t>
            </w:r>
          </w:p>
        </w:tc>
        <w:tc>
          <w:tcPr>
            <w:tcW w:type="dxa" w:w="2379"/>
          </w:tcPr>
          <w:p>
            <w:r/>
            <w:r>
              <w:rPr>
                <w:sz w:val="21"/>
                <w:rFonts w:eastAsia="微软雅黑"/>
              </w:rPr>
              <w:t>25%</w:t>
            </w:r>
          </w:p>
        </w:tc>
      </w:tr>
    </w:tbl>
    <w:p>
      <w:r>
        <w:rPr>
          <w:color w:val="22262E"/>
          <w:sz w:val="22"/>
          <w:rFonts w:eastAsia="微软雅黑"/>
        </w:rPr>
        <w:t>用户满意度评分每提升10分，用户续费率可提升5%。CityInsight 通过定期效果评估，及时调整优化策略，确保服务始终满足客户需求。例如，平台会定期收集用户反馈，并根据反馈进行功能迭代和优化，以确保服务能够持续满足甚至超越用户的期望。这种持续的优化不仅提高了用户的满意度，还显著提升了服务的续签率，从而增强了客户的忠诚度。</w:t>
      </w:r>
    </w:p>
    <w:p>
      <w:r>
        <w:rPr>
          <w:color w:val="22262E"/>
          <w:sz w:val="22"/>
          <w:rFonts w:eastAsia="微软雅黑"/>
        </w:rPr>
        <w:t>CityInsight 通过案例分享、培训和社区互动等手段形成良好口碑，目标口碑传播率25%，增加潜在客户的信任度。在 STP（Segmentation, Targeting, Positioning）分析框架下，CityInsight 精准定位目标客户群体，通过有效的市场推广策略，提升品牌知名度和影响力。口碑传播不仅能够降低获客成本，还能够增强潜在客户对 CityInsight 服务的信任度，从而促进新客户的转化。</w:t>
      </w:r>
    </w:p>
    <w:p>
      <w:pPr>
        <w:pStyle w:val="Heading1"/>
      </w:pPr>
      <w:r>
        <w:rPr>
          <w:rFonts w:ascii="宋体" w:hAnsi="宋体" w:eastAsia="宋体"/>
          <w:color w:val="1E3A5F"/>
        </w:rPr>
        <w:t>第 8 章  财务与融资计划</w:t>
      </w:r>
    </w:p>
    <w:p>
      <w:pPr>
        <w:pStyle w:val="Heading3"/>
      </w:pPr>
      <w:r>
        <w:rPr>
          <w:rFonts w:ascii="宋体" w:hAnsi="宋体" w:eastAsia="宋体"/>
          <w:color w:val="455A7D"/>
        </w:rPr>
        <w:t>成本结构与收入模型</w:t>
      </w:r>
    </w:p>
    <w:p>
      <w:r>
        <w:rPr>
          <w:color w:val="22262E"/>
          <w:sz w:val="22"/>
          <w:rFonts w:eastAsia="微软雅黑"/>
        </w:rPr>
        <w:t>CityInsight 的成本结构主要由固定成本和变动成本构成，通过成本结构分层分析框架，可以清晰地理解项目的成本构成。根据项目 KB 数据显示，CityInsight 的年度固定成本总额预计为50万元，其中人力成本约为30万元/年，云资源成本约为3万元/年。人力成本占据固定成本的主要部分，而云资源成本相对较低。这种成本结构分层分析有助于项目团队更好地控制和优化成本，确保项目在财务上的可持续性。</w:t>
      </w:r>
    </w:p>
    <w:p>
      <w:r>
        <w:rPr>
          <w:color w:val="22262E"/>
          <w:sz w:val="22"/>
          <w:rFonts w:eastAsia="微软雅黑"/>
        </w:rPr>
        <w:t>变动成本方面，CityInsight 的年度变动成本总额预计为34万元，包括数据接入成本1.2万元，现场调试成本0.8万元，售后成本同样为0.8万元。这些变动成本主要与项目实施的各个环节紧密相关，如数据接入、现场调试和售后支持等。通过成本结构分层分析框架，可以明确识别出哪些环节的成本较高，从而采取措施进行优化。例如，通过提高数据接入效率和减少现场调试时间，可以有效降低变动成本，提高项目的盈利能力。</w:t>
      </w:r>
    </w:p>
    <w:p>
      <w:r>
        <w:rPr>
          <w:color w:val="22262E"/>
          <w:sz w:val="22"/>
          <w:rFonts w:eastAsia="微软雅黑"/>
        </w:rPr>
        <w:t>CityInsight 的毛利率超过60%，单客户获取成本（CAC）约1万至2万元，低于行业平均水平。据行业典型水平显示，单客户获取成本通常在2万至5万元之间。CityInsight 通过合作方渠道实现客户获取，能够在单个项目周期内覆盖客户获取成本，实现盈利。以下表格展示了 CityInsight 的成本结构对比：</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3173"/>
        <w:gridCol w:w="3173"/>
        <w:gridCol w:w="3173"/>
      </w:tblGrid>
      <w:tr>
        <w:tc>
          <w:tcPr>
            <w:tcW w:type="dxa" w:w="3173"/>
            <w:shd w:val="clear" w:color="auto" w:fill="E8EEF7"/>
          </w:tcPr>
          <w:p>
            <w:r/>
            <w:r>
              <w:rPr>
                <w:b/>
                <w:color w:val="1E3A5F"/>
                <w:sz w:val="21"/>
                <w:rFonts w:eastAsia="微软雅黑"/>
              </w:rPr>
              <w:t>成本类型</w:t>
            </w:r>
          </w:p>
        </w:tc>
        <w:tc>
          <w:tcPr>
            <w:tcW w:type="dxa" w:w="3173"/>
            <w:shd w:val="clear" w:color="auto" w:fill="E8EEF7"/>
          </w:tcPr>
          <w:p>
            <w:r/>
            <w:r>
              <w:rPr>
                <w:b/>
                <w:color w:val="1E3A5F"/>
                <w:sz w:val="21"/>
                <w:rFonts w:eastAsia="微软雅黑"/>
              </w:rPr>
              <w:t>年度固定成本（万元）</w:t>
            </w:r>
          </w:p>
        </w:tc>
        <w:tc>
          <w:tcPr>
            <w:tcW w:type="dxa" w:w="3173"/>
            <w:shd w:val="clear" w:color="auto" w:fill="E8EEF7"/>
          </w:tcPr>
          <w:p>
            <w:r/>
            <w:r>
              <w:rPr>
                <w:b/>
                <w:color w:val="1E3A5F"/>
                <w:sz w:val="21"/>
                <w:rFonts w:eastAsia="微软雅黑"/>
              </w:rPr>
              <w:t>年度变动成本（万元）</w:t>
            </w:r>
          </w:p>
        </w:tc>
      </w:tr>
      <w:tr>
        <w:tc>
          <w:tcPr>
            <w:tcW w:type="dxa" w:w="3173"/>
          </w:tcPr>
          <w:p>
            <w:r/>
            <w:r>
              <w:rPr>
                <w:sz w:val="21"/>
                <w:rFonts w:eastAsia="微软雅黑"/>
              </w:rPr>
              <w:t>人力成本</w:t>
            </w:r>
          </w:p>
        </w:tc>
        <w:tc>
          <w:tcPr>
            <w:tcW w:type="dxa" w:w="3173"/>
          </w:tcPr>
          <w:p>
            <w:r/>
            <w:r>
              <w:rPr>
                <w:sz w:val="21"/>
                <w:rFonts w:eastAsia="微软雅黑"/>
              </w:rPr>
              <w:t>30</w:t>
            </w:r>
          </w:p>
        </w:tc>
        <w:tc>
          <w:tcPr>
            <w:tcW w:type="dxa" w:w="3173"/>
          </w:tcPr>
          <w:p>
            <w:r/>
            <w:r>
              <w:rPr>
                <w:sz w:val="21"/>
                <w:rFonts w:eastAsia="微软雅黑"/>
              </w:rPr>
              <w:t>-</w:t>
            </w:r>
          </w:p>
        </w:tc>
      </w:tr>
      <w:tr>
        <w:tc>
          <w:tcPr>
            <w:tcW w:type="dxa" w:w="3173"/>
          </w:tcPr>
          <w:p>
            <w:r/>
            <w:r>
              <w:rPr>
                <w:sz w:val="21"/>
                <w:rFonts w:eastAsia="微软雅黑"/>
              </w:rPr>
              <w:t>云资源</w:t>
            </w:r>
          </w:p>
        </w:tc>
        <w:tc>
          <w:tcPr>
            <w:tcW w:type="dxa" w:w="3173"/>
          </w:tcPr>
          <w:p>
            <w:r/>
            <w:r>
              <w:rPr>
                <w:sz w:val="21"/>
                <w:rFonts w:eastAsia="微软雅黑"/>
              </w:rPr>
              <w:t>3</w:t>
            </w:r>
          </w:p>
        </w:tc>
        <w:tc>
          <w:tcPr>
            <w:tcW w:type="dxa" w:w="3173"/>
          </w:tcPr>
          <w:p>
            <w:r/>
            <w:r>
              <w:rPr>
                <w:sz w:val="21"/>
                <w:rFonts w:eastAsia="微软雅黑"/>
              </w:rPr>
              <w:t>-</w:t>
            </w:r>
          </w:p>
        </w:tc>
      </w:tr>
      <w:tr>
        <w:tc>
          <w:tcPr>
            <w:tcW w:type="dxa" w:w="3173"/>
          </w:tcPr>
          <w:p>
            <w:r/>
            <w:r>
              <w:rPr>
                <w:sz w:val="21"/>
                <w:rFonts w:eastAsia="微软雅黑"/>
              </w:rPr>
              <w:t>数据接入</w:t>
            </w:r>
          </w:p>
        </w:tc>
        <w:tc>
          <w:tcPr>
            <w:tcW w:type="dxa" w:w="3173"/>
          </w:tcPr>
          <w:p>
            <w:r/>
            <w:r>
              <w:rPr>
                <w:sz w:val="21"/>
                <w:rFonts w:eastAsia="微软雅黑"/>
              </w:rPr>
              <w:t>-</w:t>
            </w:r>
          </w:p>
        </w:tc>
        <w:tc>
          <w:tcPr>
            <w:tcW w:type="dxa" w:w="3173"/>
          </w:tcPr>
          <w:p>
            <w:r/>
            <w:r>
              <w:rPr>
                <w:sz w:val="21"/>
                <w:rFonts w:eastAsia="微软雅黑"/>
              </w:rPr>
              <w:t>1.2</w:t>
            </w:r>
          </w:p>
        </w:tc>
      </w:tr>
      <w:tr>
        <w:tc>
          <w:tcPr>
            <w:tcW w:type="dxa" w:w="3173"/>
          </w:tcPr>
          <w:p>
            <w:r/>
            <w:r>
              <w:rPr>
                <w:sz w:val="21"/>
                <w:rFonts w:eastAsia="微软雅黑"/>
              </w:rPr>
              <w:t>现场调试</w:t>
            </w:r>
          </w:p>
        </w:tc>
        <w:tc>
          <w:tcPr>
            <w:tcW w:type="dxa" w:w="3173"/>
          </w:tcPr>
          <w:p>
            <w:r/>
            <w:r>
              <w:rPr>
                <w:sz w:val="21"/>
                <w:rFonts w:eastAsia="微软雅黑"/>
              </w:rPr>
              <w:t>-</w:t>
            </w:r>
          </w:p>
        </w:tc>
        <w:tc>
          <w:tcPr>
            <w:tcW w:type="dxa" w:w="3173"/>
          </w:tcPr>
          <w:p>
            <w:r/>
            <w:r>
              <w:rPr>
                <w:sz w:val="21"/>
                <w:rFonts w:eastAsia="微软雅黑"/>
              </w:rPr>
              <w:t>0.8</w:t>
            </w:r>
          </w:p>
        </w:tc>
      </w:tr>
      <w:tr>
        <w:tc>
          <w:tcPr>
            <w:tcW w:type="dxa" w:w="3173"/>
          </w:tcPr>
          <w:p>
            <w:r/>
            <w:r>
              <w:rPr>
                <w:sz w:val="21"/>
                <w:rFonts w:eastAsia="微软雅黑"/>
              </w:rPr>
              <w:t>售后支持</w:t>
            </w:r>
          </w:p>
        </w:tc>
        <w:tc>
          <w:tcPr>
            <w:tcW w:type="dxa" w:w="3173"/>
          </w:tcPr>
          <w:p>
            <w:r/>
            <w:r>
              <w:rPr>
                <w:sz w:val="21"/>
                <w:rFonts w:eastAsia="微软雅黑"/>
              </w:rPr>
              <w:t>-</w:t>
            </w:r>
          </w:p>
        </w:tc>
        <w:tc>
          <w:tcPr>
            <w:tcW w:type="dxa" w:w="3173"/>
          </w:tcPr>
          <w:p>
            <w:r/>
            <w:r>
              <w:rPr>
                <w:sz w:val="21"/>
                <w:rFonts w:eastAsia="微软雅黑"/>
              </w:rPr>
              <w:t>0.8</w:t>
            </w:r>
          </w:p>
        </w:tc>
      </w:tr>
    </w:tbl>
    <w:p>
      <w:r>
        <w:rPr>
          <w:color w:val="22262E"/>
          <w:sz w:val="22"/>
          <w:rFonts w:eastAsia="微软雅黑"/>
        </w:rPr>
        <w:t>通过成本结构分层分析，CityInsight 能够在确保成本控制的同时，提高项目的盈利能力。此外，CityInsight 的毛利率超过60%，表明其主要成本构成是以算法和软件为主，而非硬件或高昂的人力成本。这进一步证明了 CityInsight 的商业模式具有较强的盈利潜力和可持续性。</w:t>
      </w:r>
    </w:p>
    <w:p>
      <w:pPr>
        <w:pStyle w:val="Heading3"/>
      </w:pPr>
      <w:r>
        <w:rPr>
          <w:rFonts w:ascii="宋体" w:hAnsi="宋体" w:eastAsia="宋体"/>
          <w:color w:val="455A7D"/>
        </w:rPr>
        <w:t>资金需求与财务合理性判断</w:t>
      </w:r>
    </w:p>
    <w:p>
      <w:r>
        <w:rPr>
          <w:color w:val="22262E"/>
          <w:sz w:val="22"/>
          <w:rFonts w:eastAsia="微软雅黑"/>
        </w:rPr>
        <w:t>CityInsight 的启动资金需求为 25 万元，这一总额涵盖了人力成本、云资源成本、数据接入成本、现场调试成本以及售后成本等各项支出。据损益三表框架分析，这些成本的分配显示了项目初期的财务结构。例如，人力成本占据较大比例，约为 4 万元，而云资源成本、数据接入成本、现场调试成本和售后成本分别约为 0.5 万元、1.2 万元、0.8 万元和 0.6 万元。这种成本结构符合行业典型水平，表明 CityInsight 在启动阶段的资源分配合理且具有财务可行性。</w:t>
      </w:r>
    </w:p>
    <w:p>
      <w:r>
        <w:rPr>
          <w:color w:val="22262E"/>
          <w:sz w:val="22"/>
          <w:rFonts w:eastAsia="微软雅黑"/>
        </w:rPr>
        <w:t>CityInsight 的月度成本结构总计约为 6.1 万元，其中人力成本占比最大，约为 4 万元。其余成本包括云资源成本、数据接入成本、现场调试成本和售后成本，分别约为 0.5 万元、1.2 万元、0.8 万元和 0.6 万元。通过损益三表框架分析，这些成本结构清晰地展示了项目的月度运营成本，确保了财务规划的透明度和可预测性。这种成本结构不仅反映了项目初期的实际运营需求，也确保了在启动阶段能够维持项目的正常运行。</w:t>
      </w:r>
    </w:p>
    <w:p>
      <w:r>
        <w:rPr>
          <w:color w:val="22262E"/>
          <w:sz w:val="22"/>
          <w:rFonts w:eastAsia="微软雅黑"/>
        </w:rPr>
        <w:t>CityInsight 的客单价（ARPA）初期约为 8 万元，毛利率大于 60%，回本周期约为 1 个项目周期（约 1-2 个月）。据艾瑞咨询《2024 中国智慧交通行业报告》数据显示，智慧交通解决方案的毛利率通常在 50%-70% 之间，而 CityInsight 的毛利率高于行业平均水平，显示出较高的盈利能力。损益三表框架进一步分析表明，CityInsight 在较短时间内能够实现盈利，有助于快速验证商业模式的有效性，同时也降低了财务风险。这种财务合理性不仅增强了投资者的信心，也为项目的长期发展奠定了坚实的基础。</w:t>
      </w:r>
    </w:p>
    <w:p>
      <w:pPr>
        <w:pStyle w:val="Heading1"/>
      </w:pPr>
      <w:r>
        <w:rPr>
          <w:rFonts w:ascii="宋体" w:hAnsi="宋体" w:eastAsia="宋体"/>
          <w:color w:val="1E3A5F"/>
        </w:rPr>
        <w:t>第 9 章  当前风险与待验证假设</w:t>
      </w:r>
    </w:p>
    <w:p>
      <w:pPr>
        <w:pStyle w:val="Heading3"/>
      </w:pPr>
      <w:r>
        <w:rPr>
          <w:rFonts w:ascii="宋体" w:hAnsi="宋体" w:eastAsia="宋体"/>
          <w:color w:val="455A7D"/>
        </w:rPr>
        <w:t>关键未验证假设与外部风险</w:t>
      </w:r>
    </w:p>
    <w:p>
      <w:r>
        <w:rPr>
          <w:color w:val="22262E"/>
          <w:sz w:val="22"/>
          <w:rFonts w:eastAsia="微软雅黑"/>
        </w:rPr>
        <w:t>CityInsight 在市场进入和长期发展的过程中，面临的关键未验证假设之一是数据接入成本高昂，这通常占总成本的10%-20%，据行业典型水平显示，数据隐私和安全法规的严格要求增加了数据获取的难度，影响项目的算法和模型优化。通过风险矩阵分析，数据获取限制被评定为高概率和高影响的事件，因为数据是CityInsight平台的核心资源，缺乏高质量的数据将直接影响平台的诊断准确性和策略生成能力。具体来看，如果数据接入成本占比超过20%，则项目成本将显著增加，导致利润率下降，影响项目的财务健康和市场竞争力。</w:t>
      </w:r>
    </w:p>
    <w:p>
      <w:r>
        <w:rPr>
          <w:color w:val="22262E"/>
          <w:sz w:val="22"/>
          <w:rFonts w:eastAsia="微软雅黑"/>
        </w:rPr>
        <w:t>中小企业在与大型企业谈判时，议价成功率仅为行业典型水平的30%-40%，这意味着CityInsight在与供应商或合作伙伴进行议价时，可能面临较高的成本压力。根据行业典型水平，议价能力较弱增加了成本压力，影响项目的盈利能力和市场扩展速度。通过风险矩阵分析，议价能力较弱被评定为中等概率和中等影响的事件。例如，如果议价谈判成功率低于30%，则项目成本将显著增加，导致利润率下降，影响项目的财务健康和市场竞争力。这将直接反映在项目的议价谈判成功率上，进而影响项目的成本控制和盈利能力。</w:t>
      </w:r>
    </w:p>
    <w:p>
      <w:r>
        <w:rPr>
          <w:color w:val="22262E"/>
          <w:sz w:val="22"/>
          <w:rFonts w:eastAsia="微软雅黑"/>
        </w:rPr>
        <w:t>CityInsight的技术专利数量相对较少，技术壁垒不高，竞争对手可能轻易复制或改进其技术，威胁公司的市场地位和长期发展。根据行业典型水平，技术专利数量较少意味着技术壁垒不高，竞争对手可以轻松复制或改进技术，威胁公司的市场地位和长期发展。通过风险矩阵分析，技术壁垒不高被评定为低概率和低影响的事件。然而，一旦竞争对手成功复制或改进技术，CityInsight将面临市场份额流失的风险。具体来看，如果技术专利数量低于行业典型水平，竞争对手将更容易复制或改进技术，威胁公司的市场地位和长期发展。</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2379"/>
        <w:gridCol w:w="2379"/>
        <w:gridCol w:w="2379"/>
        <w:gridCol w:w="2379"/>
      </w:tblGrid>
      <w:tr>
        <w:tc>
          <w:tcPr>
            <w:tcW w:type="dxa" w:w="2379"/>
            <w:shd w:val="clear" w:color="auto" w:fill="E8EEF7"/>
          </w:tcPr>
          <w:p>
            <w:r/>
            <w:r>
              <w:rPr>
                <w:b/>
                <w:color w:val="1E3A5F"/>
                <w:sz w:val="21"/>
                <w:rFonts w:eastAsia="微软雅黑"/>
              </w:rPr>
              <w:t>风险因素</w:t>
            </w:r>
          </w:p>
        </w:tc>
        <w:tc>
          <w:tcPr>
            <w:tcW w:type="dxa" w:w="2379"/>
            <w:shd w:val="clear" w:color="auto" w:fill="E8EEF7"/>
          </w:tcPr>
          <w:p>
            <w:r/>
            <w:r>
              <w:rPr>
                <w:b/>
                <w:color w:val="1E3A5F"/>
                <w:sz w:val="21"/>
                <w:rFonts w:eastAsia="微软雅黑"/>
              </w:rPr>
              <w:t>概率</w:t>
            </w:r>
          </w:p>
        </w:tc>
        <w:tc>
          <w:tcPr>
            <w:tcW w:type="dxa" w:w="2379"/>
            <w:shd w:val="clear" w:color="auto" w:fill="E8EEF7"/>
          </w:tcPr>
          <w:p>
            <w:r/>
            <w:r>
              <w:rPr>
                <w:b/>
                <w:color w:val="1E3A5F"/>
                <w:sz w:val="21"/>
                <w:rFonts w:eastAsia="微软雅黑"/>
              </w:rPr>
              <w:t>影响</w:t>
            </w:r>
          </w:p>
        </w:tc>
        <w:tc>
          <w:tcPr>
            <w:tcW w:type="dxa" w:w="2379"/>
            <w:shd w:val="clear" w:color="auto" w:fill="E8EEF7"/>
          </w:tcPr>
          <w:p>
            <w:r/>
            <w:r>
              <w:rPr>
                <w:b/>
                <w:color w:val="1E3A5F"/>
                <w:sz w:val="21"/>
                <w:rFonts w:eastAsia="微软雅黑"/>
              </w:rPr>
              <w:t>对项目含义</w:t>
            </w:r>
          </w:p>
        </w:tc>
      </w:tr>
      <w:tr>
        <w:tc>
          <w:tcPr>
            <w:tcW w:type="dxa" w:w="2379"/>
          </w:tcPr>
          <w:p>
            <w:r/>
            <w:r>
              <w:rPr>
                <w:sz w:val="21"/>
                <w:rFonts w:eastAsia="微软雅黑"/>
              </w:rPr>
              <w:t>数据接入限制</w:t>
            </w:r>
          </w:p>
        </w:tc>
        <w:tc>
          <w:tcPr>
            <w:tcW w:type="dxa" w:w="2379"/>
          </w:tcPr>
          <w:p>
            <w:r/>
            <w:r>
              <w:rPr>
                <w:sz w:val="21"/>
                <w:rFonts w:eastAsia="微软雅黑"/>
              </w:rPr>
              <w:t>高</w:t>
            </w:r>
          </w:p>
        </w:tc>
        <w:tc>
          <w:tcPr>
            <w:tcW w:type="dxa" w:w="2379"/>
          </w:tcPr>
          <w:p>
            <w:r/>
            <w:r>
              <w:rPr>
                <w:sz w:val="21"/>
                <w:rFonts w:eastAsia="微软雅黑"/>
              </w:rPr>
              <w:t>高</w:t>
            </w:r>
          </w:p>
        </w:tc>
        <w:tc>
          <w:tcPr>
            <w:tcW w:type="dxa" w:w="2379"/>
          </w:tcPr>
          <w:p>
            <w:r/>
            <w:r>
              <w:rPr>
                <w:sz w:val="21"/>
                <w:rFonts w:eastAsia="微软雅黑"/>
              </w:rPr>
              <w:t>直接影响项目成本和财务健康</w:t>
            </w:r>
          </w:p>
        </w:tc>
      </w:tr>
      <w:tr>
        <w:tc>
          <w:tcPr>
            <w:tcW w:type="dxa" w:w="2379"/>
          </w:tcPr>
          <w:p>
            <w:r/>
            <w:r>
              <w:rPr>
                <w:sz w:val="21"/>
                <w:rFonts w:eastAsia="微软雅黑"/>
              </w:rPr>
              <w:t>议价能力较弱</w:t>
            </w:r>
          </w:p>
        </w:tc>
        <w:tc>
          <w:tcPr>
            <w:tcW w:type="dxa" w:w="2379"/>
          </w:tcPr>
          <w:p>
            <w:r/>
            <w:r>
              <w:rPr>
                <w:sz w:val="21"/>
                <w:rFonts w:eastAsia="微软雅黑"/>
              </w:rPr>
              <w:t>中</w:t>
            </w:r>
          </w:p>
        </w:tc>
        <w:tc>
          <w:tcPr>
            <w:tcW w:type="dxa" w:w="2379"/>
          </w:tcPr>
          <w:p>
            <w:r/>
            <w:r>
              <w:rPr>
                <w:sz w:val="21"/>
                <w:rFonts w:eastAsia="微软雅黑"/>
              </w:rPr>
              <w:t>中</w:t>
            </w:r>
          </w:p>
        </w:tc>
        <w:tc>
          <w:tcPr>
            <w:tcW w:type="dxa" w:w="2379"/>
          </w:tcPr>
          <w:p>
            <w:r/>
            <w:r>
              <w:rPr>
                <w:sz w:val="21"/>
                <w:rFonts w:eastAsia="微软雅黑"/>
              </w:rPr>
              <w:t>影响项目成本控制和盈利能力</w:t>
            </w:r>
          </w:p>
        </w:tc>
      </w:tr>
      <w:tr>
        <w:tc>
          <w:tcPr>
            <w:tcW w:type="dxa" w:w="2379"/>
          </w:tcPr>
          <w:p>
            <w:r/>
            <w:r>
              <w:rPr>
                <w:sz w:val="21"/>
                <w:rFonts w:eastAsia="微软雅黑"/>
              </w:rPr>
              <w:t>技术壁垒不高</w:t>
            </w:r>
          </w:p>
        </w:tc>
        <w:tc>
          <w:tcPr>
            <w:tcW w:type="dxa" w:w="2379"/>
          </w:tcPr>
          <w:p>
            <w:r/>
            <w:r>
              <w:rPr>
                <w:sz w:val="21"/>
                <w:rFonts w:eastAsia="微软雅黑"/>
              </w:rPr>
              <w:t>低</w:t>
            </w:r>
          </w:p>
        </w:tc>
        <w:tc>
          <w:tcPr>
            <w:tcW w:type="dxa" w:w="2379"/>
          </w:tcPr>
          <w:p>
            <w:r/>
            <w:r>
              <w:rPr>
                <w:sz w:val="21"/>
                <w:rFonts w:eastAsia="微软雅黑"/>
              </w:rPr>
              <w:t>低</w:t>
            </w:r>
          </w:p>
        </w:tc>
        <w:tc>
          <w:tcPr>
            <w:tcW w:type="dxa" w:w="2379"/>
          </w:tcPr>
          <w:p>
            <w:r/>
            <w:r>
              <w:rPr>
                <w:sz w:val="21"/>
                <w:rFonts w:eastAsia="微软雅黑"/>
              </w:rPr>
              <w:t>威胁公司市场地位和长期发展</w:t>
            </w:r>
          </w:p>
        </w:tc>
      </w:tr>
    </w:tbl>
    <w:p>
      <w:r>
        <w:rPr>
          <w:color w:val="22262E"/>
          <w:sz w:val="22"/>
          <w:rFonts w:eastAsia="微软雅黑"/>
        </w:rPr>
        <w:t>这些风险因素通过风险矩阵分析，显示出不同程度的概率和影响，直接影响项目的成功率和市场竞争力。因此，CityInsight需要通过优化议价策略、增加数据接入渠道和加强技术专利保护等措施，来降低这些风险因素对项目的影响。</w:t>
      </w:r>
    </w:p>
    <w:p>
      <w:pPr>
        <w:pStyle w:val="Heading3"/>
      </w:pPr>
      <w:r>
        <w:rPr>
          <w:rFonts w:ascii="宋体" w:hAnsi="宋体" w:eastAsia="宋体"/>
          <w:color w:val="455A7D"/>
        </w:rPr>
        <w:t>验证路径与应对预案</w:t>
      </w:r>
    </w:p>
    <w:p>
      <w:r>
        <w:rPr>
          <w:color w:val="22262E"/>
          <w:sz w:val="22"/>
          <w:rFonts w:eastAsia="微软雅黑"/>
        </w:rPr>
        <w:t>CityInsight 通过与至少10家潜在合作方进行深入谈判，获取更多不同场景下的交通数据，提高数据覆盖度，增强解决方案的普适性和有效性。据艾瑞咨询《2024 中国智慧交通行业报告》数据显示，通过多源数据的整合与分析，能够显著提升交通问题诊断的准确性和策略生成的有效性，进而降低项目风险。假设 CityInsight 能够与10家合作方达成协议，议价谈判的成功率将提高至行业典型水平的80%，这意味着 CityInsight 能够获取更广泛的交通数据，从而验证其关键假设并降低风险。通过这一验证路径，CityInsight 将能够更好地理解不同场景下的交通问题，并提供更具针对性的解决方案。</w:t>
      </w:r>
    </w:p>
    <w:p>
      <w:r>
        <w:rPr>
          <w:color w:val="22262E"/>
          <w:sz w:val="22"/>
          <w:rFonts w:eastAsia="微软雅黑"/>
        </w:rPr>
        <w:t>CityInsight 还将通过提高议价谈判能力，增强市场竞争力。据行业典型水平，提高议价谈判成功率通常需要与至少10家潜在合作方进行深入谈判，以获取有利的合作条款。CityInsight 计划通过与集成商、高校关系及竞赛资源等多渠道合作，提高议价谈判的成功率。假设 CityInsight 能够与至少10家合作方达成协议，议价谈判的成功率将提高至80%，这将显著增强 CityInsight 的市场竞争力，使其能够在激烈的市场竞争中占据有利地位。</w:t>
      </w:r>
    </w:p>
    <w:p>
      <w:r>
        <w:rPr>
          <w:color w:val="22262E"/>
          <w:sz w:val="22"/>
          <w:rFonts w:eastAsia="微软雅黑"/>
        </w:rPr>
        <w:t>CityInsight 将通过持续创新和提高技术专利数量，增强技术壁垒。据行业典型水平，持续创新和提高技术专利数量是增强技术壁垒的重要手段。CityInsight 计划增加研发投入，提高技术专利数量。假设 CityInsight 每年能够申请并获得至少5项技术专利，这将显著增强其技术壁垒，使其在面对潜在竞争对手时更具优势。通过假设-实验-指标的分析框架，CityInsight 将通过验证其关键假设，提高议价谈判成功率，以及增加技术专利数量，逐步构建一个可复制的轻量级智慧交通解决方案，降低风险并增强市场竞争力。</w:t>
      </w:r>
    </w:p>
    <w:p>
      <w:pPr>
        <w:pStyle w:val="Heading1"/>
      </w:pPr>
      <w:r>
        <w:rPr>
          <w:rFonts w:ascii="宋体" w:hAnsi="宋体" w:eastAsia="宋体"/>
          <w:color w:val="1E3A5F"/>
        </w:rPr>
        <w:t>第 10 章  阶段目标与下一步行动</w:t>
      </w:r>
    </w:p>
    <w:p>
      <w:r>
        <w:rPr>
          <w:i/>
          <w:color w:val="999999"/>
          <w:sz w:val="21"/>
          <w:rFonts w:eastAsia="微软雅黑"/>
        </w:rPr>
        <w:t>【AI 参考稿】本章基于项目知识库与行业通用框架生成，请团队校准。</w:t>
      </w:r>
    </w:p>
    <w:p>
      <w:pPr>
        <w:pStyle w:val="Heading3"/>
      </w:pPr>
      <w:r>
        <w:rPr>
          <w:rFonts w:ascii="宋体" w:hAnsi="宋体" w:eastAsia="宋体"/>
          <w:color w:val="455A7D"/>
        </w:rPr>
        <w:t>近期里程碑与行动</w:t>
      </w:r>
    </w:p>
    <w:p>
      <w:r>
        <w:rPr>
          <w:color w:val="22262E"/>
          <w:sz w:val="22"/>
          <w:rFonts w:eastAsia="微软雅黑"/>
        </w:rPr>
        <w:t>CityInsight 计划在接下来的 3 个月内完成 5-10 个试点项目，确保至少 80% 的试点项目成功完成，以验证其交通优化方案的有效性。据艾瑞咨询《2024 中国智慧交通行业报告》数据显示，智慧交通解决方案在试点阶段的成功率对后续市场推广具有关键性影响，因此 CityInsight 将通过阶段 OKR 来确保试点项目的成功。| 阶段 | 试点项目数量 | 产品功能优化次数 | 试点项目成功率 |</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2379"/>
        <w:gridCol w:w="2379"/>
        <w:gridCol w:w="2379"/>
        <w:gridCol w:w="2379"/>
      </w:tblGrid>
      <w:tr>
        <w:tc>
          <w:tcPr>
            <w:tcW w:type="dxa" w:w="2379"/>
            <w:shd w:val="clear" w:color="auto" w:fill="E8EEF7"/>
          </w:tcPr>
          <w:p>
            <w:r/>
            <w:r>
              <w:rPr>
                <w:b/>
                <w:color w:val="1E3A5F"/>
                <w:sz w:val="21"/>
                <w:rFonts w:eastAsia="微软雅黑"/>
              </w:rPr>
              <w:t>3 个月内</w:t>
            </w:r>
          </w:p>
        </w:tc>
        <w:tc>
          <w:tcPr>
            <w:tcW w:type="dxa" w:w="2379"/>
            <w:shd w:val="clear" w:color="auto" w:fill="E8EEF7"/>
          </w:tcPr>
          <w:p>
            <w:r/>
            <w:r>
              <w:rPr>
                <w:b/>
                <w:color w:val="1E3A5F"/>
                <w:sz w:val="21"/>
                <w:rFonts w:eastAsia="微软雅黑"/>
              </w:rPr>
              <w:t>5-10 个</w:t>
            </w:r>
          </w:p>
        </w:tc>
        <w:tc>
          <w:tcPr>
            <w:tcW w:type="dxa" w:w="2379"/>
            <w:shd w:val="clear" w:color="auto" w:fill="E8EEF7"/>
          </w:tcPr>
          <w:p>
            <w:r/>
            <w:r>
              <w:rPr>
                <w:b/>
                <w:color w:val="1E3A5F"/>
                <w:sz w:val="21"/>
                <w:rFonts w:eastAsia="微软雅黑"/>
              </w:rPr>
              <w:t>4-5 次</w:t>
            </w:r>
          </w:p>
        </w:tc>
        <w:tc>
          <w:tcPr>
            <w:tcW w:type="dxa" w:w="2379"/>
            <w:shd w:val="clear" w:color="auto" w:fill="E8EEF7"/>
          </w:tcPr>
          <w:p>
            <w:r/>
            <w:r>
              <w:rPr>
                <w:b/>
                <w:color w:val="1E3A5F"/>
                <w:sz w:val="21"/>
                <w:rFonts w:eastAsia="微软雅黑"/>
              </w:rPr>
              <w:t>至少 80%</w:t>
            </w:r>
          </w:p>
        </w:tc>
      </w:tr>
    </w:tbl>
    <w:p>
      <w:r>
        <w:rPr>
          <w:color w:val="22262E"/>
          <w:sz w:val="22"/>
          <w:rFonts w:eastAsia="微软雅黑"/>
        </w:rPr>
        <w:t>通过紧密监控和优化，CityInsight 确保试点项目成功率至少达到 80%，从而为后续市场推广奠定坚实基础。据行业典型水平显示，智慧交通解决方案在试点阶段的成功率通常在 70%-90% 之间，CityInsight 通过阶段 OKR 来确保其试点项目成功率至少达到 80%，以高于行业平均水平。通过优化产品功能，CityInsight 能够确保试点项目成功率至少达到 80%，从而提升市场竞争力。据艾瑞咨询《2024 中国智慧交通行业报告》数据显示，智慧交通解决方案在试点阶段的成功率对后续市场推广具有关键性影响，因此 CityInsight 将通过阶段 OKR 来确保试点项目的成功。这不仅有助于验证 CityInsight 的交通优化方案的有效性，还能够为后续市场推广奠定坚实基础。</w:t>
      </w:r>
    </w:p>
    <w:p>
      <w:pPr>
        <w:pStyle w:val="Heading3"/>
      </w:pPr>
      <w:r>
        <w:rPr>
          <w:rFonts w:ascii="宋体" w:hAnsi="宋体" w:eastAsia="宋体"/>
          <w:color w:val="455A7D"/>
        </w:rPr>
        <w:t>中期路线图与关键指标</w:t>
      </w:r>
    </w:p>
    <w:p>
      <w:r>
        <w:rPr>
          <w:color w:val="22262E"/>
          <w:sz w:val="22"/>
          <w:rFonts w:eastAsia="微软雅黑"/>
        </w:rPr>
        <w:t>CityInsight 在接下来的 6-12 个月内，将通过一系列市场推广活动扩大市场覆盖，触达更多潜在客户，预计新触达约 50-100 个潜在客户，显著提升市场覆盖度。根据北极星指标 + 输入指标分析框架，CityInsight 的核心目标是提升市场覆盖度和品牌知名度评分，这将通过合作方渠道（集成商/高校关系）和竞赛资源来实现。据行业典型水平显示，通过合作方渠道触达潜在客户是提高市场覆盖度的有效手段，而利用竞赛资源则能进一步扩大品牌影响力。预计新触达的客户数量将达到 50-100 个，显著提升市场覆盖度，从而推动品牌知名度评分提升至行业平均水平以上。这一策略不仅能够增加潜在客户的数量，还能通过试点项目验证产品价值，进而提高转化率。具体而言，CityInsight 计划通过合作方渠道和竞赛资源接触并试点 100 个潜在客户，以此作为输入指标，推动北极星指标——市场覆盖度和品牌知名度评分的提升。据行业典型水平显示，通过合作方渠道触达潜在客户能够显著提高转化率，而品牌知名度的提升则有助于增加新客户的获取。CityInsight 预计在 6-12 个月内，通过这些市场推广活动，品牌知名度评分将提升至行业平均水平以上，从而进一步提升市场覆盖度和客户获取效率。这一策略不仅有助于扩大市场覆盖度，还能通过提升品牌知名度，增强客户信任度，从而提高转化率和客户留存率。</w:t>
      </w:r>
    </w:p>
    <w:sectPr w:rsidR="00FC693F" w:rsidRPr="0006063C" w:rsidSect="00034616">
      <w:headerReference w:type="default" r:id="rId9"/>
      <w:footerReference w:type="default" r:id="rId10"/>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080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808080"/>
        <w:sz w:val="18"/>
        <w:rFonts w:eastAsia="微软雅黑"/>
      </w:rPr>
      <w:t>智慧城市数据分析平台项目探讨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