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</w:rPr>
        <w:t>Examining Relationships: Supervisor Support and Employee Burnout</w:t>
      </w:r>
    </w:p>
    <w:p/>
    <w:p>
      <w:pPr>
        <w:spacing w:line="480" w:lineRule="auto"/>
        <w:jc w:val="center"/>
      </w:pPr>
      <w:r>
        <w:t>Jordan A. Example</w:t>
      </w:r>
    </w:p>
    <w:p>
      <w:pPr>
        <w:spacing w:line="480" w:lineRule="auto"/>
        <w:jc w:val="center"/>
      </w:pPr>
      <w:r>
        <w:t>Department of Psychology, Example University</w:t>
      </w:r>
    </w:p>
    <w:p>
      <w:pPr>
        <w:spacing w:line="480" w:lineRule="auto"/>
        <w:jc w:val="center"/>
      </w:pPr>
      <w:r>
        <w:t>PSY 3010: Research Methods in Psychology</w:t>
      </w:r>
    </w:p>
    <w:p>
      <w:pPr>
        <w:spacing w:line="480" w:lineRule="auto"/>
        <w:jc w:val="center"/>
      </w:pPr>
      <w:r>
        <w:t>Dr. Morgan Professor</w:t>
      </w:r>
    </w:p>
    <w:p>
      <w:pPr>
        <w:spacing w:line="480" w:lineRule="auto"/>
        <w:jc w:val="center"/>
      </w:pPr>
      <w:r>
        <w:t>September 27, 2026</w:t>
      </w:r>
    </w:p>
    <w:p>
      <w:pPr>
        <w:sectPr>
          <w:headerReference w:type="first" r:id="rId9"/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>
      <w:pPr>
        <w:pStyle w:val="Heading1"/>
        <w:jc w:val="center"/>
      </w:pPr>
      <w:r>
        <w:t>Examining Relationships: Supervisor Support and Employee Burnout</w:t>
      </w:r>
    </w:p>
    <w:p>
      <w:pPr>
        <w:spacing w:line="480" w:lineRule="auto"/>
        <w:ind w:firstLine="720"/>
      </w:pPr>
      <w:r>
        <w:t>Supervisor support was operationalised as the degree to which employees perceive that their immediate supervisor values their contributions and cares about their well-being. Burnout was treated as a three-part syndrome of exhaustion, cynicism and reduced professional efficacy. Prior work links low support to higher exhaustion</w:t>
      </w:r>
      <w:r>
        <w:rPr>
          <w:vertAlign w:val="superscript"/>
        </w:rPr>
        <w:footnoteReference w:id="1"/>
      </w:r>
      <w:r>
        <w:t xml:space="preserve"> across service occupations.</w:t>
      </w:r>
    </w:p>
    <w:p>
      <w:pPr>
        <w:spacing w:line="480" w:lineRule="auto"/>
        <w:ind w:firstLine="720"/>
      </w:pPr>
      <w:r>
        <w:t xml:space="preserve">COLOURED-RUN-MARKER </w:t>
      </w:r>
      <w:r>
        <w:rPr>
          <w:color w:val="1F3864"/>
        </w:rPr>
        <w:t>This sentence is set in the document's own dark blue.</w:t>
      </w:r>
      <w:r>
        <w:t xml:space="preserve"> And this one is automatic (black) again.</w:t>
      </w:r>
    </w:p>
    <w:p>
      <w:pPr>
        <w:pStyle w:val="Heading2"/>
      </w:pPr>
      <w:r>
        <w:t>Hypotheses</w:t>
      </w:r>
    </w:p>
    <w:p>
      <w:pPr>
        <w:pStyle w:val="ListNumber"/>
      </w:pPr>
      <w:r>
        <w:t>Perceived supervisor support is negatively related to exhaustion.</w:t>
      </w:r>
    </w:p>
    <w:p>
      <w:pPr>
        <w:pStyle w:val="ListNumber"/>
      </w:pPr>
      <w:r>
        <w:t>Perceived supervisor support is negatively related to cynicism.</w:t>
      </w:r>
    </w:p>
    <w:p>
      <w:pPr>
        <w:pStyle w:val="ListNumber"/>
      </w:pPr>
      <w:r>
        <w:t>Professional efficacy mediates both relationships.</w:t>
      </w:r>
    </w:p>
    <w:p>
      <w:pPr>
        <w:pStyle w:val="Heading2"/>
      </w:pPr>
      <w:r>
        <w:t>Measures</w:t>
      </w:r>
    </w:p>
    <w:p>
      <w:pPr>
        <w:pStyle w:val="ListBullet"/>
      </w:pPr>
      <w:r>
        <w:t>Survey of Perceived Supervisor Support (8 items)</w:t>
      </w:r>
    </w:p>
    <w:p>
      <w:pPr>
        <w:pStyle w:val="ListBullet"/>
      </w:pPr>
      <w:r>
        <w:t>Maslach Burnout Inventory - General Survey (16 items)</w:t>
      </w:r>
    </w:p>
    <w:p>
      <w:pPr>
        <w:pStyle w:val="ListBullet"/>
      </w:pPr>
      <w:r>
        <w:t>Demographics and tenure</w:t>
      </w:r>
    </w:p>
    <w:p>
      <w:pPr>
        <w:spacing w:line="480" w:lineRule="auto"/>
        <w:ind w:firstLine="720"/>
      </w:pPr>
      <w:r>
        <w:t>Table 1 lists the descriptive statistics for the study variables.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Variable</w:t>
            </w:r>
          </w:p>
        </w:tc>
        <w:tc>
          <w:tcPr>
            <w:tcW w:type="dxa" w:w="3120"/>
          </w:tcPr>
          <w:p>
            <w:r>
              <w:t>M</w:t>
            </w:r>
          </w:p>
        </w:tc>
        <w:tc>
          <w:tcPr>
            <w:tcW w:type="dxa" w:w="3120"/>
          </w:tcPr>
          <w:p>
            <w:r>
              <w:t>SD</w:t>
            </w:r>
          </w:p>
        </w:tc>
      </w:tr>
      <w:tr>
        <w:tc>
          <w:tcPr>
            <w:tcW w:type="dxa" w:w="3120"/>
          </w:tcPr>
          <w:p>
            <w:r>
              <w:t>Supervisor support</w:t>
            </w:r>
          </w:p>
        </w:tc>
        <w:tc>
          <w:tcPr>
            <w:tcW w:type="dxa" w:w="3120"/>
          </w:tcPr>
          <w:p>
            <w:r>
              <w:t>4.12</w:t>
            </w:r>
          </w:p>
        </w:tc>
        <w:tc>
          <w:tcPr>
            <w:tcW w:type="dxa" w:w="3120"/>
          </w:tcPr>
          <w:p>
            <w:r>
              <w:t>0.81</w:t>
            </w:r>
          </w:p>
        </w:tc>
      </w:tr>
      <w:tr>
        <w:tc>
          <w:tcPr>
            <w:tcW w:type="dxa" w:w="3120"/>
          </w:tcPr>
          <w:p>
            <w:r>
              <w:t>Exhaustion</w:t>
            </w:r>
          </w:p>
        </w:tc>
        <w:tc>
          <w:tcPr>
            <w:tcW w:type="dxa" w:w="3120"/>
          </w:tcPr>
          <w:p>
            <w:r>
              <w:t>2.95</w:t>
            </w:r>
          </w:p>
        </w:tc>
        <w:tc>
          <w:tcPr>
            <w:tcW w:type="dxa" w:w="3120"/>
          </w:tcPr>
          <w:p>
            <w:r>
              <w:t>1.10</w:t>
            </w:r>
          </w:p>
        </w:tc>
      </w:tr>
      <w:tr>
        <w:tc>
          <w:tcPr>
            <w:tcW w:type="dxa" w:w="3120"/>
          </w:tcPr>
          <w:p>
            <w:r>
              <w:t>Cynicism</w:t>
            </w:r>
          </w:p>
        </w:tc>
        <w:tc>
          <w:tcPr>
            <w:tcW w:type="dxa" w:w="3120"/>
          </w:tcPr>
          <w:p>
            <w:r>
              <w:t>2.41</w:t>
            </w:r>
          </w:p>
        </w:tc>
        <w:tc>
          <w:tcPr>
            <w:tcW w:type="dxa" w:w="3120"/>
          </w:tcPr>
          <w:p>
            <w:r>
              <w:t>1.02</w:t>
            </w:r>
          </w:p>
        </w:tc>
      </w:tr>
    </w:tbl>
    <w:p>
      <w:pPr>
        <w:spacing w:line="480" w:lineRule="auto"/>
        <w:ind w:firstLine="720"/>
      </w:pPr>
      <w:r>
        <w:t>Figure 1 shows the four-quadrant study design.</w:t>
      </w:r>
    </w:p>
    <w:p>
      <w:r>
        <w:drawing>
          <wp:inline xmlns:a="http://schemas.openxmlformats.org/drawingml/2006/main" xmlns:pic="http://schemas.openxmlformats.org/drawingml/2006/picture">
            <wp:extent cx="2286000" cy="142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ind w:firstLine="720"/>
      </w:pPr>
      <w:r>
        <w:t>FIGURE-CAPTION Figure 1. Study design.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720" w:hanging="720"/>
      </w:pPr>
      <w:r>
        <w:t>Example, J. A. (2025). Support and strain at work. Journal of Examples, 12(3), 45-67.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Appendix: Landscape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Wave 3</w:t>
            </w:r>
          </w:p>
        </w:tc>
        <w:tc>
          <w:tcPr>
            <w:tcW w:type="dxa" w:w="2160"/>
          </w:tcPr>
          <w:p>
            <w:r>
              <w:t>Wave 4</w:t>
            </w:r>
          </w:p>
        </w:tc>
        <w:tc>
          <w:tcPr>
            <w:tcW w:type="dxa" w:w="2160"/>
          </w:tcPr>
          <w:p>
            <w:r>
              <w:t>Wave 5</w:t>
            </w:r>
          </w:p>
        </w:tc>
        <w:tc>
          <w:tcPr>
            <w:tcW w:type="dxa" w:w="2160"/>
          </w:tcPr>
          <w:p>
            <w:r>
              <w:t>Wave 6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135</w:t>
            </w:r>
          </w:p>
        </w:tc>
      </w:tr>
    </w:tbl>
    <w:p>
      <w:pPr>
        <w:spacing w:line="480" w:lineRule="auto"/>
        <w:ind w:firstLine="720"/>
      </w:pPr>
      <w:r>
        <w:t>LANDSCAPE-MARKER The appendix page is wider than it is tall.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FOOTER-TEXT Example University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FOOTNOTE-ONE Burnout was measured with the MBI-GS.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RUNNING-HEAD SUPERVISOR SUPPORT AND BURNOUT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Examining Relationships: Supervisor Support and Employee Burnout</dc:title>
  <dc:subject/>
  <dc:creator>Fixture Author</dc:creator>
  <cp:keywords/>
  <dc:description>VibeSpace docx viewer fixture (scripts/fixtures/docx/gen.py)</dc:description>
  <cp:lastModifiedBy>Fixture Author</cp:lastModifiedBy>
  <cp:revision>1</cp:revision>
  <dcterms:created xsi:type="dcterms:W3CDTF">2026-09-27T00:00:00Z</dcterms:created>
  <dcterms:modified xsi:type="dcterms:W3CDTF">2026-09-27T00:00:00Z</dcterms:modified>
  <cp:category/>
</cp:coreProperties>
</file>