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 (учебное)</w:t>
      </w:r>
    </w:p>
    <w:p>
      <w:r>
        <w:t>1. Разработать проект организации движения на участке 2,4 км в соответствии с пунктом 5.2.1 ГОСТ Р 90001-2024.</w:t>
      </w:r>
    </w:p>
    <w:p>
      <w:r>
        <w:t>2. Выполнить натурное обследование участка с применением передвижной лаборатории.</w:t>
      </w:r>
    </w:p>
    <w:p>
      <w:r>
        <w:t>3. Заказчик передаёт исполнителю схему участка и данные учёта интенсивности за последний год.</w:t>
      </w:r>
    </w:p>
    <w:p>
      <w:r>
        <w:t>4. Подготовить ведомость технических средств по форме таблицы 3 ГОСТ Р 90001-2024.</w:t>
      </w:r>
    </w:p>
    <w:p>
      <w:r>
        <w:t>5. Оформить пояснительную записку по разделу 7 СП 90002.2023.</w:t>
      </w:r>
    </w:p>
    <w:p>
      <w:r>
        <w:t>6. Расстановку знаков выполнить согласно пункту 6.4.9 ГОСТ Р 90001-2024.</w:t>
      </w:r>
    </w:p>
    <w:p>
      <w:r>
        <w:t>7. Согласовать проект с органом управления дорожным хозяйством.</w:t>
      </w:r>
    </w:p>
    <w:p>
      <w:r>
        <w:t>8. Учёт интенсивности выполнить по пункту 4.3 ОДМ 90003-2022.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Объём</w:t>
            </w:r>
          </w:p>
        </w:tc>
        <w:tc>
          <w:tcPr>
            <w:tcW w:type="dxa" w:w="4320"/>
          </w:tcPr>
          <w:p>
            <w:r>
              <w:t>Срок</w:t>
            </w:r>
          </w:p>
        </w:tc>
      </w:tr>
      <w:tr>
        <w:tc>
          <w:tcPr>
            <w:tcW w:type="dxa" w:w="4320"/>
          </w:tcPr>
          <w:p>
            <w:r>
              <w:t>2,4 км</w:t>
            </w:r>
          </w:p>
        </w:tc>
        <w:tc>
          <w:tcPr>
            <w:tcW w:type="dxa" w:w="4320"/>
          </w:tcPr>
          <w:p>
            <w:r>
              <w:t>45 дней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