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3A6B"/>
          <w:sz w:val="40"/>
          <w:szCs w:val="40"/>
        </w:rPr>
        <w:t xml:space="preserve">Northwind Pharmaceuticals</w:t>
      </w:r>
    </w:p>
    <w:p>
      <w:pPr>
        <w:spacing w:after="240"/>
        <w:jc w:val="center"/>
      </w:pPr>
      <w:r>
        <w:rPr>
          <w:i/>
          <w:iCs/>
          <w:color w:val="555555"/>
          <w:sz w:val="24"/>
          <w:szCs w:val="24"/>
        </w:rPr>
        <w:t xml:space="preserve">Commercial Field Assistant — Internal Knowledge Base</w:t>
      </w:r>
    </w:p>
    <w:p>
      <w:pPr>
        <w:spacing w:after="120"/>
      </w:pPr>
      <w:r>
        <w:t xml:space="preserve">Northwind Pharmaceuticals is a fictional company used for this demo. This document is the knowledge source for the Northwind Field Assistant. It is an internal reference for the commercial field and analytics teams. The assistant may use only the information contained here, and must route medical, clinical, or adverse-event questions to the correct team rather than answering them.</w:t>
      </w:r>
    </w:p>
    <w:p>
      <w:pPr>
        <w:pStyle w:val="Heading1"/>
        <w:spacing w:after="120" w:before="240"/>
      </w:pPr>
      <w:r>
        <w:rPr>
          <w:b/>
          <w:bCs/>
          <w:color w:val="1B3A6B"/>
        </w:rPr>
        <w:t xml:space="preserve">Purpose &amp; Scope</w:t>
      </w:r>
    </w:p>
    <w:p>
      <w:pPr>
        <w:spacing w:after="120"/>
      </w:pPr>
      <w:r>
        <w:t xml:space="preserve">Audience: internal commercial field representatives and commercial analytics staff. It is not for patients or healthcare professionals.</w:t>
      </w:r>
    </w:p>
    <w:p>
      <w:pPr>
        <w:spacing w:after="120"/>
      </w:pPr>
      <w:r>
        <w:t xml:space="preserve">It answers: commercial KPI definitions, data sources and refresh timing, internal field processes, and high-level product-portfolio facts.</w:t>
      </w:r>
    </w:p>
    <w:p>
      <w:pPr>
        <w:spacing w:after="120"/>
      </w:pPr>
      <w:r>
        <w:t xml:space="preserve">It does not: provide medical, clinical, or dosing advice; discuss off-label or unapproved uses; make efficacy or safety claims; or handle patient medical questions. Those are routed to Medical Information, Market Access, or Pharmacovigilance as appropriate.</w:t>
      </w:r>
    </w:p>
    <w:p>
      <w:pPr>
        <w:pStyle w:val="Heading1"/>
        <w:spacing w:after="120" w:before="240"/>
      </w:pPr>
      <w:r>
        <w:rPr>
          <w:b/>
          <w:bCs/>
          <w:color w:val="1B3A6B"/>
        </w:rPr>
        <w:t xml:space="preserve">Product Portfolio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1B3A6B" w:color="auto" w:val="clear"/>
          </w:tcPr>
          <w:p>
            <w:r>
              <w:rPr>
                <w:b/>
                <w:bCs/>
                <w:color w:val="FFFFFF"/>
              </w:rPr>
              <w:t xml:space="preserve">Product</w:t>
            </w:r>
          </w:p>
        </w:tc>
        <w:tc>
          <w:tcPr>
            <w:tcW w:type="dxa" w:w="4200"/>
            <w:shd w:fill="1B3A6B" w:color="auto" w:val="clear"/>
          </w:tcPr>
          <w:p>
            <w:r>
              <w:rPr>
                <w:b/>
                <w:bCs/>
                <w:color w:val="FFFFFF"/>
              </w:rPr>
              <w:t xml:space="preserve">Therapeutic area</w:t>
            </w:r>
          </w:p>
        </w:tc>
        <w:tc>
          <w:tcPr>
            <w:tcW w:type="dxa" w:w="2560"/>
            <w:shd w:fill="1B3A6B" w:color="auto" w:val="clear"/>
          </w:tcPr>
          <w:p>
            <w:r>
              <w:rPr>
                <w:b/>
                <w:bCs/>
                <w:color w:val="FFFFFF"/>
              </w:rPr>
              <w:t xml:space="preserve">Status</w:t>
            </w:r>
          </w:p>
        </w:tc>
      </w:tr>
      <w:tr>
        <w:tc>
          <w:tcPr>
            <w:tcW w:type="dxa" w:w="2600"/>
            <w:shd w:fill="FFFFFF" w:color="auto" w:val="clear"/>
          </w:tcPr>
          <w:p>
            <w:r>
              <w:t xml:space="preserve">Cardviza</w:t>
            </w:r>
          </w:p>
        </w:tc>
        <w:tc>
          <w:tcPr>
            <w:tcW w:type="dxa" w:w="4200"/>
            <w:shd w:fill="FFFFFF" w:color="auto" w:val="clear"/>
          </w:tcPr>
          <w:p>
            <w:r>
              <w:t xml:space="preserve">Cardiology — hypertension</w:t>
            </w:r>
          </w:p>
        </w:tc>
        <w:tc>
          <w:tcPr>
            <w:tcW w:type="dxa" w:w="2560"/>
            <w:shd w:fill="FFFFFF" w:color="auto" w:val="clear"/>
          </w:tcPr>
          <w:p>
            <w:r>
              <w:t xml:space="preserve">Marketed</w:t>
            </w:r>
          </w:p>
        </w:tc>
      </w:tr>
      <w:tr>
        <w:tc>
          <w:tcPr>
            <w:tcW w:type="dxa" w:w="2600"/>
            <w:shd w:fill="EEF2F8" w:color="auto" w:val="clear"/>
          </w:tcPr>
          <w:p>
            <w:r>
              <w:t xml:space="preserve">Neurovance</w:t>
            </w:r>
          </w:p>
        </w:tc>
        <w:tc>
          <w:tcPr>
            <w:tcW w:type="dxa" w:w="4200"/>
            <w:shd w:fill="EEF2F8" w:color="auto" w:val="clear"/>
          </w:tcPr>
          <w:p>
            <w:r>
              <w:t xml:space="preserve">Neurology — migraine prevention</w:t>
            </w:r>
          </w:p>
        </w:tc>
        <w:tc>
          <w:tcPr>
            <w:tcW w:type="dxa" w:w="2560"/>
            <w:shd w:fill="EEF2F8" w:color="auto" w:val="clear"/>
          </w:tcPr>
          <w:p>
            <w:r>
              <w:t xml:space="preserve">Marketed</w:t>
            </w:r>
          </w:p>
        </w:tc>
      </w:tr>
      <w:tr>
        <w:tc>
          <w:tcPr>
            <w:tcW w:type="dxa" w:w="2600"/>
            <w:shd w:fill="FFFFFF" w:color="auto" w:val="clear"/>
          </w:tcPr>
          <w:p>
            <w:r>
              <w:t xml:space="preserve">Immunotor</w:t>
            </w:r>
          </w:p>
        </w:tc>
        <w:tc>
          <w:tcPr>
            <w:tcW w:type="dxa" w:w="4200"/>
            <w:shd w:fill="FFFFFF" w:color="auto" w:val="clear"/>
          </w:tcPr>
          <w:p>
            <w:r>
              <w:t xml:space="preserve">Immunology — plaque psoriasis</w:t>
            </w:r>
          </w:p>
        </w:tc>
        <w:tc>
          <w:tcPr>
            <w:tcW w:type="dxa" w:w="2560"/>
            <w:shd w:fill="FFFFFF" w:color="auto" w:val="clear"/>
          </w:tcPr>
          <w:p>
            <w:r>
              <w:t xml:space="preserve">Recently launched</w:t>
            </w:r>
          </w:p>
        </w:tc>
      </w:tr>
    </w:tbl>
    <w:p>
      <w:pPr>
        <w:spacing w:after="120"/>
      </w:pPr>
      <w:r>
        <w:t xml:space="preserve">Product names above are fictional. This assistant does not provide dosing, efficacy, or safety information. For any medical question about a product, contact Medical Information.</w:t>
      </w:r>
    </w:p>
    <w:p>
      <w:pPr>
        <w:pStyle w:val="Heading1"/>
        <w:spacing w:after="120" w:before="240"/>
      </w:pPr>
      <w:r>
        <w:rPr>
          <w:b/>
          <w:bCs/>
          <w:color w:val="1B3A6B"/>
        </w:rPr>
        <w:t xml:space="preserve">Commercial KPI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B3A6B" w:color="auto" w:val="clear"/>
          </w:tcPr>
          <w:p>
            <w:r>
              <w:rPr>
                <w:b/>
                <w:bCs/>
                <w:color w:val="FFFFFF"/>
              </w:rPr>
              <w:t xml:space="preserve">Metric</w:t>
            </w:r>
          </w:p>
        </w:tc>
        <w:tc>
          <w:tcPr>
            <w:tcW w:type="dxa" w:w="6660"/>
            <w:shd w:fill="1B3A6B" w:color="auto" w:val="clear"/>
          </w:tcPr>
          <w:p>
            <w:r>
              <w:rPr>
                <w:b/>
                <w:bCs/>
                <w:color w:val="FFFFFF"/>
              </w:rPr>
              <w:t xml:space="preserve">Definition</w:t>
            </w:r>
          </w:p>
        </w:tc>
      </w:tr>
      <w:tr>
        <w:tc>
          <w:tcPr>
            <w:tcW w:type="dxa" w:w="2700"/>
            <w:shd w:fill="FFFFFF" w:color="auto" w:val="clear"/>
          </w:tcPr>
          <w:p>
            <w:r>
              <w:t xml:space="preserve">TRx (Total Prescriptions)</w:t>
            </w:r>
          </w:p>
        </w:tc>
        <w:tc>
          <w:tcPr>
            <w:tcW w:type="dxa" w:w="6660"/>
            <w:shd w:fill="FFFFFF" w:color="auto" w:val="clear"/>
          </w:tcPr>
          <w:p>
            <w:r>
              <w:t xml:space="preserve">All prescriptions dispensed in a period — new prescriptions plus refills.</w:t>
            </w:r>
          </w:p>
        </w:tc>
      </w:tr>
      <w:tr>
        <w:tc>
          <w:tcPr>
            <w:tcW w:type="dxa" w:w="2700"/>
            <w:shd w:fill="EEF2F8" w:color="auto" w:val="clear"/>
          </w:tcPr>
          <w:p>
            <w:r>
              <w:t xml:space="preserve">NRx (New Prescriptions)</w:t>
            </w:r>
          </w:p>
        </w:tc>
        <w:tc>
          <w:tcPr>
            <w:tcW w:type="dxa" w:w="6660"/>
            <w:shd w:fill="EEF2F8" w:color="auto" w:val="clear"/>
          </w:tcPr>
          <w:p>
            <w:r>
              <w:t xml:space="preserve">New starts and therapy switches, excluding refills. A more current demand signal than TRx.</w:t>
            </w:r>
          </w:p>
        </w:tc>
      </w:tr>
      <w:tr>
        <w:tc>
          <w:tcPr>
            <w:tcW w:type="dxa" w:w="2700"/>
            <w:shd w:fill="FFFFFF" w:color="auto" w:val="clear"/>
          </w:tcPr>
          <w:p>
            <w:r>
              <w:t xml:space="preserve">NBRx (New-to-Brand)</w:t>
            </w:r>
          </w:p>
        </w:tc>
        <w:tc>
          <w:tcPr>
            <w:tcW w:type="dxa" w:w="6660"/>
            <w:shd w:fill="FFFFFF" w:color="auto" w:val="clear"/>
          </w:tcPr>
          <w:p>
            <w:r>
              <w:t xml:space="preserve">Prescriptions for patients new to our brand specifically. A leading indicator of fresh demand.</w:t>
            </w:r>
          </w:p>
        </w:tc>
      </w:tr>
      <w:tr>
        <w:tc>
          <w:tcPr>
            <w:tcW w:type="dxa" w:w="2700"/>
            <w:shd w:fill="EEF2F8" w:color="auto" w:val="clear"/>
          </w:tcPr>
          <w:p>
            <w:r>
              <w:t xml:space="preserve">Market share (volume)</w:t>
            </w:r>
          </w:p>
        </w:tc>
        <w:tc>
          <w:tcPr>
            <w:tcW w:type="dxa" w:w="6660"/>
            <w:shd w:fill="EEF2F8" w:color="auto" w:val="clear"/>
          </w:tcPr>
          <w:p>
            <w:r>
              <w:t xml:space="preserve">Our TRx (or NRx) divided by total TRx (or NRx) for the therapeutic class.</w:t>
            </w:r>
          </w:p>
        </w:tc>
      </w:tr>
      <w:tr>
        <w:tc>
          <w:tcPr>
            <w:tcW w:type="dxa" w:w="2700"/>
            <w:shd w:fill="FFFFFF" w:color="auto" w:val="clear"/>
          </w:tcPr>
          <w:p>
            <w:r>
              <w:t xml:space="preserve">Market share (value)</w:t>
            </w:r>
          </w:p>
        </w:tc>
        <w:tc>
          <w:tcPr>
            <w:tcW w:type="dxa" w:w="6660"/>
            <w:shd w:fill="FFFFFF" w:color="auto" w:val="clear"/>
          </w:tcPr>
          <w:p>
            <w:r>
              <w:t xml:space="preserve">Our sales dollars divided by total class sales dollars. Can differ from volume share due to price.</w:t>
            </w:r>
          </w:p>
        </w:tc>
      </w:tr>
      <w:tr>
        <w:tc>
          <w:tcPr>
            <w:tcW w:type="dxa" w:w="2700"/>
            <w:shd w:fill="EEF2F8" w:color="auto" w:val="clear"/>
          </w:tcPr>
          <w:p>
            <w:r>
              <w:t xml:space="preserve">Share of Voice (SOV)</w:t>
            </w:r>
          </w:p>
        </w:tc>
        <w:tc>
          <w:tcPr>
            <w:tcW w:type="dxa" w:w="6660"/>
            <w:shd w:fill="EEF2F8" w:color="auto" w:val="clear"/>
          </w:tcPr>
          <w:p>
            <w:r>
              <w:t xml:space="preserve">Our promotional activity (details/calls) as a proportion of total promotion in the category.</w:t>
            </w:r>
          </w:p>
        </w:tc>
      </w:tr>
      <w:tr>
        <w:tc>
          <w:tcPr>
            <w:tcW w:type="dxa" w:w="2700"/>
            <w:shd w:fill="FFFFFF" w:color="auto" w:val="clear"/>
          </w:tcPr>
          <w:p>
            <w:r>
              <w:t xml:space="preserve">Reach</w:t>
            </w:r>
          </w:p>
        </w:tc>
        <w:tc>
          <w:tcPr>
            <w:tcW w:type="dxa" w:w="6660"/>
            <w:shd w:fill="FFFFFF" w:color="auto" w:val="clear"/>
          </w:tcPr>
          <w:p>
            <w:r>
              <w:t xml:space="preserve">The number or percent of target HCPs called on at least once in the period.</w:t>
            </w:r>
          </w:p>
        </w:tc>
      </w:tr>
      <w:tr>
        <w:tc>
          <w:tcPr>
            <w:tcW w:type="dxa" w:w="2700"/>
            <w:shd w:fill="EEF2F8" w:color="auto" w:val="clear"/>
          </w:tcPr>
          <w:p>
            <w:r>
              <w:t xml:space="preserve">Frequency</w:t>
            </w:r>
          </w:p>
        </w:tc>
        <w:tc>
          <w:tcPr>
            <w:tcW w:type="dxa" w:w="6660"/>
            <w:shd w:fill="EEF2F8" w:color="auto" w:val="clear"/>
          </w:tcPr>
          <w:p>
            <w:r>
              <w:t xml:space="preserve">Average number of calls per reached HCP in the period.</w:t>
            </w:r>
          </w:p>
        </w:tc>
      </w:tr>
      <w:tr>
        <w:tc>
          <w:tcPr>
            <w:tcW w:type="dxa" w:w="2700"/>
            <w:shd w:fill="FFFFFF" w:color="auto" w:val="clear"/>
          </w:tcPr>
          <w:p>
            <w:r>
              <w:t xml:space="preserve">Call plan attainment</w:t>
            </w:r>
          </w:p>
        </w:tc>
        <w:tc>
          <w:tcPr>
            <w:tcW w:type="dxa" w:w="6660"/>
            <w:shd w:fill="FFFFFF" w:color="auto" w:val="clear"/>
          </w:tcPr>
          <w:p>
            <w:r>
              <w:t xml:space="preserve">Actual calls completed versus the planned call target.</w:t>
            </w:r>
          </w:p>
        </w:tc>
      </w:tr>
      <w:tr>
        <w:tc>
          <w:tcPr>
            <w:tcW w:type="dxa" w:w="2700"/>
            <w:shd w:fill="EEF2F8" w:color="auto" w:val="clear"/>
          </w:tcPr>
          <w:p>
            <w:r>
              <w:t xml:space="preserve">Sample-to-call ratio</w:t>
            </w:r>
          </w:p>
        </w:tc>
        <w:tc>
          <w:tcPr>
            <w:tcW w:type="dxa" w:w="6660"/>
            <w:shd w:fill="EEF2F8" w:color="auto" w:val="clear"/>
          </w:tcPr>
          <w:p>
            <w:r>
              <w:t xml:space="preserve">Samples distributed relative to the number of calls made.</w:t>
            </w:r>
          </w:p>
        </w:tc>
      </w:tr>
      <w:tr>
        <w:tc>
          <w:tcPr>
            <w:tcW w:type="dxa" w:w="2700"/>
            <w:shd w:fill="FFFFFF" w:color="auto" w:val="clear"/>
          </w:tcPr>
          <w:p>
            <w:r>
              <w:t xml:space="preserve">Persistence</w:t>
            </w:r>
          </w:p>
        </w:tc>
        <w:tc>
          <w:tcPr>
            <w:tcW w:type="dxa" w:w="6660"/>
            <w:shd w:fill="FFFFFF" w:color="auto" w:val="clear"/>
          </w:tcPr>
          <w:p>
            <w:r>
              <w:t xml:space="preserve">How long a patient stays on therapy before discontinuing.</w:t>
            </w:r>
          </w:p>
        </w:tc>
      </w:tr>
      <w:tr>
        <w:tc>
          <w:tcPr>
            <w:tcW w:type="dxa" w:w="2700"/>
            <w:shd w:fill="EEF2F8" w:color="auto" w:val="clear"/>
          </w:tcPr>
          <w:p>
            <w:r>
              <w:t xml:space="preserve">Adherence (PDC)</w:t>
            </w:r>
          </w:p>
        </w:tc>
        <w:tc>
          <w:tcPr>
            <w:tcW w:type="dxa" w:w="6660"/>
            <w:shd w:fill="EEF2F8" w:color="auto" w:val="clear"/>
          </w:tcPr>
          <w:p>
            <w:r>
              <w:t xml:space="preserve">Proportion of Days Covered — how consistently a patient takes the therapy as prescribed.</w:t>
            </w:r>
          </w:p>
        </w:tc>
      </w:tr>
    </w:tbl>
    <w:p>
      <w:pPr>
        <w:pStyle w:val="Heading1"/>
        <w:spacing w:after="120" w:before="240"/>
      </w:pPr>
      <w:r>
        <w:rPr>
          <w:b/>
          <w:bCs/>
          <w:color w:val="1B3A6B"/>
        </w:rPr>
        <w:t xml:space="preserve">Data Sources &amp;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shd w:fill="1B3A6B" w:color="auto" w:val="clear"/>
          </w:tcPr>
          <w:p>
            <w:r>
              <w:rPr>
                <w:b/>
                <w:bCs/>
                <w:color w:val="FFFFFF"/>
              </w:rPr>
              <w:t xml:space="preserve">Source</w:t>
            </w:r>
          </w:p>
        </w:tc>
        <w:tc>
          <w:tcPr>
            <w:tcW w:type="dxa" w:w="4400"/>
            <w:shd w:fill="1B3A6B" w:color="auto" w:val="clear"/>
          </w:tcPr>
          <w:p>
            <w:r>
              <w:rPr>
                <w:b/>
                <w:bCs/>
                <w:color w:val="FFFFFF"/>
              </w:rPr>
              <w:t xml:space="preserve">What it provides</w:t>
            </w:r>
          </w:p>
        </w:tc>
        <w:tc>
          <w:tcPr>
            <w:tcW w:type="dxa" w:w="2360"/>
            <w:shd w:fill="1B3A6B" w:color="auto" w:val="clear"/>
          </w:tcPr>
          <w:p>
            <w:r>
              <w:rPr>
                <w:b/>
                <w:bCs/>
                <w:color w:val="FFFFFF"/>
              </w:rPr>
              <w:t xml:space="preserve">Refresh</w:t>
            </w:r>
          </w:p>
        </w:tc>
      </w:tr>
      <w:tr>
        <w:tc>
          <w:tcPr>
            <w:tcW w:type="dxa" w:w="2600"/>
            <w:shd w:fill="FFFFFF" w:color="auto" w:val="clear"/>
          </w:tcPr>
          <w:p>
            <w:r>
              <w:t xml:space="preserve">IQVIA (Xponent / NPA)</w:t>
            </w:r>
          </w:p>
        </w:tc>
        <w:tc>
          <w:tcPr>
            <w:tcW w:type="dxa" w:w="4400"/>
            <w:shd w:fill="FFFFFF" w:color="auto" w:val="clear"/>
          </w:tcPr>
          <w:p>
            <w:r>
              <w:t xml:space="preserve">Prescription volumes (TRx, NRx, NBRx) by HCP and geography</w:t>
            </w:r>
          </w:p>
        </w:tc>
        <w:tc>
          <w:tcPr>
            <w:tcW w:type="dxa" w:w="2360"/>
            <w:shd w:fill="FFFFFF" w:color="auto" w:val="clear"/>
          </w:tcPr>
          <w:p>
            <w:r>
              <w:t xml:space="preserve">Weekly (Monday)</w:t>
            </w:r>
          </w:p>
        </w:tc>
      </w:tr>
      <w:tr>
        <w:tc>
          <w:tcPr>
            <w:tcW w:type="dxa" w:w="2600"/>
            <w:shd w:fill="EEF2F8" w:color="auto" w:val="clear"/>
          </w:tcPr>
          <w:p>
            <w:r>
              <w:t xml:space="preserve">Veeva CRM</w:t>
            </w:r>
          </w:p>
        </w:tc>
        <w:tc>
          <w:tcPr>
            <w:tcW w:type="dxa" w:w="4400"/>
            <w:shd w:fill="EEF2F8" w:color="auto" w:val="clear"/>
          </w:tcPr>
          <w:p>
            <w:r>
              <w:t xml:space="preserve">Call activity, samples dropped, HCP interactions</w:t>
            </w:r>
          </w:p>
        </w:tc>
        <w:tc>
          <w:tcPr>
            <w:tcW w:type="dxa" w:w="2360"/>
            <w:shd w:fill="EEF2F8" w:color="auto" w:val="clear"/>
          </w:tcPr>
          <w:p>
            <w:r>
              <w:t xml:space="preserve">Nightly</w:t>
            </w:r>
          </w:p>
        </w:tc>
      </w:tr>
      <w:tr>
        <w:tc>
          <w:tcPr>
            <w:tcW w:type="dxa" w:w="2600"/>
            <w:shd w:fill="FFFFFF" w:color="auto" w:val="clear"/>
          </w:tcPr>
          <w:p>
            <w:r>
              <w:t xml:space="preserve">Specialty pharmacy hub</w:t>
            </w:r>
          </w:p>
        </w:tc>
        <w:tc>
          <w:tcPr>
            <w:tcW w:type="dxa" w:w="4400"/>
            <w:shd w:fill="FFFFFF" w:color="auto" w:val="clear"/>
          </w:tcPr>
          <w:p>
            <w:r>
              <w:t xml:space="preserve">Dispense and patient-status data for specialty products</w:t>
            </w:r>
          </w:p>
        </w:tc>
        <w:tc>
          <w:tcPr>
            <w:tcW w:type="dxa" w:w="2360"/>
            <w:shd w:fill="FFFFFF" w:color="auto" w:val="clear"/>
          </w:tcPr>
          <w:p>
            <w:r>
              <w:t xml:space="preserve">Weekly</w:t>
            </w:r>
          </w:p>
        </w:tc>
      </w:tr>
    </w:tbl>
    <w:p>
      <w:pPr>
        <w:spacing w:after="120"/>
      </w:pPr>
      <w:r>
        <w:t xml:space="preserve">Always validate any figure against the official weekly commercial dashboard before it is shared outside the commercial team.</w:t>
      </w:r>
    </w:p>
    <w:p>
      <w:pPr>
        <w:pStyle w:val="Heading1"/>
        <w:spacing w:after="120" w:before="240"/>
      </w:pPr>
      <w:r>
        <w:rPr>
          <w:b/>
          <w:bCs/>
          <w:color w:val="1B3A6B"/>
        </w:rPr>
        <w:t xml:space="preserve">Field Processes</w:t>
      </w:r>
    </w:p>
    <w:p>
      <w:pPr>
        <w:spacing w:after="120"/>
      </w:pPr>
      <w:r>
        <w:t xml:space="preserve">Logging a call: record calls in Veeva within 24 to 48 hours, including the product discussed and which approved materials were used.</w:t>
      </w:r>
    </w:p>
    <w:p>
      <w:pPr>
        <w:spacing w:after="120"/>
      </w:pPr>
      <w:r>
        <w:t xml:space="preserve">Recording a sample: capture the HCP signature at drop-off. All samples must be reconciled for accountability.</w:t>
      </w:r>
    </w:p>
    <w:p>
      <w:pPr>
        <w:spacing w:after="120"/>
      </w:pPr>
      <w:r>
        <w:t xml:space="preserve">Expenses: submit through the expense system within 30 days of the expense date.</w:t>
      </w:r>
    </w:p>
    <w:p>
      <w:pPr>
        <w:spacing w:after="120"/>
      </w:pPr>
      <w:r>
        <w:t xml:space="preserve">Access and formulary questions: route to the Market Access team rather than answering directly.</w:t>
      </w:r>
    </w:p>
    <w:p>
      <w:pPr>
        <w:pStyle w:val="Heading1"/>
        <w:spacing w:after="120" w:before="240"/>
      </w:pPr>
      <w:r>
        <w:rPr>
          <w:b/>
          <w:bCs/>
          <w:color w:val="1B3A6B"/>
        </w:rPr>
        <w:t xml:space="preserve">Compliance Essentials</w:t>
      </w:r>
    </w:p>
    <w:p>
      <w:pPr>
        <w:spacing w:after="120"/>
      </w:pPr>
      <w:r>
        <w:t xml:space="preserve">Use only current, approved (MLR-cleared) materials. Do not promote off-label or unapproved uses. Maintain fair balance and never guarantee efficacy or safety.</w:t>
      </w:r>
    </w:p>
    <w:p>
      <w:pPr>
        <w:spacing w:after="120"/>
      </w:pPr>
      <w:r>
        <w:t xml:space="preserve">Adverse events and product complaints: if you become aware of a possible adverse event or product complaint, report it to Pharmacovigilance at pv@northwind.example within 24 hours. Collect the reporter and patient details, the product, and what happened. Do not give the patient medical advice — the pharmacovigilance and medical teams will follow up.</w:t>
      </w:r>
    </w:p>
    <w:p>
      <w:pPr>
        <w:pStyle w:val="Heading1"/>
        <w:spacing w:after="120" w:before="240"/>
      </w:pPr>
      <w:r>
        <w:rPr>
          <w:b/>
          <w:bCs/>
          <w:color w:val="1B3A6B"/>
        </w:rPr>
        <w:t xml:space="preserve">Common Questions</w:t>
      </w:r>
    </w:p>
    <w:p>
      <w:pPr>
        <w:spacing w:after="120"/>
      </w:pPr>
      <w:r>
        <w:t xml:space="preserve">What is the difference between NRx and NBRx? NRx counts new prescriptions overall (new starts and switches, excluding refills). NBRx counts only patients who are new to our brand — a cleaner read on fresh demand.</w:t>
      </w:r>
    </w:p>
    <w:p>
      <w:pPr>
        <w:spacing w:after="120"/>
      </w:pPr>
      <w:r>
        <w:t xml:space="preserve">Where does TRx come from? IQVIA prescription data, refreshed weekly on Mondays.</w:t>
      </w:r>
    </w:p>
    <w:p>
      <w:pPr>
        <w:spacing w:after="120"/>
      </w:pPr>
      <w:r>
        <w:t xml:space="preserve">A physician asked about an unapproved use of a product — what do I do? Do not discuss off-label use. Refer them to Medical Information, and submit an unsolicited medical request if appropriate.</w:t>
      </w:r>
    </w:p>
    <w:p>
      <w:pPr>
        <w:spacing w:after="120"/>
      </w:pPr>
      <w:r>
        <w:t xml:space="preserve">A patient mentioned a side effect — what do I do? Treat it as a possible adverse event and report it to Pharmacovigilance within 24 hours. Do not provide medical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2026-07-01T09:22:46.583Z</dcterms:created>
  <dcterms:modified xsi:type="dcterms:W3CDTF">2026-07-01T09:22:46.594Z</dcterms:modified>
</cp:coreProperties>
</file>

<file path=docProps/custom.xml><?xml version="1.0" encoding="utf-8"?>
<Properties xmlns="http://schemas.openxmlformats.org/officeDocument/2006/custom-properties" xmlns:vt="http://schemas.openxmlformats.org/officeDocument/2006/docPropsVTypes"/>
</file>