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f77b0a8f91aaf6fda560d872ba3ae9aa786a10"/>
    <w:p>
      <w:pPr>
        <w:pStyle w:val="Heading1"/>
      </w:pPr>
      <w:r>
        <w:t xml:space="preserve">Business Case &amp; Implementation Plan: WiBC Supplier Gender Equity Diagnostic (SGED)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Management Review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Implementation Proposal for the Supplier Gender Equity Diagnostic Tool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Leverage procurement influence to drive systemic gender equity across the supply chain.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Supplier Gender Equity Diagnostic (SGED)</w:t>
      </w:r>
      <w:r>
        <w:t xml:space="preserve"> </w:t>
      </w:r>
      <w:r>
        <w:t xml:space="preserve">is a strategic addition to the Charter’s ecosystem. By providing signatories with a Supplier Equity Diagnostic, you enable them to use their purchasing power to drive systemic change across the West of England.</w:t>
      </w:r>
    </w:p>
    <w:p>
      <w:pPr>
        <w:pStyle w:val="BodyText"/>
      </w:pPr>
      <w:r>
        <w:t xml:space="preserve">This tool is designed to be a high-level, 20-30 minute survey that a signatory sends to their suppliers. It follows a 0–5 maturity logic framed for procurement and supply chain compliance. Suppliers receive an immediate result (score) and a light report guiding them on how to improve their maturity—based on the goal standards, leading them to want to join the charter as a signatory and complete the full assessment.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CRM Integration (HubSpot)</w:t>
      </w:r>
      <w:r>
        <w:t xml:space="preserve">: Upon submission, supplier information, scores, and maturity levels are automatically pushed to HubSpot, creating or updating contacts and syncing performance metadata for targeted follow-up.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Oversight (Admin Panel)</w:t>
      </w:r>
      <w:r>
        <w:t xml:space="preserve">: Provides internal administrators with a centralized dashboard to track supplier participation, score distributions, and individual diagnostic outputs.</w:t>
      </w:r>
    </w:p>
    <w:p>
      <w:r>
        <w:pict>
          <v:rect style="width:0;height:1.5pt" o:hralign="center" o:hrstd="t" o:hr="t"/>
        </w:pict>
      </w:r>
    </w:p>
    <w:bookmarkEnd w:id="9"/>
    <w:bookmarkStart w:id="10" w:name="system-architecture-user-flow"/>
    <w:p>
      <w:pPr>
        <w:pStyle w:val="Heading2"/>
      </w:pPr>
      <w:r>
        <w:t xml:space="preserve">System Architecture &amp; User Flow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A["Step 1A: Intake Form"] --&gt; B["Step 1B: 7-Goal Diagnostic"]</w:t>
      </w:r>
      <w:r>
        <w:br/>
      </w:r>
      <w:r>
        <w:rPr>
          <w:rStyle w:val="VerbatimChar"/>
        </w:rPr>
        <w:t xml:space="preserve">    B --&gt; C["Results &amp; Spider Chart"]</w:t>
      </w:r>
      <w:r>
        <w:br/>
      </w:r>
      <w:r>
        <w:rPr>
          <w:rStyle w:val="VerbatimChar"/>
        </w:rPr>
        <w:t xml:space="preserve">    C --&gt; D["Supabase DB Sync"]</w:t>
      </w:r>
      <w:r>
        <w:br/>
      </w:r>
      <w:r>
        <w:rPr>
          <w:rStyle w:val="VerbatimChar"/>
        </w:rPr>
        <w:t xml:space="preserve">    D --&gt; E["Next.js HubSpot Sync Route"]</w:t>
      </w:r>
      <w:r>
        <w:br/>
      </w:r>
      <w:r>
        <w:rPr>
          <w:rStyle w:val="VerbatimChar"/>
        </w:rPr>
        <w:t xml:space="preserve">    E --&gt; F["HubSpot CRM"]</w:t>
      </w:r>
      <w:r>
        <w:br/>
      </w:r>
      <w:r>
        <w:rPr>
          <w:rStyle w:val="VerbatimChar"/>
        </w:rPr>
        <w:t xml:space="preserve">    D --&gt; G["Admin Dashboard"]</w:t>
      </w:r>
    </w:p>
    <w:p>
      <w:r>
        <w:pict>
          <v:rect style="width:0;height:1.5pt" o:hralign="center" o:hrstd="t" o:hr="t"/>
        </w:pict>
      </w:r>
    </w:p>
    <w:bookmarkEnd w:id="10"/>
    <w:bookmarkStart w:id="15" w:name="project-phase-breakdown"/>
    <w:p>
      <w:pPr>
        <w:pStyle w:val="Heading2"/>
      </w:pPr>
      <w:r>
        <w:t xml:space="preserve">Project Phase Breakdown</w:t>
      </w:r>
    </w:p>
    <w:bookmarkStart w:id="11" w:name="X7ee96fed93cea6b22657a6284a6b2c221eefe21"/>
    <w:p>
      <w:pPr>
        <w:pStyle w:val="Heading3"/>
      </w:pPr>
      <w:r>
        <w:t xml:space="preserve">Phase 1: Supplier Registration &amp; Intake Form (Step 1A)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</w:t>
      </w:r>
      <w:r>
        <w:t xml:space="preserve">: Collect essential supplier metadata.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Fields</w:t>
      </w:r>
      <w:r>
        <w:t xml:space="preserve">: Company Name, Contact Name, Contact Email, Company Size (FTEs), Industry Sector.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UX Strategy</w:t>
      </w:r>
      <w:r>
        <w:t xml:space="preserve">: Clean, premium form layout requiring minimal friction before entering the diagnostic.</w:t>
      </w:r>
    </w:p>
    <w:bookmarkEnd w:id="11"/>
    <w:bookmarkStart w:id="12" w:name="Xb0964ee4c76e754c733a7622406edb16f05e3a7"/>
    <w:p>
      <w:pPr>
        <w:pStyle w:val="Heading3"/>
      </w:pPr>
      <w:r>
        <w:t xml:space="preserve">Phase 2: The 7-Goal Maturity Assessment (Step 1B)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</w:t>
      </w:r>
      <w:r>
        <w:t xml:space="preserve">: Assess the supplier against the 7 core pillars of the Charter using a single maturity query per goal rated from 0 to 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Component</w:t>
      </w:r>
      <w:r>
        <w:t xml:space="preserve">: Interactive step-by-step slider/radio grid showing clear descriptive indicators for Level 1, Level 3, and Level 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 Framework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Flexible &amp; Part-Time Working</w:t>
      </w:r>
      <w:r>
        <w:t xml:space="preserve">:</w:t>
      </w:r>
      <w:r>
        <w:t xml:space="preserve"> </w:t>
      </w:r>
      <w:r>
        <w:rPr>
          <w:i/>
          <w:iCs/>
        </w:rPr>
        <w:t xml:space="preserve">Does your organisation proactively offer and role-model flexible working at all levels?</w:t>
      </w:r>
    </w:p>
    <w:p>
      <w:pPr>
        <w:pStyle w:val="Compact"/>
        <w:numPr>
          <w:ilvl w:val="2"/>
          <w:numId w:val="1005"/>
        </w:numPr>
      </w:pPr>
      <w:r>
        <w:rPr>
          <w:i/>
          <w:iCs/>
        </w:rPr>
        <w:t xml:space="preserve">L1</w:t>
      </w:r>
      <w:r>
        <w:t xml:space="preserve">: We comply with statutory flexible working request laws.</w:t>
      </w:r>
    </w:p>
    <w:p>
      <w:pPr>
        <w:pStyle w:val="Compact"/>
        <w:numPr>
          <w:ilvl w:val="2"/>
          <w:numId w:val="1005"/>
        </w:numPr>
      </w:pPr>
      <w:r>
        <w:rPr>
          <w:i/>
          <w:iCs/>
        </w:rPr>
        <w:t xml:space="preserve">L3</w:t>
      </w:r>
      <w:r>
        <w:t xml:space="preserve">: We have a ‘Flexible by Default’ culture. Flexibility and leave policies are mentioned in all job ads, and we support menopause/menstrual health adjustments via manager-led accommodations.</w:t>
      </w:r>
    </w:p>
    <w:p>
      <w:pPr>
        <w:pStyle w:val="Compact"/>
        <w:numPr>
          <w:ilvl w:val="2"/>
          <w:numId w:val="1005"/>
        </w:numPr>
      </w:pPr>
      <w:r>
        <w:rPr>
          <w:i/>
          <w:iCs/>
        </w:rPr>
        <w:t xml:space="preserve">L5</w:t>
      </w:r>
      <w:r>
        <w:t xml:space="preserve">: We have a market-leading approach (e.g., 4-day week) and a contractual ‘Right to Disconnect’ to prevent burnout.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Representative Senior Leadership</w:t>
      </w:r>
      <w:r>
        <w:t xml:space="preserve">:</w:t>
      </w:r>
      <w:r>
        <w:t xml:space="preserve"> </w:t>
      </w:r>
      <w:r>
        <w:rPr>
          <w:i/>
          <w:iCs/>
        </w:rPr>
        <w:t xml:space="preserve">Do women, including those from marginalised backgrounds, have equal representation in your senior leadership and Board?</w:t>
      </w:r>
    </w:p>
    <w:p>
      <w:pPr>
        <w:pStyle w:val="Compact"/>
        <w:numPr>
          <w:ilvl w:val="2"/>
          <w:numId w:val="1006"/>
        </w:numPr>
      </w:pPr>
      <w:r>
        <w:rPr>
          <w:i/>
          <w:iCs/>
        </w:rPr>
        <w:t xml:space="preserve">L1</w:t>
      </w:r>
      <w:r>
        <w:t xml:space="preserve">: We track gender representation at a high level.</w:t>
      </w:r>
    </w:p>
    <w:p>
      <w:pPr>
        <w:pStyle w:val="Compact"/>
        <w:numPr>
          <w:ilvl w:val="2"/>
          <w:numId w:val="1006"/>
        </w:numPr>
      </w:pPr>
      <w:r>
        <w:rPr>
          <w:i/>
          <w:iCs/>
        </w:rPr>
        <w:t xml:space="preserve">L3</w:t>
      </w:r>
      <w:r>
        <w:t xml:space="preserve">: We set intersectional targets (Race/Disability/Class) and have audited our senior roles to remove ‘class-coded’ barriers (e.g., elite university bias).</w:t>
      </w:r>
    </w:p>
    <w:p>
      <w:pPr>
        <w:pStyle w:val="Compact"/>
        <w:numPr>
          <w:ilvl w:val="2"/>
          <w:numId w:val="1006"/>
        </w:numPr>
      </w:pPr>
      <w:r>
        <w:rPr>
          <w:i/>
          <w:iCs/>
        </w:rPr>
        <w:t xml:space="preserve">L5</w:t>
      </w:r>
      <w:r>
        <w:t xml:space="preserve">: Executive bonuses are tied to D&amp;I outcomes. We use live dashboards to ensure women move through the pipeline at the same velocity as men.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Executive Accountability &amp; Safe Culture</w:t>
      </w:r>
      <w:r>
        <w:t xml:space="preserve">:</w:t>
      </w:r>
      <w:r>
        <w:t xml:space="preserve"> </w:t>
      </w:r>
      <w:r>
        <w:rPr>
          <w:i/>
          <w:iCs/>
        </w:rPr>
        <w:t xml:space="preserve">Is there clear executive accountability for gender equity and a proven ‘Preventative Duty’ regarding workplace safety?</w:t>
      </w:r>
    </w:p>
    <w:p>
      <w:pPr>
        <w:pStyle w:val="Compact"/>
        <w:numPr>
          <w:ilvl w:val="2"/>
          <w:numId w:val="1007"/>
        </w:numPr>
      </w:pPr>
      <w:r>
        <w:rPr>
          <w:i/>
          <w:iCs/>
        </w:rPr>
        <w:t xml:space="preserve">L1</w:t>
      </w:r>
      <w:r>
        <w:t xml:space="preserve">: We have a named EDI lead and a standard anti-harassment policy.</w:t>
      </w:r>
    </w:p>
    <w:p>
      <w:pPr>
        <w:pStyle w:val="Compact"/>
        <w:numPr>
          <w:ilvl w:val="2"/>
          <w:numId w:val="1007"/>
        </w:numPr>
      </w:pPr>
      <w:r>
        <w:rPr>
          <w:i/>
          <w:iCs/>
        </w:rPr>
        <w:t xml:space="preserve">L3</w:t>
      </w:r>
      <w:r>
        <w:t xml:space="preserve">: We meet the ‘Statutory Preventative Duty’ for sexual harassment. Our Employee Resource Groups (ERGs) are consulted on policy design, and we conduct workplace menopause risk assessments.</w:t>
      </w:r>
    </w:p>
    <w:p>
      <w:pPr>
        <w:pStyle w:val="Compact"/>
        <w:numPr>
          <w:ilvl w:val="2"/>
          <w:numId w:val="1007"/>
        </w:numPr>
      </w:pPr>
      <w:r>
        <w:rPr>
          <w:i/>
          <w:iCs/>
        </w:rPr>
        <w:t xml:space="preserve">L5</w:t>
      </w:r>
      <w:r>
        <w:t xml:space="preserve">: We provide independent, third-party reporting lines for harassment and offer paid leave for domestic abuse survivors.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Progression from Lower-Paid Roles</w:t>
      </w:r>
      <w:r>
        <w:t xml:space="preserve">:</w:t>
      </w:r>
      <w:r>
        <w:t xml:space="preserve"> </w:t>
      </w:r>
      <w:r>
        <w:rPr>
          <w:i/>
          <w:iCs/>
        </w:rPr>
        <w:t xml:space="preserve">Do you have clear pathways to management for women in frontline, operational, or lower-paid roles?</w:t>
      </w:r>
    </w:p>
    <w:p>
      <w:pPr>
        <w:pStyle w:val="Compact"/>
        <w:numPr>
          <w:ilvl w:val="2"/>
          <w:numId w:val="1008"/>
        </w:numPr>
      </w:pPr>
      <w:r>
        <w:rPr>
          <w:i/>
          <w:iCs/>
        </w:rPr>
        <w:t xml:space="preserve">L1</w:t>
      </w:r>
      <w:r>
        <w:t xml:space="preserve">: Internal vacancies are posted on staff boards/intranets.</w:t>
      </w:r>
    </w:p>
    <w:p>
      <w:pPr>
        <w:pStyle w:val="Compact"/>
        <w:numPr>
          <w:ilvl w:val="2"/>
          <w:numId w:val="1008"/>
        </w:numPr>
      </w:pPr>
      <w:r>
        <w:rPr>
          <w:i/>
          <w:iCs/>
        </w:rPr>
        <w:t xml:space="preserve">L3</w:t>
      </w:r>
      <w:r>
        <w:t xml:space="preserve">: We have removed degree requirements from internal roles and budget for childcare/travel costs to ensure lower-paid staff can attend training.</w:t>
      </w:r>
    </w:p>
    <w:p>
      <w:pPr>
        <w:pStyle w:val="Compact"/>
        <w:numPr>
          <w:ilvl w:val="2"/>
          <w:numId w:val="1008"/>
        </w:numPr>
      </w:pPr>
      <w:r>
        <w:rPr>
          <w:i/>
          <w:iCs/>
        </w:rPr>
        <w:t xml:space="preserve">L5</w:t>
      </w:r>
      <w:r>
        <w:t xml:space="preserve">: We benchmark social mobility and provide ‘Cultural Capital’ coaching to women from working-class backgrounds to support their progression.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Closing the Intersectional Pay Gap</w:t>
      </w:r>
      <w:r>
        <w:t xml:space="preserve">:</w:t>
      </w:r>
      <w:r>
        <w:t xml:space="preserve"> </w:t>
      </w:r>
      <w:r>
        <w:rPr>
          <w:i/>
          <w:iCs/>
        </w:rPr>
        <w:t xml:space="preserve">Are you transparent about pay and committed to closing intersectional pay and pension gaps?</w:t>
      </w:r>
    </w:p>
    <w:p>
      <w:pPr>
        <w:pStyle w:val="Compact"/>
        <w:numPr>
          <w:ilvl w:val="2"/>
          <w:numId w:val="1009"/>
        </w:numPr>
      </w:pPr>
      <w:r>
        <w:rPr>
          <w:i/>
          <w:iCs/>
        </w:rPr>
        <w:t xml:space="preserve">L1</w:t>
      </w:r>
      <w:r>
        <w:t xml:space="preserve">: We complete statutory Gender Pay Gap reporting.</w:t>
      </w:r>
    </w:p>
    <w:p>
      <w:pPr>
        <w:pStyle w:val="Compact"/>
        <w:numPr>
          <w:ilvl w:val="2"/>
          <w:numId w:val="1009"/>
        </w:numPr>
      </w:pPr>
      <w:r>
        <w:rPr>
          <w:i/>
          <w:iCs/>
        </w:rPr>
        <w:t xml:space="preserve">L3</w:t>
      </w:r>
      <w:r>
        <w:t xml:space="preserve">: We are an accredited Real Living Wage employer. We publish salary bands internally and state salary ranges on all job ads.</w:t>
      </w:r>
    </w:p>
    <w:p>
      <w:pPr>
        <w:pStyle w:val="Compact"/>
        <w:numPr>
          <w:ilvl w:val="2"/>
          <w:numId w:val="1009"/>
        </w:numPr>
      </w:pPr>
      <w:r>
        <w:rPr>
          <w:i/>
          <w:iCs/>
        </w:rPr>
        <w:t xml:space="preserve">L5</w:t>
      </w:r>
      <w:r>
        <w:t xml:space="preserve">: We maintain full employer pension contributions during the entire duration of all parental leave to mitigate the ‘motherhood pension gap’.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Bias-Free Recruitment &amp; Appraisals</w:t>
      </w:r>
      <w:r>
        <w:t xml:space="preserve">:</w:t>
      </w:r>
      <w:r>
        <w:t xml:space="preserve"> </w:t>
      </w:r>
      <w:r>
        <w:rPr>
          <w:i/>
          <w:iCs/>
        </w:rPr>
        <w:t xml:space="preserve">Are your recruitment and performance systems designed to be neuro-inclusive and free from systemic bias?</w:t>
      </w:r>
    </w:p>
    <w:p>
      <w:pPr>
        <w:pStyle w:val="Compact"/>
        <w:numPr>
          <w:ilvl w:val="2"/>
          <w:numId w:val="1010"/>
        </w:numPr>
      </w:pPr>
      <w:r>
        <w:rPr>
          <w:i/>
          <w:iCs/>
        </w:rPr>
        <w:t xml:space="preserve">L1</w:t>
      </w:r>
      <w:r>
        <w:t xml:space="preserve">: Hiring managers take basic unconscious bias training.</w:t>
      </w:r>
    </w:p>
    <w:p>
      <w:pPr>
        <w:pStyle w:val="Compact"/>
        <w:numPr>
          <w:ilvl w:val="2"/>
          <w:numId w:val="1010"/>
        </w:numPr>
      </w:pPr>
      <w:r>
        <w:rPr>
          <w:i/>
          <w:iCs/>
        </w:rPr>
        <w:t xml:space="preserve">L3</w:t>
      </w:r>
      <w:r>
        <w:t xml:space="preserve">: We share interview questions 48 hours in advance (Neuro-inclusion) and use blind-screening (removing names/universities) for all CVs.</w:t>
      </w:r>
    </w:p>
    <w:p>
      <w:pPr>
        <w:pStyle w:val="Compact"/>
        <w:numPr>
          <w:ilvl w:val="2"/>
          <w:numId w:val="1010"/>
        </w:numPr>
      </w:pPr>
      <w:r>
        <w:rPr>
          <w:i/>
          <w:iCs/>
        </w:rPr>
        <w:t xml:space="preserve">L5</w:t>
      </w:r>
      <w:r>
        <w:t xml:space="preserve">: We use AI or peer-audits to ensure performance appraisal language is objective. Our HR systems are fully trans-inclusive by design.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Mentoring, Sponsorship &amp; Networks</w:t>
      </w:r>
      <w:r>
        <w:t xml:space="preserve">:</w:t>
      </w:r>
      <w:r>
        <w:t xml:space="preserve"> </w:t>
      </w:r>
      <w:r>
        <w:rPr>
          <w:i/>
          <w:iCs/>
        </w:rPr>
        <w:t xml:space="preserve">Do you provide women with the social capital and networking opportunities needed to thrive?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L1</w:t>
      </w:r>
      <w:r>
        <w:t xml:space="preserve">: We have a women’s network that holds social events.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L3</w:t>
      </w:r>
      <w:r>
        <w:t xml:space="preserve">: Our network leadership is intersectional, and we have a dedicated budget for external coaching for underrepresented women.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L5</w:t>
      </w:r>
      <w:r>
        <w:t xml:space="preserve">: We have a mandatory Reverse Mentoring programme for senior leaders. We require our own sub-contractors to meet equity standards.</w:t>
      </w:r>
    </w:p>
    <w:bookmarkEnd w:id="12"/>
    <w:bookmarkStart w:id="13" w:name="X1f6b5d7ba5a45158a3b12d1553fe99ffd1b126e"/>
    <w:p>
      <w:pPr>
        <w:pStyle w:val="Heading3"/>
      </w:pPr>
      <w:r>
        <w:t xml:space="preserve">Phase 3: Instant Scorecard &amp; Maturity Spider Chart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Provide real-time diagnostic output and feedback.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Visuals</w:t>
      </w:r>
      <w:r>
        <w:t xml:space="preserve">: A dynamic SVG Spider (Radar) Chart plotting the maturity (0-5) across all 7 goals.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Supplier Equity Scorecard (Total Score / 35)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0–10 (Emerging)</w:t>
      </w:r>
      <w:r>
        <w:t xml:space="preserve">: The supplier meets basic legal requirements but lacks a proactive equity strategy.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11–20 (Developing)</w:t>
      </w:r>
      <w:r>
        <w:t xml:space="preserve">: The supplier is ‘Embedding’ inclusive practices and has some intersectional focus.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21–30 (Strategic)</w:t>
      </w:r>
      <w:r>
        <w:t xml:space="preserve">: The supplier is a leader in gender equity and likely a WiBC Signatory or equivalent.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31–35 (Innovating)</w:t>
      </w:r>
      <w:r>
        <w:t xml:space="preserve">: The supplier is setting sector-wide standards for wealth equity and radical transparency.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Signatory Action / Procurement Advice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Low Score (0-10)</w:t>
      </w:r>
      <w:r>
        <w:t xml:space="preserve">: Set a ‘Condition of Contract’ requiring the supplier to improve by 1 maturity level within 12 months.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Medium Score (11-20)</w:t>
      </w:r>
      <w:r>
        <w:t xml:space="preserve">: Invite the supplier to join the WiBC as a ‘Supporter’ or ‘Signatory’ to access peer-learning.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High Score (21+)</w:t>
      </w:r>
      <w:r>
        <w:t xml:space="preserve">: Recognise this supplier as a ‘Preferred Partner’ based on their alignment with your organisational values.</w:t>
      </w:r>
    </w:p>
    <w:bookmarkEnd w:id="13"/>
    <w:bookmarkStart w:id="14" w:name="phase-4-administrator-panel-dashboard"/>
    <w:p>
      <w:pPr>
        <w:pStyle w:val="Heading3"/>
      </w:pPr>
      <w:r>
        <w:t xml:space="preserve">Phase 4: Administrator Panel (Dashboard)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Give administrators the ability to manage and audit data.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 Features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Supplier Directory</w:t>
      </w:r>
      <w:r>
        <w:t xml:space="preserve">: Searchable list of all suppliers who have taken the diagnostic.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Assessment Statistics</w:t>
      </w:r>
      <w:r>
        <w:t xml:space="preserve">: Average maturity scores, distribution of bands, and filterable metrics by sector or company size.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Export Utility</w:t>
      </w:r>
      <w:r>
        <w:t xml:space="preserve">: Download CSV format reports of all assessments for offline stakeholder reporting.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hubspot-crm-integration-method"/>
    <w:p>
      <w:pPr>
        <w:pStyle w:val="Heading2"/>
      </w:pPr>
      <w:r>
        <w:t xml:space="preserve">HubSpot CRM Integration Method</w:t>
      </w:r>
    </w:p>
    <w:p>
      <w:pPr>
        <w:pStyle w:val="FirstParagraph"/>
      </w:pPr>
      <w:r>
        <w:t xml:space="preserve">To automatically log diagnostic results in HubSpot, the system will use a Next.js API route to interface with HubSpot’s web endpoints securely.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Custom Properties Setup (HubSpot)</w:t>
      </w:r>
      <w:r>
        <w:t xml:space="preserve">:</w:t>
      </w:r>
      <w:r>
        <w:t xml:space="preserve"> </w:t>
      </w:r>
      <w:r>
        <w:t xml:space="preserve">Create the following custom Contact properties in your HubSpot account: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sged_total_score</w:t>
      </w:r>
      <w:r>
        <w:t xml:space="preserve"> </w:t>
      </w:r>
      <w:r>
        <w:t xml:space="preserve">(Number)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sged_maturity_band</w:t>
      </w:r>
      <w:r>
        <w:t xml:space="preserve"> </w:t>
      </w:r>
      <w:r>
        <w:t xml:space="preserve">(Single-line Text)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sged_flexible_working</w:t>
      </w:r>
      <w:r>
        <w:t xml:space="preserve"> </w:t>
      </w:r>
      <w:r>
        <w:t xml:space="preserve">(Number, 0-5)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sged_senior_representation</w:t>
      </w:r>
      <w:r>
        <w:t xml:space="preserve"> </w:t>
      </w:r>
      <w:r>
        <w:t xml:space="preserve">(Number, 0-5)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sged_executive_accountability</w:t>
      </w:r>
      <w:r>
        <w:t xml:space="preserve"> </w:t>
      </w:r>
      <w:r>
        <w:t xml:space="preserve">(Number, 0-5)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sged_frontline_progression</w:t>
      </w:r>
      <w:r>
        <w:t xml:space="preserve"> </w:t>
      </w:r>
      <w:r>
        <w:t xml:space="preserve">(Number, 0-5)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sged_intersectional_pay_gap</w:t>
      </w:r>
      <w:r>
        <w:t xml:space="preserve"> </w:t>
      </w:r>
      <w:r>
        <w:t xml:space="preserve">(Number, 0-5)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sged_bias_free_recruitment</w:t>
      </w:r>
      <w:r>
        <w:t xml:space="preserve"> </w:t>
      </w:r>
      <w:r>
        <w:t xml:space="preserve">(Number, 0-5)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sged_sponsorship_networks</w:t>
      </w:r>
      <w:r>
        <w:t xml:space="preserve"> </w:t>
      </w:r>
      <w:r>
        <w:t xml:space="preserve">(Number, 0-5)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Integration Flow (Next.js Secure API)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When a supplier submits their assessment, the frontend posts the data to a secure backend route:</w:t>
      </w:r>
      <w:r>
        <w:t xml:space="preserve"> </w:t>
      </w:r>
      <w:r>
        <w:rPr>
          <w:rStyle w:val="VerbatimChar"/>
        </w:rPr>
        <w:t xml:space="preserve">/api/diagnostic/submit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The API route saves the data to Supabase and then initiates a backend request to the</w:t>
      </w:r>
      <w:r>
        <w:t xml:space="preserve"> </w:t>
      </w:r>
      <w:r>
        <w:rPr>
          <w:b/>
          <w:bCs/>
        </w:rPr>
        <w:t xml:space="preserve">HubSpot CRM Contacts API</w:t>
      </w:r>
      <w:r>
        <w:t xml:space="preserve"> </w:t>
      </w:r>
      <w:r>
        <w:t xml:space="preserve">using a private</w:t>
      </w:r>
      <w:r>
        <w:t xml:space="preserve"> </w:t>
      </w:r>
      <w:r>
        <w:rPr>
          <w:rStyle w:val="VerbatimChar"/>
        </w:rPr>
        <w:t xml:space="preserve">HUBSPOT_ACCESS_TOKEN</w:t>
      </w:r>
      <w:r>
        <w:t xml:space="preserve"> </w:t>
      </w:r>
      <w:r>
        <w:t xml:space="preserve">stored securely as an environment variable (preventing exposure to client browsers).</w:t>
      </w:r>
    </w:p>
    <w:p>
      <w:pPr>
        <w:pStyle w:val="Compact"/>
        <w:numPr>
          <w:ilvl w:val="1"/>
          <w:numId w:val="1019"/>
        </w:numPr>
      </w:pPr>
      <w:r>
        <w:t xml:space="preserve">The integration queries HubSpot for an existing contact with the supplier’s email.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If found</w:t>
      </w:r>
      <w:r>
        <w:t xml:space="preserve">: Updates the contact record with the new scores and maturity band.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If not found</w:t>
      </w:r>
      <w:r>
        <w:t xml:space="preserve">: Creates a new contact with the Step 1A intake details and populates the SGED scores.</w:t>
      </w:r>
    </w:p>
    <w:p>
      <w:r>
        <w:pict>
          <v:rect style="width:0;height:1.5pt" o:hralign="center" o:hrstd="t" o:hr="t"/>
        </w:pict>
      </w:r>
    </w:p>
    <w:bookmarkEnd w:id="16"/>
    <w:bookmarkStart w:id="18" w:name="technical-specifications-database-design"/>
    <w:p>
      <w:pPr>
        <w:pStyle w:val="Heading2"/>
      </w:pPr>
      <w:r>
        <w:t xml:space="preserve">Technical Specifications &amp; Database Design</w:t>
      </w:r>
    </w:p>
    <w:p>
      <w:pPr>
        <w:pStyle w:val="FirstParagraph"/>
      </w:pPr>
      <w:r>
        <w:t xml:space="preserve">The application will build upon a modern, scalable serverless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Hosting</w:t>
      </w:r>
      <w:r>
        <w:t xml:space="preserve">: Vercel (Next.js App Router).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&amp; Database</w:t>
      </w:r>
      <w:r>
        <w:t xml:space="preserve">: Supabase (PostgreSQL with built-in Auth for the Admin Panel).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&amp; Isolation</w:t>
      </w:r>
      <w:r>
        <w:t xml:space="preserve">: Row Level Security (RLS) on Supabase ensuring suppliers can only access their own report, while admins have global access.</w:t>
      </w:r>
    </w:p>
    <w:bookmarkStart w:id="17" w:name="database-tables"/>
    <w:p>
      <w:pPr>
        <w:pStyle w:val="Heading3"/>
      </w:pPr>
      <w:r>
        <w:t xml:space="preserve">Database Tables: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suppliers</w:t>
      </w:r>
      <w:r>
        <w:t xml:space="preserve">: Stores company profiles.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sged_assessments</w:t>
      </w:r>
      <w:r>
        <w:t xml:space="preserve">: Stores the raw inputs for the 7 goals, total score, and calculated bands.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verification-launch-plan"/>
    <w:p>
      <w:pPr>
        <w:pStyle w:val="Heading2"/>
      </w:pPr>
      <w:r>
        <w:t xml:space="preserve">Verification &amp; Launch Plan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Calculations Verification</w:t>
      </w:r>
      <w:r>
        <w:t xml:space="preserve">: Unit tests to ensure the 0-35 score translates to correct bands and advisory messages.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HubSpot Sync Verification</w:t>
      </w:r>
      <w:r>
        <w:t xml:space="preserve">: Test the integration API endpoint using dry-run mocks and verifying real test records create/update properties inside a HubSpot developer sandbox.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Admin Panel Access</w:t>
      </w:r>
      <w:r>
        <w:t xml:space="preserve">: Validate Role-Based Access Control (RBAC) to ensure only authorized administrators can view global supplier lists.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2026-06-08T14:00:37Z</dcterms:created>
  <dcterms:modified xsi:type="dcterms:W3CDTF">2026-06-08T14:00:37Z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