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682B4"/>
          <w:sz w:val="20"/>
        </w:rPr>
        <w:t>PROCUCEV ENTERPRISE SOLUTIONS</w:t>
      </w:r>
    </w:p>
    <w:p>
      <w:pPr>
        <w:spacing w:after="80"/>
      </w:pPr>
      <w:r>
        <w:rPr>
          <w:b/>
          <w:color w:val="003366"/>
          <w:sz w:val="36"/>
        </w:rPr>
        <w:t>COMPLETE ENTERPRISE PROCUREMENT PLATFORM SPECIFICATION</w:t>
      </w:r>
    </w:p>
    <w:p>
      <w:pPr>
        <w:spacing w:after="280"/>
      </w:pPr>
      <w:r>
        <w:rPr>
          <w:color w:val="4682B4"/>
          <w:sz w:val="24"/>
        </w:rPr>
        <w:t>FRD, Wireframes, 360° Evaluation Engine with Modular Mandatory Attachments &amp; Direct Inbox Routing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</w:rPr>
              <w:t xml:space="preserve">System Identifier: </w:t>
            </w:r>
            <w:r>
              <w:t xml:space="preserve">client@procucev.com Enterprise Portal  |  </w:t>
            </w:r>
            <w:r>
              <w:rPr>
                <w:b/>
              </w:rPr>
              <w:t xml:space="preserve">Document Owner: </w:t>
            </w:r>
            <w:r>
              <w:t>Procucev Enterprise Solutions</w:t>
              <w:br/>
            </w:r>
            <w:r>
              <w:rPr>
                <w:b/>
              </w:rPr>
              <w:t xml:space="preserve">Scope: </w:t>
            </w:r>
            <w:r>
              <w:t>FRD, UI Wireframes, 360° Evaluation Engine, Mandatory Module Attachments &amp; Remarks</w:t>
              <w:br/>
            </w:r>
            <w:r>
              <w:rPr>
                <w:b/>
              </w:rPr>
              <w:t xml:space="preserve">Version: </w:t>
            </w:r>
            <w:r>
              <w:t xml:space="preserve">4.0 Complete Production Master  |  </w:t>
            </w:r>
            <w:r>
              <w:rPr>
                <w:b/>
              </w:rPr>
              <w:t xml:space="preserve">Status: </w:t>
            </w:r>
            <w:r>
              <w:t xml:space="preserve">Approved Operational Specification  |  </w:t>
            </w:r>
            <w:r>
              <w:rPr>
                <w:b/>
              </w:rPr>
              <w:t xml:space="preserve">Date: </w:t>
            </w:r>
            <w:r>
              <w:t>August 2026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b/>
          <w:color w:val="003366"/>
          <w:sz w:val="26"/>
        </w:rPr>
        <w:t>1. System Purpose &amp; Functional Overview</w:t>
      </w:r>
    </w:p>
    <w:p>
      <w:r>
        <w:t>The Enterprise Procurement Platform (Enterprise QUA AI) processes private, automated procurement requests via client@procucev.com. It supports three sourcing versions (Client Approved Pool, Hybrid Network, and AI Evaluation Engine) backed by automated quote-chasing bots and Microsoft Azure infrastructure.</w:t>
      </w:r>
    </w:p>
    <w:p>
      <w:pPr>
        <w:keepNext/>
        <w:spacing w:before="320" w:after="80"/>
      </w:pPr>
      <w:r>
        <w:rPr>
          <w:b/>
          <w:color w:val="003366"/>
          <w:sz w:val="26"/>
        </w:rPr>
        <w:t>2. User Interface Wireframes &amp; Component Specs</w:t>
      </w:r>
    </w:p>
    <w:p>
      <w:pPr>
        <w:keepNext/>
        <w:spacing w:before="240" w:after="80"/>
      </w:pPr>
      <w:r>
        <w:rPr>
          <w:b/>
          <w:color w:val="4682B4"/>
          <w:sz w:val="22"/>
        </w:rPr>
        <w:t>Screen 1.1: Executive Buyer Command Center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003366"/>
          </w:tcPr>
          <w:p>
            <w:r>
              <w:rPr>
                <w:color w:val="FFFFFF"/>
              </w:rPr>
              <w:t>[LOGO] PROCUCEV ENTERPRISE  |  Current Mode: [Version 2: Hybrid Sourced v]  |  User: client@procucev.com</w:t>
            </w:r>
          </w:p>
        </w:tc>
      </w:tr>
      <w:tr>
        <w:tc>
          <w:tcPr>
            <w:tcW w:type="dxa" w:w="9360"/>
            <w:gridSpan w:val="2"/>
            <w:shd w:fill="EBF2FA"/>
          </w:tcPr>
          <w:p>
            <w:r>
              <w:rPr>
                <w:b/>
              </w:rPr>
              <w:t>ACTIVE RFQs: 14   |   PENDING QUOTES: 38   |   AI FOLLOW-UPS TODAY: 12   |   TOTAL SPEND: $1.24M</w:t>
            </w:r>
          </w:p>
        </w:tc>
      </w:tr>
      <w:tr>
        <w:tc>
          <w:tcPr>
            <w:tcW w:type="dxa" w:w="6192"/>
            <w:shd w:fill="FFFFFF"/>
          </w:tcPr>
          <w:p>
            <w:r>
              <w:rPr>
                <w:b/>
              </w:rPr>
              <w:t>ACTIVE PROCUREMENT PIPELINE</w:t>
              <w:br/>
            </w:r>
            <w:r>
              <w:t>• RFQ-2026-00421 | Centrifugal Pumps  | Mode 2 | Quotes: 5 | [View Matrix]</w:t>
              <w:br/>
            </w:r>
            <w:r>
              <w:t>• RFQ-2026-00420 | HVAC Control Units | Mode 1 | Quotes: 3 | [In Evaluation]</w:t>
              <w:br/>
            </w:r>
            <w:r>
              <w:t>• RFQ-2026-00418 | Electrical Panels  | Mode 3 | Quotes: 8 | [AI Recommended]</w:t>
            </w:r>
          </w:p>
        </w:tc>
        <w:tc>
          <w:tcPr>
            <w:tcW w:type="dxa" w:w="3168"/>
            <w:shd w:fill="F8F9FA"/>
          </w:tcPr>
          <w:p>
            <w:r>
              <w:rPr>
                <w:b/>
              </w:rPr>
              <w:t>AI BOT LIVE FEED</w:t>
              <w:br/>
            </w:r>
            <w:r>
              <w:t>• 11:20 AM: WhatsApp reminder sent to Vendor Apex Ltd.</w:t>
              <w:br/>
            </w:r>
            <w:r>
              <w:t>• 10:45 AM: AI Scoring complete for RFQ-00418.</w:t>
              <w:br/>
            </w:r>
            <w:r>
              <w:t>• 09:15 AM: Ingested RFQ via email client@procucev.com.</w:t>
            </w:r>
          </w:p>
        </w:tc>
      </w:tr>
      <w:tr>
        <w:tc>
          <w:tcPr>
            <w:tcW w:type="dxa" w:w="9360"/>
            <w:gridSpan w:val="2"/>
            <w:shd w:fill="F8F9FA"/>
          </w:tcPr>
          <w:p>
            <w:r>
              <w:t>QUICK ACTIONS:   [ + Create New RFQ ]     [ Upload BOQ File ]     [ Export Analytics Dashboard 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b/>
          <w:color w:val="003366"/>
          <w:sz w:val="26"/>
        </w:rPr>
        <w:t>3. 360-Degree Vendor Evaluation Framework with Remarks &amp; Attachments</w:t>
      </w:r>
    </w:p>
    <w:p>
      <w:r>
        <w:t>Comprehensive multi-factor evaluation form required for Version 3 sourcing. Every module includes mandatory supporting document attachments verified via OCR.</w:t>
      </w:r>
    </w:p>
    <w:p>
      <w:pPr>
        <w:keepNext/>
        <w:spacing w:before="240" w:after="80"/>
      </w:pPr>
      <w:r>
        <w:rPr>
          <w:b/>
          <w:color w:val="4682B4"/>
          <w:sz w:val="22"/>
        </w:rPr>
        <w:t>Pillar 1: Commercial &amp; Pricing Structure (Weight: 25%)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Required Mandatory Attachment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/ Auditor Justification Remarks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M1-Q1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Commercial Payment Terms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Signed Payment Terms Terms_Net60.pdf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Agreed to Net 60 payment terms without price escalation penalty.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6.25%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M1-Q2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Fixed Price Contract (12 Mo)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Rate Contract Agreement_12Mo.pdf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Signed 12-month fixed rate agreement attached; no commodity indexation.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6.25%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M1-Q3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Inclusivity of Freight (DDP)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Freight Schedule Freight_Policy.pdf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DDP terms confirmed for regional sites; remote sites capped at 2%.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M1-Q4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Volume Tier Discounting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Volume Discount Matrix_Tier.xlsx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Verified tier structure: 6.5% discount unlocked on volumes &gt;500 units.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6.25%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SUBTOTAL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PILLAR 1 COMMERCIAL 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 Documents Uploaded &amp;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Commercial terms align well with enterprise cash-flow requirements.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19.0/20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23.75% / 25%</w:t>
            </w:r>
          </w:p>
        </w:tc>
      </w:tr>
    </w:tbl>
    <w:p>
      <w:pPr>
        <w:keepNext/>
        <w:spacing w:before="240" w:after="80"/>
      </w:pPr>
      <w:r>
        <w:rPr>
          <w:b/>
          <w:color w:val="4682B4"/>
          <w:sz w:val="22"/>
        </w:rPr>
        <w:t>Pillar 2: Technical &amp; Engineering Capabilities (Weight: 15%)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Required Mandatory Attachment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/ Auditor Justification Remarks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M2-Q1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BOQ Spec Compliance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Technical BOQ Compliance Datasheet.pdf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Technical datasheet verified via OCR; 100% parameter compliance.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3.75%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M2-Q2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Equipment Automation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Factory Equipment &amp; Automation Log.pdf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Multi-axis CNC machines and robotic welding verified via audit log.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3.75%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M2-Q3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In-House R&amp;D / Testing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NABL Lab Accreditation Certificate.pdf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In-house NABL-accredited metallurgical testing laboratory confirmed.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3.75%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M2-Q4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24/7 Technical Support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Technical Service SLA Agreement.pdf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Dedicated field service team available in key regions; 4-hour SLA.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3.00%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SUBTOTAL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PILLAR 2 TECHNICAL 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 Documents Uploaded &amp;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Technical capabilities meet required specifications for precision manufacturing.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19.0/20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14.25% / 15%</w:t>
            </w:r>
          </w:p>
        </w:tc>
      </w:tr>
    </w:tbl>
    <w:p>
      <w:pPr>
        <w:keepNext/>
        <w:spacing w:before="240" w:after="80"/>
      </w:pPr>
      <w:r>
        <w:rPr>
          <w:b/>
          <w:color w:val="4682B4"/>
          <w:sz w:val="22"/>
        </w:rPr>
        <w:t>Pillar 3: Quality Management &amp; Warranty Standards (Weight: 20%)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Required Mandatory Attachment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/ Auditor Justification Remarks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M3-Q1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 9001:2015 Certification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ISO_9001_TUV_Certificate.pdf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 9001:2015 certificate valid through Nov 2028 (TÜV SÜD).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M3-Q2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Defect Rate (PPM History)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Historical 12M Quality Defect Log.pdf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Past 12-month quality log verified: 280 PPM recorded.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M3-Q3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Comprehensive Warranty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Enterprise Warranty Policy_24Mo.pdf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Standard 24-month warranty provided; 36-month option available.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M3-Q4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Batch Traceability (RFID)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RFID Batch Traceability Manual.pdf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RFID tracking active at receiving, assembly, and dispatch stages.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SUBTOTAL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PILLAR 3 QUALITY 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 Documents Uploaded &amp;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Excellent quality control systems with low historical defect rates.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20.0/20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20.00% / 20%</w:t>
            </w:r>
          </w:p>
        </w:tc>
      </w:tr>
    </w:tbl>
    <w:p>
      <w:pPr>
        <w:keepNext/>
        <w:spacing w:before="240" w:after="80"/>
      </w:pPr>
      <w:r>
        <w:rPr>
          <w:b/>
          <w:color w:val="4682B4"/>
          <w:sz w:val="22"/>
        </w:rPr>
        <w:t>Pillar 4: Operational Delivery &amp; Resilience (Weight: 20%)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Required Mandatory Attachment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/ Auditor Justification Remarks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M4-Q1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Verified OTIF Rate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4-Quarter OTIF Audit Report.pdf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Verified average OTIF of 92.4% over past 4 quarters (Q2 port delay).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3.00%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M4-Q2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Manufacturing Lead Time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Production SLA &amp; Timeline Doc.pdf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Standard lead time is 12 days, well within the 15-day SLA requirement.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M4-Q3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Capacity Utilization Rate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Plant Capacity Utilization Audit.pdf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Plant operating at 74% capacity, leaving room for surge demand.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M4-Q4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Disaster Recovery (BCP)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Business Continuity Plan BCP.pdf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BCP document attached; includes dual-sourcing &amp; generator backup.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SUBTOTAL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PILLAR 4 OPERATIONAL 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 Documents Uploaded &amp;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Operational capacity is strong; slight past logistics delay noted in Q2.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18.0/20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18.00% / 20%</w:t>
            </w:r>
          </w:p>
        </w:tc>
      </w:tr>
    </w:tbl>
    <w:p>
      <w:pPr>
        <w:keepNext/>
        <w:spacing w:before="240" w:after="80"/>
      </w:pPr>
      <w:r>
        <w:rPr>
          <w:b/>
          <w:color w:val="4682B4"/>
          <w:sz w:val="22"/>
        </w:rPr>
        <w:t>Pillar 5: Financial Stability &amp; Credit Rating (Weight: 10%)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Required Mandatory Attachment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/ Auditor Justification Remarks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M5-Q1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Annual Financial Turnover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3-Year Audited Financial Statements.pdf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Audited statements confirm turnover of $18.5M (≥ 5x contract value).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M5-Q2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Credit Rating Score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CRISIL Credit Rating Report.pdf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CRISIL A+ rating verified; low default risk profile.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M5-Q3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Current Liquidity Ratio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Certified Liquidity &amp; Solvency Sheet.pdf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Liquidity ratio stands at 1.82; sufficient working capital.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M5-Q4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Active Litigation Claims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Legal Compliance &amp; Non-Insolvency Cert.pdf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Legal compliance check clear; no outstanding bankruptcy or litigation.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SUBTOTAL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PILLAR 5 FINANCIAL 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 Documents Uploaded &amp;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Healthy financial profile with high liquidity and low credit risk.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20.0/20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10.00% / 10%</w:t>
            </w:r>
          </w:p>
        </w:tc>
      </w:tr>
    </w:tbl>
    <w:p>
      <w:pPr>
        <w:keepNext/>
        <w:spacing w:before="240" w:after="80"/>
      </w:pPr>
      <w:r>
        <w:rPr>
          <w:b/>
          <w:color w:val="4682B4"/>
          <w:sz w:val="22"/>
        </w:rPr>
        <w:t>Pillar 6: Governance, ESG &amp; Compliance (Weight: 10%)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Evaluation Criteria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Required Mandatory Attachment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AI / Auditor Justification Remarks</w:t>
            </w:r>
          </w:p>
        </w:tc>
        <w:tc>
          <w:tcPr>
            <w:tcW w:type="dxa" w:w="86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M6-Q1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Statutory KYC &amp; Tax Uploads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GSTIN_PAN_Incorporation_KYC.pdf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GSTIN, PAN, and Tax Incorporation verified against govt database.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M6-Q2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 14001 / ISO 45001 Certs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ISO_14001_EHS_Certificate.pdf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 14001 verified; ISO 45001 pending renewal in 3 months.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3.0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1.50%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M6-Q3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Anti-Bribery &amp; Ethics Policy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Signed Anti-Bribery Code of Conduct.pdf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Code of Conduct &amp; Anti-Bribery agreement signed by MD.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M6-Q4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 27001 / GDPR Privacy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ISO_27001_Information_Security.pdf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ISO 27001 certification active; enterprise security standards met.</w:t>
            </w:r>
          </w:p>
        </w:tc>
        <w:tc>
          <w:tcPr>
            <w:tcW w:type="dxa" w:w="86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5.0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2.50%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SUBTOTAL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PILLAR 6 GOVERNANCE 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4 Documents Uploaded &amp; Verified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Robust governance and compliance; ISO 45001 renewal needs tracking.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18.0/20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7"/>
              </w:rPr>
              <w:t>9.00% / 10%</w:t>
            </w:r>
          </w:p>
        </w:tc>
      </w:tr>
    </w:tbl>
    <w:p>
      <w:pPr>
        <w:spacing w:after="200"/>
      </w:pPr>
    </w:p>
    <w:p>
      <w:pPr>
        <w:keepNext/>
        <w:spacing w:before="320" w:after="80"/>
      </w:pPr>
      <w:r>
        <w:rPr>
          <w:b/>
          <w:color w:val="003366"/>
          <w:sz w:val="26"/>
        </w:rPr>
        <w:t>4. Final Score Computation &amp; Automated Direct Inbox Dispatch</w:t>
      </w:r>
    </w:p>
    <w:p>
      <w:r>
        <w:rPr>
          <w:b/>
        </w:rPr>
        <w:t>FINAL EVALUATION SCORE COMPUTATION:</w:t>
        <w:br/>
      </w:r>
      <w:r>
        <w:rPr>
          <w:sz w:val="20"/>
        </w:rPr>
        <w:t xml:space="preserve">Score = Pillar 1 (23.75%) + Pillar 2 (14.25%) + Pillar 3 (20.00%) + Pillar 4 (18.00%) + Pillar 5 (10.00%) + Pillar 6 (9.00%) = </w:t>
      </w:r>
      <w:r>
        <w:rPr>
          <w:b/>
          <w:color w:val="003366"/>
          <w:sz w:val="24"/>
        </w:rPr>
        <w:t>95.00% OVERALL RATING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E7D32"/>
          <w:bottom w:val="single" w:sz="8" w:space="0" w:color="2E7D32"/>
          <w:insideH w:val="single" w:sz="8" w:space="0" w:color="2E7D32"/>
          <w:insideV w:val="single" w:sz="8" w:space="0" w:color="2E7D32"/>
          <w:left w:val="single" w:sz="8" w:space="0" w:color="2E7D32"/>
          <w:right w:val="single" w:sz="8" w:space="0" w:color="2E7D32"/>
        </w:tblBorders>
      </w:tblPr>
      <w:tblGrid>
        <w:gridCol w:w="9360"/>
      </w:tblGrid>
      <w:tr>
        <w:tc>
          <w:tcPr>
            <w:tcW w:type="dxa" w:w="9360"/>
            <w:shd w:fill="E6F4E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>QUALIFICATION DECISION: PREFERRED ENTERPRISE SUPPLIER (GATE PASSED ≥ 80%)</w:t>
              <w:br/>
            </w:r>
            <w:r>
              <w:rPr>
                <w:b/>
              </w:rPr>
              <w:t xml:space="preserve">• Document Verification Summary: </w:t>
            </w:r>
            <w:r>
              <w:t>24/24 mandatory attachments uploaded and successfully verified via AI OCR engine.</w:t>
              <w:br/>
            </w:r>
            <w:r>
              <w:rPr>
                <w:b/>
              </w:rPr>
              <w:t xml:space="preserve">• Comprehensive Audit Remarks: </w:t>
            </w:r>
            <w:r>
              <w:t>Supplier demonstrates exceptional technical capabilities, flawless quality history, and robust financial solvency. Operational OTIF and ISO 45001 renewal dates are flagged for routine monitoring.</w:t>
              <w:br/>
            </w:r>
            <w:r>
              <w:rPr>
                <w:b/>
              </w:rPr>
              <w:t xml:space="preserve">• Automated System Action Executed: </w:t>
            </w:r>
            <w:r>
              <w:t>RFQ unlocked and dispatched directly to vendor inbox (Screen 3.1). Automated Email and WhatsApp notifications triggered with direct bid submission URL.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