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60" w:before="0"/>
        <w:jc w:val="center"/>
      </w:pPr>
      <w:r>
        <w:rPr>
          <w:rFonts w:ascii="Arial" w:cs="Arial" w:eastAsia="Arial" w:hAnsi="Arial"/>
          <w:b/>
          <w:bCs/>
          <w:color w:val="1B3A6B"/>
          <w:sz w:val="80"/>
          <w:szCs w:val="80"/>
        </w:rPr>
        <w:t xml:space="preserve">PROCURA</w:t>
      </w:r>
    </w:p>
    <w:p>
      <w:pPr>
        <w:spacing w:after="400" w:before="0"/>
        <w:jc w:val="center"/>
      </w:pPr>
      <w:r>
        <w:rPr>
          <w:rFonts w:ascii="Arial" w:cs="Arial" w:eastAsia="Arial" w:hAnsi="Arial"/>
          <w:i/>
          <w:iCs/>
          <w:color w:val="2E75B6"/>
          <w:sz w:val="32"/>
          <w:szCs w:val="32"/>
        </w:rPr>
        <w:t xml:space="preserve">Plateforme Source-to-Contract — On-Premise</w:t>
      </w:r>
    </w:p>
    <w:p>
      <w:pPr>
        <w:pBdr>
          <w:bottom w:val="single" w:color="00B0F0" w:sz="8" w:space="1"/>
        </w:pBdr>
        <w:spacing w:after="400" w:before="0"/>
      </w:pPr>
      <w:r>
        <w:t xml:space="preserve"/>
      </w:r>
    </w:p>
    <w:p>
      <w:pPr>
        <w:shd w:fill="1B3A6B" w:val="clear"/>
        <w:spacing w:after="200" w:before="200"/>
        <w:jc w:val="center"/>
      </w:pPr>
      <w:r>
        <w:rPr>
          <w:rFonts w:ascii="Arial" w:cs="Arial" w:eastAsia="Arial" w:hAnsi="Arial"/>
          <w:b/>
          <w:bCs/>
          <w:color w:val="FFFFFF"/>
          <w:sz w:val="48"/>
          <w:szCs w:val="48"/>
        </w:rPr>
        <w:t xml:space="preserve">CAHIER DES CHARGES OFFICIEL</w:t>
      </w:r>
    </w:p>
    <w:p>
      <w:pPr>
        <w:spacing w:after="0" w:before="300"/>
      </w:pPr>
      <w:r>
        <w:t xml:space="preserve"/>
      </w:r>
    </w:p>
    <w:p>
      <w:pPr>
        <w:jc w:val="center"/>
      </w:pPr>
      <w:r>
        <w:rPr>
          <w:rFonts w:ascii="Arial" w:cs="Arial" w:eastAsia="Arial" w:hAnsi="Arial"/>
          <w:color w:val="404040"/>
          <w:sz w:val="24"/>
          <w:szCs w:val="24"/>
        </w:rPr>
        <w:t xml:space="preserve">Version 1.0</w:t>
      </w:r>
    </w:p>
    <w:p>
      <w:pPr>
        <w:jc w:val="center"/>
      </w:pPr>
      <w:r>
        <w:rPr>
          <w:rFonts w:ascii="Arial" w:cs="Arial" w:eastAsia="Arial" w:hAnsi="Arial"/>
          <w:i/>
          <w:iCs/>
          <w:color w:val="404040"/>
          <w:sz w:val="22"/>
          <w:szCs w:val="22"/>
        </w:rPr>
        <w:t xml:space="preserve">Document Confidentiel — Usage Interne</w:t>
      </w:r>
    </w:p>
    <w:p>
      <w:pPr>
        <w:spacing w:after="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rPr>
          <w:tblHeader/>
        </w:trPr>
        <w:tc>
          <w:tcPr>
            <w:tcW w:type="dxa" w:w="3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Champ</w:t>
            </w:r>
          </w:p>
        </w:tc>
        <w:tc>
          <w:tcPr>
            <w:tcW w:type="dxa" w:w="5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Projet</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Procura</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Type</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Cahier des Charges Officiel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Périmètre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Source-to-Contract (S2C)</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Déploiement</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On-Premise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Modules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22 modules fonctionnels et techniques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Version</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Statut</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Document de référence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Langue</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Français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Classification</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Confidentiel</w:t>
            </w:r>
          </w:p>
        </w:tc>
      </w:tr>
    </w:tbl>
    <w:p>
      <w:r>
        <w:br w:type="page"/>
      </w:r>
    </w:p>
    <w:p>
      <w:pPr>
        <w:pStyle w:val="Heading1"/>
        <w:pBdr>
          <w:bottom w:val="single" w:color="00B0F0" w:sz="6" w:space="1"/>
        </w:pBdr>
        <w:shd w:fill="1B3A6B" w:val="clear"/>
        <w:spacing w:after="200" w:before="400"/>
      </w:pPr>
      <w:r>
        <w:rPr>
          <w:rFonts w:ascii="Arial" w:cs="Arial" w:eastAsia="Arial" w:hAnsi="Arial"/>
          <w:b/>
          <w:bCs/>
          <w:color w:val="FFFFFF"/>
          <w:sz w:val="36"/>
          <w:szCs w:val="36"/>
        </w:rPr>
        <w:t xml:space="preserve">TABLE DES MATIÈRES</w:t>
      </w:r>
    </w:p>
    <w:p>
      <w:pPr>
        <w:spacing w:after="0" w:before="120"/>
      </w:pPr>
      <w:r>
        <w:t xml:space="preserve"/>
      </w:r>
    </w:p>
    <w:p>
      <w:pPr>
        <w:spacing w:after="0" w:before="140"/>
        <w:ind w:left="0"/>
      </w:pPr>
      <w:r>
        <w:rPr>
          <w:rFonts w:ascii="Arial" w:cs="Arial" w:eastAsia="Arial" w:hAnsi="Arial"/>
          <w:b/>
          <w:bCs/>
          <w:color w:val="1B3A6B"/>
          <w:sz w:val="22"/>
          <w:szCs w:val="22"/>
        </w:rPr>
        <w:t xml:space="preserve">PARTIE I — PRÉSENTATION GÉNÉRALE</w:t>
      </w:r>
    </w:p>
    <w:p>
      <w:pPr>
        <w:spacing w:after="0" w:before="60"/>
        <w:ind w:left="360"/>
      </w:pPr>
      <w:r>
        <w:rPr>
          <w:rFonts w:ascii="Arial" w:cs="Arial" w:eastAsia="Arial" w:hAnsi="Arial"/>
          <w:b w:val="false"/>
          <w:bCs w:val="false"/>
          <w:color w:val="222222"/>
          <w:sz w:val="20"/>
          <w:szCs w:val="20"/>
        </w:rPr>
        <w:t xml:space="preserve">1. Présentation de Procura</w:t>
      </w:r>
    </w:p>
    <w:p>
      <w:pPr>
        <w:spacing w:after="0" w:before="60"/>
        <w:ind w:left="360"/>
      </w:pPr>
      <w:r>
        <w:rPr>
          <w:rFonts w:ascii="Arial" w:cs="Arial" w:eastAsia="Arial" w:hAnsi="Arial"/>
          <w:b w:val="false"/>
          <w:bCs w:val="false"/>
          <w:color w:val="222222"/>
          <w:sz w:val="20"/>
          <w:szCs w:val="20"/>
        </w:rPr>
        <w:t xml:space="preserve">2. Contexte du Projet</w:t>
      </w:r>
    </w:p>
    <w:p>
      <w:pPr>
        <w:spacing w:after="0" w:before="60"/>
        <w:ind w:left="360"/>
      </w:pPr>
      <w:r>
        <w:rPr>
          <w:rFonts w:ascii="Arial" w:cs="Arial" w:eastAsia="Arial" w:hAnsi="Arial"/>
          <w:b w:val="false"/>
          <w:bCs w:val="false"/>
          <w:color w:val="222222"/>
          <w:sz w:val="20"/>
          <w:szCs w:val="20"/>
        </w:rPr>
        <w:t xml:space="preserve">3. Problématique</w:t>
      </w:r>
    </w:p>
    <w:p>
      <w:pPr>
        <w:spacing w:after="0" w:before="60"/>
        <w:ind w:left="360"/>
      </w:pPr>
      <w:r>
        <w:rPr>
          <w:rFonts w:ascii="Arial" w:cs="Arial" w:eastAsia="Arial" w:hAnsi="Arial"/>
          <w:b w:val="false"/>
          <w:bCs w:val="false"/>
          <w:color w:val="222222"/>
          <w:sz w:val="20"/>
          <w:szCs w:val="20"/>
        </w:rPr>
        <w:t xml:space="preserve">4. Objectifs du Projet</w:t>
      </w:r>
    </w:p>
    <w:p>
      <w:pPr>
        <w:spacing w:after="0" w:before="60"/>
        <w:ind w:left="360"/>
      </w:pPr>
      <w:r>
        <w:rPr>
          <w:rFonts w:ascii="Arial" w:cs="Arial" w:eastAsia="Arial" w:hAnsi="Arial"/>
          <w:b w:val="false"/>
          <w:bCs w:val="false"/>
          <w:color w:val="222222"/>
          <w:sz w:val="20"/>
          <w:szCs w:val="20"/>
        </w:rPr>
        <w:t xml:space="preserve">5. Périmètre du Projet</w:t>
      </w:r>
    </w:p>
    <w:p>
      <w:pPr>
        <w:spacing w:after="0" w:before="60"/>
        <w:ind w:left="360"/>
      </w:pPr>
      <w:r>
        <w:rPr>
          <w:rFonts w:ascii="Arial" w:cs="Arial" w:eastAsia="Arial" w:hAnsi="Arial"/>
          <w:b w:val="false"/>
          <w:bCs w:val="false"/>
          <w:color w:val="222222"/>
          <w:sz w:val="20"/>
          <w:szCs w:val="20"/>
        </w:rPr>
        <w:t xml:space="preserve">6. Parties Prenantes</w:t>
      </w:r>
    </w:p>
    <w:p>
      <w:pPr>
        <w:spacing w:after="0" w:before="140"/>
        <w:ind w:left="0"/>
      </w:pPr>
      <w:r>
        <w:rPr>
          <w:rFonts w:ascii="Arial" w:cs="Arial" w:eastAsia="Arial" w:hAnsi="Arial"/>
          <w:b/>
          <w:bCs/>
          <w:color w:val="1B3A6B"/>
          <w:sz w:val="22"/>
          <w:szCs w:val="22"/>
        </w:rPr>
        <w:t xml:space="preserve">PARTIE II — ÉTUDE FONCTIONNELLE</w:t>
      </w:r>
    </w:p>
    <w:p>
      <w:pPr>
        <w:spacing w:after="0" w:before="60"/>
        <w:ind w:left="360"/>
      </w:pPr>
      <w:r>
        <w:rPr>
          <w:rFonts w:ascii="Arial" w:cs="Arial" w:eastAsia="Arial" w:hAnsi="Arial"/>
          <w:b w:val="false"/>
          <w:bCs w:val="false"/>
          <w:color w:val="222222"/>
          <w:sz w:val="20"/>
          <w:szCs w:val="20"/>
        </w:rPr>
        <w:t xml:space="preserve">7. Description du Processus Métier</w:t>
      </w:r>
    </w:p>
    <w:p>
      <w:pPr>
        <w:spacing w:after="0" w:before="60"/>
        <w:ind w:left="360"/>
      </w:pPr>
      <w:r>
        <w:rPr>
          <w:rFonts w:ascii="Arial" w:cs="Arial" w:eastAsia="Arial" w:hAnsi="Arial"/>
          <w:b w:val="false"/>
          <w:bCs w:val="false"/>
          <w:color w:val="222222"/>
          <w:sz w:val="20"/>
          <w:szCs w:val="20"/>
        </w:rPr>
        <w:t xml:space="preserve">8. Cas d'Utilisation (Use Cases)</w:t>
      </w:r>
    </w:p>
    <w:p>
      <w:pPr>
        <w:spacing w:after="0" w:before="60"/>
        <w:ind w:left="360"/>
      </w:pPr>
      <w:r>
        <w:rPr>
          <w:rFonts w:ascii="Arial" w:cs="Arial" w:eastAsia="Arial" w:hAnsi="Arial"/>
          <w:b w:val="false"/>
          <w:bCs w:val="false"/>
          <w:color w:val="222222"/>
          <w:sz w:val="20"/>
          <w:szCs w:val="20"/>
        </w:rPr>
        <w:t xml:space="preserve">9. Rôles &amp; Permissions (RBAC Complet)</w:t>
      </w:r>
    </w:p>
    <w:p>
      <w:pPr>
        <w:spacing w:after="0" w:before="60"/>
        <w:ind w:left="360"/>
      </w:pPr>
      <w:r>
        <w:rPr>
          <w:rFonts w:ascii="Arial" w:cs="Arial" w:eastAsia="Arial" w:hAnsi="Arial"/>
          <w:b w:val="false"/>
          <w:bCs w:val="false"/>
          <w:color w:val="222222"/>
          <w:sz w:val="20"/>
          <w:szCs w:val="20"/>
        </w:rPr>
        <w:t xml:space="preserve">10. Exigences Fonctionnelles</w:t>
      </w:r>
    </w:p>
    <w:p>
      <w:pPr>
        <w:spacing w:after="0" w:before="60"/>
        <w:ind w:left="360"/>
      </w:pPr>
      <w:r>
        <w:rPr>
          <w:rFonts w:ascii="Arial" w:cs="Arial" w:eastAsia="Arial" w:hAnsi="Arial"/>
          <w:b w:val="false"/>
          <w:bCs w:val="false"/>
          <w:color w:val="222222"/>
          <w:sz w:val="20"/>
          <w:szCs w:val="20"/>
        </w:rPr>
        <w:t xml:space="preserve">11. Exigences Non Fonctionnelles</w:t>
      </w:r>
    </w:p>
    <w:p>
      <w:pPr>
        <w:spacing w:after="0" w:before="140"/>
        <w:ind w:left="0"/>
      </w:pPr>
      <w:r>
        <w:rPr>
          <w:rFonts w:ascii="Arial" w:cs="Arial" w:eastAsia="Arial" w:hAnsi="Arial"/>
          <w:b/>
          <w:bCs/>
          <w:color w:val="1B3A6B"/>
          <w:sz w:val="22"/>
          <w:szCs w:val="22"/>
        </w:rPr>
        <w:t xml:space="preserve">PARTIE III — ARCHITECTURE FONCTIONNELLE</w:t>
      </w:r>
    </w:p>
    <w:p>
      <w:pPr>
        <w:spacing w:after="0" w:before="60"/>
        <w:ind w:left="360"/>
      </w:pPr>
      <w:r>
        <w:rPr>
          <w:rFonts w:ascii="Arial" w:cs="Arial" w:eastAsia="Arial" w:hAnsi="Arial"/>
          <w:b w:val="false"/>
          <w:bCs w:val="false"/>
          <w:color w:val="222222"/>
          <w:sz w:val="20"/>
          <w:szCs w:val="20"/>
        </w:rPr>
        <w:t xml:space="preserve">12. Vue d'Ensemble de la Plateforme</w:t>
      </w:r>
    </w:p>
    <w:p>
      <w:pPr>
        <w:spacing w:after="0" w:before="60"/>
        <w:ind w:left="360"/>
      </w:pPr>
      <w:r>
        <w:rPr>
          <w:rFonts w:ascii="Arial" w:cs="Arial" w:eastAsia="Arial" w:hAnsi="Arial"/>
          <w:b w:val="false"/>
          <w:bCs w:val="false"/>
          <w:color w:val="222222"/>
          <w:sz w:val="20"/>
          <w:szCs w:val="20"/>
        </w:rPr>
        <w:t xml:space="preserve">13. Modules Fonctionnels (22 modules)</w:t>
      </w:r>
    </w:p>
    <w:p>
      <w:pPr>
        <w:spacing w:after="0" w:before="140"/>
        <w:ind w:left="0"/>
      </w:pPr>
      <w:r>
        <w:rPr>
          <w:rFonts w:ascii="Arial" w:cs="Arial" w:eastAsia="Arial" w:hAnsi="Arial"/>
          <w:b/>
          <w:bCs/>
          <w:color w:val="1B3A6B"/>
          <w:sz w:val="22"/>
          <w:szCs w:val="22"/>
        </w:rPr>
        <w:t xml:space="preserve">PARTIE IV — ARCHITECTURE TECHNIQUE</w:t>
      </w:r>
    </w:p>
    <w:p>
      <w:pPr>
        <w:spacing w:after="0" w:before="60"/>
        <w:ind w:left="360"/>
      </w:pPr>
      <w:r>
        <w:rPr>
          <w:rFonts w:ascii="Arial" w:cs="Arial" w:eastAsia="Arial" w:hAnsi="Arial"/>
          <w:b w:val="false"/>
          <w:bCs w:val="false"/>
          <w:color w:val="222222"/>
          <w:sz w:val="20"/>
          <w:szCs w:val="20"/>
        </w:rPr>
        <w:t xml:space="preserve">14. Architecture Générale</w:t>
      </w:r>
    </w:p>
    <w:p>
      <w:pPr>
        <w:spacing w:after="0" w:before="60"/>
        <w:ind w:left="360"/>
      </w:pPr>
      <w:r>
        <w:rPr>
          <w:rFonts w:ascii="Arial" w:cs="Arial" w:eastAsia="Arial" w:hAnsi="Arial"/>
          <w:b w:val="false"/>
          <w:bCs w:val="false"/>
          <w:color w:val="222222"/>
          <w:sz w:val="20"/>
          <w:szCs w:val="20"/>
        </w:rPr>
        <w:t xml:space="preserve">Modules 1 à 22 détaillés</w:t>
      </w:r>
    </w:p>
    <w:p>
      <w:pPr>
        <w:spacing w:after="0" w:before="140"/>
        <w:ind w:left="0"/>
      </w:pPr>
      <w:r>
        <w:rPr>
          <w:rFonts w:ascii="Arial" w:cs="Arial" w:eastAsia="Arial" w:hAnsi="Arial"/>
          <w:b/>
          <w:bCs/>
          <w:color w:val="1B3A6B"/>
          <w:sz w:val="22"/>
          <w:szCs w:val="22"/>
        </w:rPr>
        <w:t xml:space="preserve">PARTIE V — DONNÉES</w:t>
      </w:r>
    </w:p>
    <w:p>
      <w:pPr>
        <w:spacing w:after="0" w:before="60"/>
        <w:ind w:left="360"/>
      </w:pPr>
      <w:r>
        <w:rPr>
          <w:rFonts w:ascii="Arial" w:cs="Arial" w:eastAsia="Arial" w:hAnsi="Arial"/>
          <w:b w:val="false"/>
          <w:bCs w:val="false"/>
          <w:color w:val="222222"/>
          <w:sz w:val="20"/>
          <w:szCs w:val="20"/>
        </w:rPr>
        <w:t xml:space="preserve">19. Modèle de Données</w:t>
      </w:r>
    </w:p>
    <w:p>
      <w:pPr>
        <w:spacing w:after="0" w:before="60"/>
        <w:ind w:left="360"/>
      </w:pPr>
      <w:r>
        <w:rPr>
          <w:rFonts w:ascii="Arial" w:cs="Arial" w:eastAsia="Arial" w:hAnsi="Arial"/>
          <w:b w:val="false"/>
          <w:bCs w:val="false"/>
          <w:color w:val="222222"/>
          <w:sz w:val="20"/>
          <w:szCs w:val="20"/>
        </w:rPr>
        <w:t xml:space="preserve">20. Dictionnaire de Données</w:t>
      </w:r>
    </w:p>
    <w:p>
      <w:pPr>
        <w:spacing w:after="0" w:before="60"/>
        <w:ind w:left="360"/>
      </w:pPr>
      <w:r>
        <w:rPr>
          <w:rFonts w:ascii="Arial" w:cs="Arial" w:eastAsia="Arial" w:hAnsi="Arial"/>
          <w:b w:val="false"/>
          <w:bCs w:val="false"/>
          <w:color w:val="222222"/>
          <w:sz w:val="20"/>
          <w:szCs w:val="20"/>
        </w:rPr>
        <w:t xml:space="preserve">21. Gestion Documentaire</w:t>
      </w:r>
    </w:p>
    <w:p>
      <w:pPr>
        <w:spacing w:after="0" w:before="140"/>
        <w:ind w:left="0"/>
      </w:pPr>
      <w:r>
        <w:rPr>
          <w:rFonts w:ascii="Arial" w:cs="Arial" w:eastAsia="Arial" w:hAnsi="Arial"/>
          <w:b/>
          <w:bCs/>
          <w:color w:val="1B3A6B"/>
          <w:sz w:val="22"/>
          <w:szCs w:val="22"/>
        </w:rPr>
        <w:t xml:space="preserve">PARTIE VI — INTERFACES</w:t>
      </w:r>
    </w:p>
    <w:p>
      <w:pPr>
        <w:spacing w:after="0" w:before="60"/>
        <w:ind w:left="360"/>
      </w:pPr>
      <w:r>
        <w:rPr>
          <w:rFonts w:ascii="Arial" w:cs="Arial" w:eastAsia="Arial" w:hAnsi="Arial"/>
          <w:b w:val="false"/>
          <w:bCs w:val="false"/>
          <w:color w:val="222222"/>
          <w:sz w:val="20"/>
          <w:szCs w:val="20"/>
        </w:rPr>
        <w:t xml:space="preserve">22. Interface Utilisateur Interne</w:t>
      </w:r>
    </w:p>
    <w:p>
      <w:pPr>
        <w:spacing w:after="0" w:before="60"/>
        <w:ind w:left="360"/>
      </w:pPr>
      <w:r>
        <w:rPr>
          <w:rFonts w:ascii="Arial" w:cs="Arial" w:eastAsia="Arial" w:hAnsi="Arial"/>
          <w:b w:val="false"/>
          <w:bCs w:val="false"/>
          <w:color w:val="222222"/>
          <w:sz w:val="20"/>
          <w:szCs w:val="20"/>
        </w:rPr>
        <w:t xml:space="preserve">23. Portail Fournisseur</w:t>
      </w:r>
    </w:p>
    <w:p>
      <w:pPr>
        <w:spacing w:after="0" w:before="60"/>
        <w:ind w:left="360"/>
      </w:pPr>
      <w:r>
        <w:rPr>
          <w:rFonts w:ascii="Arial" w:cs="Arial" w:eastAsia="Arial" w:hAnsi="Arial"/>
          <w:b w:val="false"/>
          <w:bCs w:val="false"/>
          <w:color w:val="222222"/>
          <w:sz w:val="20"/>
          <w:szCs w:val="20"/>
        </w:rPr>
        <w:t xml:space="preserve">24. Back Office Administration</w:t>
      </w:r>
    </w:p>
    <w:p>
      <w:pPr>
        <w:spacing w:after="0" w:before="140"/>
        <w:ind w:left="0"/>
      </w:pPr>
      <w:r>
        <w:rPr>
          <w:rFonts w:ascii="Arial" w:cs="Arial" w:eastAsia="Arial" w:hAnsi="Arial"/>
          <w:b/>
          <w:bCs/>
          <w:color w:val="1B3A6B"/>
          <w:sz w:val="22"/>
          <w:szCs w:val="22"/>
        </w:rPr>
        <w:t xml:space="preserve">PARTIE VII — INTÉGRATION</w:t>
      </w:r>
    </w:p>
    <w:p>
      <w:pPr>
        <w:spacing w:after="0" w:before="60"/>
        <w:ind w:left="360"/>
      </w:pPr>
      <w:r>
        <w:rPr>
          <w:rFonts w:ascii="Arial" w:cs="Arial" w:eastAsia="Arial" w:hAnsi="Arial"/>
          <w:b w:val="false"/>
          <w:bCs w:val="false"/>
          <w:color w:val="222222"/>
          <w:sz w:val="20"/>
          <w:szCs w:val="20"/>
        </w:rPr>
        <w:t xml:space="preserve">25. Intégration ERP</w:t>
      </w:r>
    </w:p>
    <w:p>
      <w:pPr>
        <w:spacing w:after="0" w:before="60"/>
        <w:ind w:left="360"/>
      </w:pPr>
      <w:r>
        <w:rPr>
          <w:rFonts w:ascii="Arial" w:cs="Arial" w:eastAsia="Arial" w:hAnsi="Arial"/>
          <w:b w:val="false"/>
          <w:bCs w:val="false"/>
          <w:color w:val="222222"/>
          <w:sz w:val="20"/>
          <w:szCs w:val="20"/>
        </w:rPr>
        <w:t xml:space="preserve">26. Services Externes</w:t>
      </w:r>
    </w:p>
    <w:p>
      <w:pPr>
        <w:spacing w:after="0" w:before="140"/>
        <w:ind w:left="0"/>
      </w:pPr>
      <w:r>
        <w:rPr>
          <w:rFonts w:ascii="Arial" w:cs="Arial" w:eastAsia="Arial" w:hAnsi="Arial"/>
          <w:b/>
          <w:bCs/>
          <w:color w:val="1B3A6B"/>
          <w:sz w:val="22"/>
          <w:szCs w:val="22"/>
        </w:rPr>
        <w:t xml:space="preserve">PARTIE VIII — SÉCURITÉ</w:t>
      </w:r>
    </w:p>
    <w:p>
      <w:pPr>
        <w:spacing w:after="0" w:before="60"/>
        <w:ind w:left="360"/>
      </w:pPr>
      <w:r>
        <w:rPr>
          <w:rFonts w:ascii="Arial" w:cs="Arial" w:eastAsia="Arial" w:hAnsi="Arial"/>
          <w:b w:val="false"/>
          <w:bCs w:val="false"/>
          <w:color w:val="222222"/>
          <w:sz w:val="20"/>
          <w:szCs w:val="20"/>
        </w:rPr>
        <w:t xml:space="preserve">27. Politique de Sécurité</w:t>
      </w:r>
    </w:p>
    <w:p>
      <w:pPr>
        <w:spacing w:after="0" w:before="60"/>
        <w:ind w:left="360"/>
      </w:pPr>
      <w:r>
        <w:rPr>
          <w:rFonts w:ascii="Arial" w:cs="Arial" w:eastAsia="Arial" w:hAnsi="Arial"/>
          <w:b w:val="false"/>
          <w:bCs w:val="false"/>
          <w:color w:val="222222"/>
          <w:sz w:val="20"/>
          <w:szCs w:val="20"/>
        </w:rPr>
        <w:t xml:space="preserve">28. Conformité (Loi 23-12, Loi 18-07, ISO)</w:t>
      </w:r>
    </w:p>
    <w:p>
      <w:pPr>
        <w:spacing w:after="0" w:before="60"/>
        <w:ind w:left="360"/>
      </w:pPr>
      <w:r>
        <w:rPr>
          <w:rFonts w:ascii="Arial" w:cs="Arial" w:eastAsia="Arial" w:hAnsi="Arial"/>
          <w:b w:val="false"/>
          <w:bCs w:val="false"/>
          <w:color w:val="222222"/>
          <w:sz w:val="20"/>
          <w:szCs w:val="20"/>
        </w:rPr>
        <w:t xml:space="preserve">29. Gestion des Risques</w:t>
      </w:r>
    </w:p>
    <w:p>
      <w:pPr>
        <w:spacing w:after="0" w:before="140"/>
        <w:ind w:left="0"/>
      </w:pPr>
      <w:r>
        <w:rPr>
          <w:rFonts w:ascii="Arial" w:cs="Arial" w:eastAsia="Arial" w:hAnsi="Arial"/>
          <w:b/>
          <w:bCs/>
          <w:color w:val="1B3A6B"/>
          <w:sz w:val="22"/>
          <w:szCs w:val="22"/>
        </w:rPr>
        <w:t xml:space="preserve">PARTIE IX — EXPLOITATION</w:t>
      </w:r>
    </w:p>
    <w:p>
      <w:pPr>
        <w:spacing w:after="0" w:before="60"/>
        <w:ind w:left="360"/>
      </w:pPr>
      <w:r>
        <w:rPr>
          <w:rFonts w:ascii="Arial" w:cs="Arial" w:eastAsia="Arial" w:hAnsi="Arial"/>
          <w:b w:val="false"/>
          <w:bCs w:val="false"/>
          <w:color w:val="222222"/>
          <w:sz w:val="20"/>
          <w:szCs w:val="20"/>
        </w:rPr>
        <w:t xml:space="preserve">30. Déploiement</w:t>
      </w:r>
    </w:p>
    <w:p>
      <w:pPr>
        <w:spacing w:after="0" w:before="60"/>
        <w:ind w:left="360"/>
      </w:pPr>
      <w:r>
        <w:rPr>
          <w:rFonts w:ascii="Arial" w:cs="Arial" w:eastAsia="Arial" w:hAnsi="Arial"/>
          <w:b w:val="false"/>
          <w:bCs w:val="false"/>
          <w:color w:val="222222"/>
          <w:sz w:val="20"/>
          <w:szCs w:val="20"/>
        </w:rPr>
        <w:t xml:space="preserve">31. Supervision</w:t>
      </w:r>
    </w:p>
    <w:p>
      <w:pPr>
        <w:spacing w:after="0" w:before="60"/>
        <w:ind w:left="360"/>
      </w:pPr>
      <w:r>
        <w:rPr>
          <w:rFonts w:ascii="Arial" w:cs="Arial" w:eastAsia="Arial" w:hAnsi="Arial"/>
          <w:b w:val="false"/>
          <w:bCs w:val="false"/>
          <w:color w:val="222222"/>
          <w:sz w:val="20"/>
          <w:szCs w:val="20"/>
        </w:rPr>
        <w:t xml:space="preserve">32. Sauvegarde</w:t>
      </w:r>
    </w:p>
    <w:p>
      <w:pPr>
        <w:spacing w:after="0" w:before="60"/>
        <w:ind w:left="360"/>
      </w:pPr>
      <w:r>
        <w:rPr>
          <w:rFonts w:ascii="Arial" w:cs="Arial" w:eastAsia="Arial" w:hAnsi="Arial"/>
          <w:b w:val="false"/>
          <w:bCs w:val="false"/>
          <w:color w:val="222222"/>
          <w:sz w:val="20"/>
          <w:szCs w:val="20"/>
        </w:rPr>
        <w:t xml:space="preserve">33. Maintenance</w:t>
      </w:r>
    </w:p>
    <w:p>
      <w:pPr>
        <w:spacing w:after="0" w:before="140"/>
        <w:ind w:left="0"/>
      </w:pPr>
      <w:r>
        <w:rPr>
          <w:rFonts w:ascii="Arial" w:cs="Arial" w:eastAsia="Arial" w:hAnsi="Arial"/>
          <w:b/>
          <w:bCs/>
          <w:color w:val="1B3A6B"/>
          <w:sz w:val="22"/>
          <w:szCs w:val="22"/>
        </w:rPr>
        <w:t xml:space="preserve">PARTIE X — QUALITÉ</w:t>
      </w:r>
    </w:p>
    <w:p>
      <w:pPr>
        <w:spacing w:after="0" w:before="60"/>
        <w:ind w:left="360"/>
      </w:pPr>
      <w:r>
        <w:rPr>
          <w:rFonts w:ascii="Arial" w:cs="Arial" w:eastAsia="Arial" w:hAnsi="Arial"/>
          <w:b w:val="false"/>
          <w:bCs w:val="false"/>
          <w:color w:val="222222"/>
          <w:sz w:val="20"/>
          <w:szCs w:val="20"/>
        </w:rPr>
        <w:t xml:space="preserve">34. Plan de Tests</w:t>
      </w:r>
    </w:p>
    <w:p>
      <w:pPr>
        <w:spacing w:after="0" w:before="60"/>
        <w:ind w:left="360"/>
      </w:pPr>
      <w:r>
        <w:rPr>
          <w:rFonts w:ascii="Arial" w:cs="Arial" w:eastAsia="Arial" w:hAnsi="Arial"/>
          <w:b w:val="false"/>
          <w:bCs w:val="false"/>
          <w:color w:val="222222"/>
          <w:sz w:val="20"/>
          <w:szCs w:val="20"/>
        </w:rPr>
        <w:t xml:space="preserve">35. Recette</w:t>
      </w:r>
    </w:p>
    <w:p>
      <w:pPr>
        <w:spacing w:after="0" w:before="140"/>
        <w:ind w:left="0"/>
      </w:pPr>
      <w:r>
        <w:rPr>
          <w:rFonts w:ascii="Arial" w:cs="Arial" w:eastAsia="Arial" w:hAnsi="Arial"/>
          <w:b/>
          <w:bCs/>
          <w:color w:val="1B3A6B"/>
          <w:sz w:val="22"/>
          <w:szCs w:val="22"/>
        </w:rPr>
        <w:t xml:space="preserve">PARTIE XI — GESTION DU PROJET</w:t>
      </w:r>
    </w:p>
    <w:p>
      <w:pPr>
        <w:spacing w:after="0" w:before="60"/>
        <w:ind w:left="360"/>
      </w:pPr>
      <w:r>
        <w:rPr>
          <w:rFonts w:ascii="Arial" w:cs="Arial" w:eastAsia="Arial" w:hAnsi="Arial"/>
          <w:b w:val="false"/>
          <w:bCs w:val="false"/>
          <w:color w:val="222222"/>
          <w:sz w:val="20"/>
          <w:szCs w:val="20"/>
        </w:rPr>
        <w:t xml:space="preserve">36. Roadmap (MVP → V3)</w:t>
      </w:r>
    </w:p>
    <w:p>
      <w:pPr>
        <w:spacing w:after="0" w:before="60"/>
        <w:ind w:left="360"/>
      </w:pPr>
      <w:r>
        <w:rPr>
          <w:rFonts w:ascii="Arial" w:cs="Arial" w:eastAsia="Arial" w:hAnsi="Arial"/>
          <w:b w:val="false"/>
          <w:bCs w:val="false"/>
          <w:color w:val="222222"/>
          <w:sz w:val="20"/>
          <w:szCs w:val="20"/>
        </w:rPr>
        <w:t xml:space="preserve">37. Planning</w:t>
      </w:r>
    </w:p>
    <w:p>
      <w:pPr>
        <w:spacing w:after="0" w:before="60"/>
        <w:ind w:left="360"/>
      </w:pPr>
      <w:r>
        <w:rPr>
          <w:rFonts w:ascii="Arial" w:cs="Arial" w:eastAsia="Arial" w:hAnsi="Arial"/>
          <w:b w:val="false"/>
          <w:bCs w:val="false"/>
          <w:color w:val="222222"/>
          <w:sz w:val="20"/>
          <w:szCs w:val="20"/>
        </w:rPr>
        <w:t xml:space="preserve">38. Budget</w:t>
      </w:r>
    </w:p>
    <w:p>
      <w:pPr>
        <w:spacing w:after="0" w:before="60"/>
        <w:ind w:left="360"/>
      </w:pPr>
      <w:r>
        <w:rPr>
          <w:rFonts w:ascii="Arial" w:cs="Arial" w:eastAsia="Arial" w:hAnsi="Arial"/>
          <w:b w:val="false"/>
          <w:bCs w:val="false"/>
          <w:color w:val="222222"/>
          <w:sz w:val="20"/>
          <w:szCs w:val="20"/>
        </w:rPr>
        <w:t xml:space="preserve">39. Gouvernance (RACI, Comités)</w:t>
      </w:r>
    </w:p>
    <w:p>
      <w:pPr>
        <w:spacing w:after="0" w:before="140"/>
        <w:ind w:left="0"/>
      </w:pPr>
      <w:r>
        <w:rPr>
          <w:rFonts w:ascii="Arial" w:cs="Arial" w:eastAsia="Arial" w:hAnsi="Arial"/>
          <w:b/>
          <w:bCs/>
          <w:color w:val="1B3A6B"/>
          <w:sz w:val="22"/>
          <w:szCs w:val="22"/>
        </w:rPr>
        <w:t xml:space="preserve">PARTIE XII — ANNEXES</w:t>
      </w:r>
    </w:p>
    <w:p>
      <w:pPr>
        <w:spacing w:after="0" w:before="60"/>
        <w:ind w:left="360"/>
      </w:pPr>
      <w:r>
        <w:rPr>
          <w:rFonts w:ascii="Arial" w:cs="Arial" w:eastAsia="Arial" w:hAnsi="Arial"/>
          <w:b w:val="false"/>
          <w:bCs w:val="false"/>
          <w:color w:val="222222"/>
          <w:sz w:val="20"/>
          <w:szCs w:val="20"/>
        </w:rPr>
        <w:t xml:space="preserve">40. Glossaire</w:t>
      </w:r>
    </w:p>
    <w:p>
      <w:pPr>
        <w:spacing w:after="0" w:before="60"/>
        <w:ind w:left="360"/>
      </w:pPr>
      <w:r>
        <w:rPr>
          <w:rFonts w:ascii="Arial" w:cs="Arial" w:eastAsia="Arial" w:hAnsi="Arial"/>
          <w:b w:val="false"/>
          <w:bCs w:val="false"/>
          <w:color w:val="222222"/>
          <w:sz w:val="20"/>
          <w:szCs w:val="20"/>
        </w:rPr>
        <w:t xml:space="preserve">41. Références</w:t>
      </w:r>
    </w:p>
    <w:p>
      <w:pPr>
        <w:spacing w:after="0" w:before="60"/>
        <w:ind w:left="360"/>
      </w:pPr>
      <w:r>
        <w:rPr>
          <w:rFonts w:ascii="Arial" w:cs="Arial" w:eastAsia="Arial" w:hAnsi="Arial"/>
          <w:b w:val="false"/>
          <w:bCs w:val="false"/>
          <w:color w:val="222222"/>
          <w:sz w:val="20"/>
          <w:szCs w:val="20"/>
        </w:rPr>
        <w:t xml:space="preserve">42. Diagrammes UML</w:t>
      </w:r>
    </w:p>
    <w:p>
      <w:pPr>
        <w:spacing w:after="0" w:before="60"/>
        <w:ind w:left="360"/>
      </w:pPr>
      <w:r>
        <w:rPr>
          <w:rFonts w:ascii="Arial" w:cs="Arial" w:eastAsia="Arial" w:hAnsi="Arial"/>
          <w:b w:val="false"/>
          <w:bCs w:val="false"/>
          <w:color w:val="222222"/>
          <w:sz w:val="20"/>
          <w:szCs w:val="20"/>
        </w:rPr>
        <w:t xml:space="preserve">43. Maquettes UI</w:t>
      </w:r>
    </w:p>
    <w:p>
      <w:pPr>
        <w:spacing w:after="0" w:before="60"/>
        <w:ind w:left="360"/>
      </w:pPr>
      <w:r>
        <w:rPr>
          <w:rFonts w:ascii="Arial" w:cs="Arial" w:eastAsia="Arial" w:hAnsi="Arial"/>
          <w:b w:val="false"/>
          <w:bCs w:val="false"/>
          <w:color w:val="222222"/>
          <w:sz w:val="20"/>
          <w:szCs w:val="20"/>
        </w:rPr>
        <w:t xml:space="preserve">44. Architecture Technique Complète</w:t>
      </w:r>
    </w:p>
    <w:p>
      <w:pPr>
        <w:spacing w:after="0" w:before="60"/>
        <w:ind w:left="360"/>
      </w:pPr>
      <w:r>
        <w:rPr>
          <w:rFonts w:ascii="Arial" w:cs="Arial" w:eastAsia="Arial" w:hAnsi="Arial"/>
          <w:b w:val="false"/>
          <w:bCs w:val="false"/>
          <w:color w:val="222222"/>
          <w:sz w:val="20"/>
          <w:szCs w:val="20"/>
        </w:rPr>
        <w:t xml:space="preserve">45. Annexes Diverses</w:t>
      </w:r>
    </w:p>
    <w:p>
      <w:r>
        <w:br w:type="page"/>
      </w:r>
    </w:p>
    <w:p>
      <w:pPr>
        <w:pStyle w:val="Heading1"/>
        <w:pBdr>
          <w:bottom w:val="single" w:color="00B0F0" w:sz="6" w:space="1"/>
        </w:pBdr>
        <w:shd w:fill="1B3A6B" w:val="clear"/>
        <w:spacing w:after="200" w:before="400"/>
      </w:pPr>
      <w:r>
        <w:rPr>
          <w:rFonts w:ascii="Arial" w:cs="Arial" w:eastAsia="Arial" w:hAnsi="Arial"/>
          <w:b/>
          <w:bCs/>
          <w:color w:val="FFFFFF"/>
          <w:sz w:val="36"/>
          <w:szCs w:val="36"/>
        </w:rPr>
        <w:t xml:space="preserve">PARTIE I — PRÉSENTATION GÉNÉRALE</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1. Présentation de Procura</w:t>
      </w:r>
    </w:p>
    <w:p>
      <w:pPr>
        <w:pStyle w:val="Heading3"/>
        <w:spacing w:after="100" w:before="220"/>
      </w:pPr>
      <w:r>
        <w:rPr>
          <w:rFonts w:ascii="Arial" w:cs="Arial" w:eastAsia="Arial" w:hAnsi="Arial"/>
          <w:b/>
          <w:bCs/>
          <w:color w:val="2E75B6"/>
          <w:sz w:val="24"/>
          <w:szCs w:val="24"/>
        </w:rPr>
        <w:t xml:space="preserve">1.1 Contexte</w:t>
      </w:r>
    </w:p>
    <w:p>
      <w:pPr>
        <w:spacing w:after="80" w:before="80"/>
        <w:jc w:val="both"/>
      </w:pPr>
      <w:r>
        <w:rPr>
          <w:rFonts w:ascii="Arial" w:cs="Arial" w:eastAsia="Arial" w:hAnsi="Arial"/>
          <w:b w:val="false"/>
          <w:bCs w:val="false"/>
          <w:i w:val="false"/>
          <w:iCs w:val="false"/>
          <w:color w:val="222222"/>
          <w:sz w:val="22"/>
          <w:szCs w:val="22"/>
        </w:rPr>
        <w:t xml:space="preserve">Les organisations algériennes et plus largement les entreprises opérant dans des environnements réglementés font face à une digitalisation croissante de leurs processus internes. Les achats publics et privés restent pourtant souvent gérés par des procédures manuelles, papier ou semi-numérisées, exposées à des risques de fraude, de manque de traçabilité et de non-conformité réglementaire.</w:t>
      </w:r>
    </w:p>
    <w:p>
      <w:pPr>
        <w:spacing w:after="80" w:before="80"/>
        <w:jc w:val="both"/>
      </w:pPr>
      <w:r>
        <w:rPr>
          <w:rFonts w:ascii="Arial" w:cs="Arial" w:eastAsia="Arial" w:hAnsi="Arial"/>
          <w:b w:val="false"/>
          <w:bCs w:val="false"/>
          <w:i w:val="false"/>
          <w:iCs w:val="false"/>
          <w:color w:val="222222"/>
          <w:sz w:val="22"/>
          <w:szCs w:val="22"/>
        </w:rPr>
        <w:t xml:space="preserve">Dans ce contexte, Procura naît de la nécessité de proposer une solution on-premise, souveraine, sécurisée et parfaitement adaptée aux exigences locales, sans rupture organisationnelle et sans recours à un cloud public.</w:t>
      </w:r>
    </w:p>
    <w:p>
      <w:pPr>
        <w:pStyle w:val="Heading3"/>
        <w:spacing w:after="100" w:before="220"/>
      </w:pPr>
      <w:r>
        <w:rPr>
          <w:rFonts w:ascii="Arial" w:cs="Arial" w:eastAsia="Arial" w:hAnsi="Arial"/>
          <w:b/>
          <w:bCs/>
          <w:color w:val="2E75B6"/>
          <w:sz w:val="24"/>
          <w:szCs w:val="24"/>
        </w:rPr>
        <w:t xml:space="preserve">1.2 Présentation de la Startup</w:t>
      </w:r>
    </w:p>
    <w:p>
      <w:pPr>
        <w:spacing w:after="80" w:before="80"/>
        <w:jc w:val="both"/>
      </w:pPr>
      <w:r>
        <w:rPr>
          <w:rFonts w:ascii="Arial" w:cs="Arial" w:eastAsia="Arial" w:hAnsi="Arial"/>
          <w:b w:val="false"/>
          <w:bCs w:val="false"/>
          <w:i w:val="false"/>
          <w:iCs w:val="false"/>
          <w:color w:val="222222"/>
          <w:sz w:val="22"/>
          <w:szCs w:val="22"/>
        </w:rPr>
        <w:t xml:space="preserve">Procura est développé par une startup spécialisée dans la digitalisation des processus d'achats pour le marché algérien et les marchés à contraintes réglementaires fortes. L'équipe fondatrice combine des expertises en cybersécurité, en architecture logicielle, en gestion des achats et en conformité réglementaire.</w:t>
      </w:r>
    </w:p>
    <w:p>
      <w:pPr>
        <w:spacing w:after="80" w:before="80"/>
        <w:jc w:val="both"/>
      </w:pPr>
      <w:r>
        <w:rPr>
          <w:rFonts w:ascii="Arial" w:cs="Arial" w:eastAsia="Arial" w:hAnsi="Arial"/>
          <w:b w:val="false"/>
          <w:bCs w:val="false"/>
          <w:i w:val="false"/>
          <w:iCs w:val="false"/>
          <w:color w:val="222222"/>
          <w:sz w:val="22"/>
          <w:szCs w:val="22"/>
        </w:rPr>
        <w:t xml:space="preserve">La startup se positionne sur le segment des PME et des grandes entreprises souhaitant moderniser leur cycle achat sans compromettre leur souveraineté numérique ni leur organisation interne existante.</w:t>
      </w:r>
    </w:p>
    <w:p>
      <w:pPr>
        <w:pStyle w:val="Heading3"/>
        <w:spacing w:after="100" w:before="220"/>
      </w:pPr>
      <w:r>
        <w:rPr>
          <w:rFonts w:ascii="Arial" w:cs="Arial" w:eastAsia="Arial" w:hAnsi="Arial"/>
          <w:b/>
          <w:bCs/>
          <w:color w:val="2E75B6"/>
          <w:sz w:val="24"/>
          <w:szCs w:val="24"/>
        </w:rPr>
        <w:t xml:space="preserve">1.3 Vision</w:t>
      </w:r>
    </w:p>
    <w:p>
      <w:pPr>
        <w:spacing w:after="80" w:before="80"/>
        <w:jc w:val="both"/>
      </w:pPr>
      <w:r>
        <w:rPr>
          <w:rFonts w:ascii="Arial" w:cs="Arial" w:eastAsia="Arial" w:hAnsi="Arial"/>
          <w:b w:val="false"/>
          <w:bCs w:val="false"/>
          <w:i w:val="false"/>
          <w:iCs w:val="false"/>
          <w:color w:val="222222"/>
          <w:sz w:val="22"/>
          <w:szCs w:val="22"/>
        </w:rPr>
        <w:t xml:space="preserve">Devenir la référence des solutions Source-to-Contract sécurisées sur le marché algérien et dans les marchés émergents à forte contrainte réglementaire, en proposant une plateforme 100 % on-premise, souveraine, traçable et auditables.</w:t>
      </w:r>
    </w:p>
    <w:p>
      <w:pPr>
        <w:pStyle w:val="Heading3"/>
        <w:spacing w:after="100" w:before="220"/>
      </w:pPr>
      <w:r>
        <w:rPr>
          <w:rFonts w:ascii="Arial" w:cs="Arial" w:eastAsia="Arial" w:hAnsi="Arial"/>
          <w:b/>
          <w:bCs/>
          <w:color w:val="2E75B6"/>
          <w:sz w:val="24"/>
          <w:szCs w:val="24"/>
        </w:rPr>
        <w:t xml:space="preserve">1.4 Mission</w:t>
      </w:r>
    </w:p>
    <w:p>
      <w:pPr>
        <w:spacing w:after="80" w:before="80"/>
        <w:jc w:val="both"/>
      </w:pPr>
      <w:r>
        <w:rPr>
          <w:rFonts w:ascii="Arial" w:cs="Arial" w:eastAsia="Arial" w:hAnsi="Arial"/>
          <w:b w:val="false"/>
          <w:bCs w:val="false"/>
          <w:i w:val="false"/>
          <w:iCs w:val="false"/>
          <w:color w:val="222222"/>
          <w:sz w:val="22"/>
          <w:szCs w:val="22"/>
        </w:rPr>
        <w:t xml:space="preserve">Digitaliser, sécuriser et tracer l'intégralité du processus d'achat depuis l'expression du besoin interne jusqu'à la transmission des données vers l'ERP de l'organisation, sans modifier les procédures réglementaires ni organisationnelles déjà en place.</w:t>
      </w:r>
    </w:p>
    <w:p>
      <w:pPr>
        <w:pStyle w:val="Heading3"/>
        <w:spacing w:after="100" w:before="220"/>
      </w:pPr>
      <w:r>
        <w:rPr>
          <w:rFonts w:ascii="Arial" w:cs="Arial" w:eastAsia="Arial" w:hAnsi="Arial"/>
          <w:b/>
          <w:bCs/>
          <w:color w:val="2E75B6"/>
          <w:sz w:val="24"/>
          <w:szCs w:val="24"/>
        </w:rPr>
        <w:t xml:space="preserve">1.5 Valeurs</w:t>
      </w:r>
    </w:p>
    <w:p>
      <w:pPr>
        <w:pStyle w:val="ListParagraph"/>
        <w:numPr>
          <w:ilvl w:val="0"/>
          <w:numId w:val="2"/>
        </w:numPr>
        <w:spacing w:after="60" w:before="60"/>
      </w:pPr>
      <w:r>
        <w:rPr>
          <w:rFonts w:ascii="Arial" w:cs="Arial" w:eastAsia="Arial" w:hAnsi="Arial"/>
          <w:color w:val="222222"/>
          <w:sz w:val="22"/>
          <w:szCs w:val="22"/>
        </w:rPr>
        <w:t xml:space="preserve">Souveraineté numérique : aucune donnée hébergée hors du périmètre du client</w:t>
      </w:r>
    </w:p>
    <w:p>
      <w:pPr>
        <w:pStyle w:val="ListParagraph"/>
        <w:numPr>
          <w:ilvl w:val="0"/>
          <w:numId w:val="2"/>
        </w:numPr>
        <w:spacing w:after="60" w:before="60"/>
      </w:pPr>
      <w:r>
        <w:rPr>
          <w:rFonts w:ascii="Arial" w:cs="Arial" w:eastAsia="Arial" w:hAnsi="Arial"/>
          <w:color w:val="222222"/>
          <w:sz w:val="22"/>
          <w:szCs w:val="22"/>
        </w:rPr>
        <w:t xml:space="preserve">Conformité réglementaire : respect total des procédures existantes</w:t>
      </w:r>
    </w:p>
    <w:p>
      <w:pPr>
        <w:pStyle w:val="ListParagraph"/>
        <w:numPr>
          <w:ilvl w:val="0"/>
          <w:numId w:val="2"/>
        </w:numPr>
        <w:spacing w:after="60" w:before="60"/>
      </w:pPr>
      <w:r>
        <w:rPr>
          <w:rFonts w:ascii="Arial" w:cs="Arial" w:eastAsia="Arial" w:hAnsi="Arial"/>
          <w:color w:val="222222"/>
          <w:sz w:val="22"/>
          <w:szCs w:val="22"/>
        </w:rPr>
        <w:t xml:space="preserve">Sécurité by design : la sécurité est intégrée à chaque composant</w:t>
      </w:r>
    </w:p>
    <w:p>
      <w:pPr>
        <w:pStyle w:val="ListParagraph"/>
        <w:numPr>
          <w:ilvl w:val="0"/>
          <w:numId w:val="2"/>
        </w:numPr>
        <w:spacing w:after="60" w:before="60"/>
      </w:pPr>
      <w:r>
        <w:rPr>
          <w:rFonts w:ascii="Arial" w:cs="Arial" w:eastAsia="Arial" w:hAnsi="Arial"/>
          <w:color w:val="222222"/>
          <w:sz w:val="22"/>
          <w:szCs w:val="22"/>
        </w:rPr>
        <w:t xml:space="preserve">Traçabilité absolue : chaque action est enregistrée, horodatée et signée</w:t>
      </w:r>
    </w:p>
    <w:p>
      <w:pPr>
        <w:pStyle w:val="ListParagraph"/>
        <w:numPr>
          <w:ilvl w:val="0"/>
          <w:numId w:val="2"/>
        </w:numPr>
        <w:spacing w:after="60" w:before="60"/>
      </w:pPr>
      <w:r>
        <w:rPr>
          <w:rFonts w:ascii="Arial" w:cs="Arial" w:eastAsia="Arial" w:hAnsi="Arial"/>
          <w:color w:val="222222"/>
          <w:sz w:val="22"/>
          <w:szCs w:val="22"/>
        </w:rPr>
        <w:t xml:space="preserve">Neutralité fonctionnelle : Procura assiste, n'automatise pas les décisions humaines</w:t>
      </w:r>
    </w:p>
    <w:p>
      <w:pPr>
        <w:pStyle w:val="Heading3"/>
        <w:spacing w:after="100" w:before="220"/>
      </w:pPr>
      <w:r>
        <w:rPr>
          <w:rFonts w:ascii="Arial" w:cs="Arial" w:eastAsia="Arial" w:hAnsi="Arial"/>
          <w:b/>
          <w:bCs/>
          <w:color w:val="2E75B6"/>
          <w:sz w:val="24"/>
          <w:szCs w:val="24"/>
        </w:rPr>
        <w:t xml:space="preserve">1.6 Historique</w:t>
      </w:r>
    </w:p>
    <w:p>
      <w:pPr>
        <w:spacing w:after="80" w:before="80"/>
        <w:jc w:val="both"/>
      </w:pPr>
      <w:r>
        <w:rPr>
          <w:rFonts w:ascii="Arial" w:cs="Arial" w:eastAsia="Arial" w:hAnsi="Arial"/>
          <w:b w:val="false"/>
          <w:bCs w:val="false"/>
          <w:i w:val="false"/>
          <w:iCs w:val="false"/>
          <w:color w:val="222222"/>
          <w:sz w:val="22"/>
          <w:szCs w:val="22"/>
        </w:rPr>
        <w:t xml:space="preserve">Procura est né d'un constat de terrain : les appels d'offres, RFQ et consultations fournisseurs sont gérés par email, fichiers Excel ou procédures papier, engendrant des risques juridiques, des fuites d'information et une impossibilité d'audit fiable. La solution a été conçue pour répondre précisément à ces problématiques, en partant des contraintes réglementaires locales pour construire une architecture adaptée.</w:t>
      </w:r>
    </w:p>
    <w:p>
      <w:pPr>
        <w:pStyle w:val="Heading3"/>
        <w:spacing w:after="100" w:before="220"/>
      </w:pPr>
      <w:r>
        <w:rPr>
          <w:rFonts w:ascii="Arial" w:cs="Arial" w:eastAsia="Arial" w:hAnsi="Arial"/>
          <w:b/>
          <w:bCs/>
          <w:color w:val="2E75B6"/>
          <w:sz w:val="24"/>
          <w:szCs w:val="24"/>
        </w:rPr>
        <w:t xml:space="preserve">1.7 Pourquoi Procura</w:t>
      </w:r>
    </w:p>
    <w:p>
      <w:pPr>
        <w:spacing w:after="80" w:before="80"/>
        <w:jc w:val="both"/>
      </w:pPr>
      <w:r>
        <w:rPr>
          <w:rFonts w:ascii="Arial" w:cs="Arial" w:eastAsia="Arial" w:hAnsi="Arial"/>
          <w:b w:val="false"/>
          <w:bCs w:val="false"/>
          <w:i w:val="false"/>
          <w:iCs w:val="false"/>
          <w:color w:val="222222"/>
          <w:sz w:val="22"/>
          <w:szCs w:val="22"/>
        </w:rPr>
        <w:t xml:space="preserve">Les solutions internationales de type SaaS ne répondent pas aux contraintes de souveraineté des données imposées par la réglementation algérienne. Les solutions ERP incluent rarement un module achat aussi spécialisé sur le Source-to-Contract. Procura comble ce vide en proposant une solution dédiée, intégrable à tout ERP existant, sans en remplacer les fonctionnalités.</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2. Contexte du Projet</w:t>
      </w:r>
    </w:p>
    <w:p>
      <w:pPr>
        <w:pStyle w:val="Heading3"/>
        <w:spacing w:after="100" w:before="220"/>
      </w:pPr>
      <w:r>
        <w:rPr>
          <w:rFonts w:ascii="Arial" w:cs="Arial" w:eastAsia="Arial" w:hAnsi="Arial"/>
          <w:b/>
          <w:bCs/>
          <w:color w:val="2E75B6"/>
          <w:sz w:val="24"/>
          <w:szCs w:val="24"/>
        </w:rPr>
        <w:t xml:space="preserve">2.1 Contexte du Marché</w:t>
      </w:r>
    </w:p>
    <w:p>
      <w:pPr>
        <w:spacing w:after="80" w:before="80"/>
        <w:jc w:val="both"/>
      </w:pPr>
      <w:r>
        <w:rPr>
          <w:rFonts w:ascii="Arial" w:cs="Arial" w:eastAsia="Arial" w:hAnsi="Arial"/>
          <w:b w:val="false"/>
          <w:bCs w:val="false"/>
          <w:i w:val="false"/>
          <w:iCs w:val="false"/>
          <w:color w:val="222222"/>
          <w:sz w:val="22"/>
          <w:szCs w:val="22"/>
        </w:rPr>
        <w:t xml:space="preserve">Le marché algérien est soumis à un cadre réglementaire strict en matière de marchés publics (décret présidentiel relatif aux marchés publics) et à des lois de protection des données (Loi 18-07) qui imposent l'hébergement local des données sensibles. Par ailleurs, la directive de digitalisation portée par le gouvernement et les entreprises nationales crée une demande croissante en solutions numériques souveraines.</w:t>
      </w:r>
    </w:p>
    <w:p>
      <w:pPr>
        <w:spacing w:after="80" w:before="80"/>
        <w:jc w:val="both"/>
      </w:pPr>
      <w:r>
        <w:rPr>
          <w:rFonts w:ascii="Arial" w:cs="Arial" w:eastAsia="Arial" w:hAnsi="Arial"/>
          <w:b w:val="false"/>
          <w:bCs w:val="false"/>
          <w:i w:val="false"/>
          <w:iCs w:val="false"/>
          <w:color w:val="222222"/>
          <w:sz w:val="22"/>
          <w:szCs w:val="22"/>
        </w:rPr>
        <w:t xml:space="preserve">Au niveau international, les normes ISO 9001, ISO 27001 et les standards OWASP guident les pratiques de sécurité et de qualité que Procura intègre nativement.</w:t>
      </w:r>
    </w:p>
    <w:p>
      <w:pPr>
        <w:pStyle w:val="Heading3"/>
        <w:spacing w:after="100" w:before="220"/>
      </w:pPr>
      <w:r>
        <w:rPr>
          <w:rFonts w:ascii="Arial" w:cs="Arial" w:eastAsia="Arial" w:hAnsi="Arial"/>
          <w:b/>
          <w:bCs/>
          <w:color w:val="2E75B6"/>
          <w:sz w:val="24"/>
          <w:szCs w:val="24"/>
        </w:rPr>
        <w:t xml:space="preserve">2.2 État Actuel des Achats</w:t>
      </w:r>
    </w:p>
    <w:p>
      <w:pPr>
        <w:spacing w:after="80" w:before="80"/>
        <w:jc w:val="left"/>
      </w:pPr>
      <w:r>
        <w:rPr>
          <w:rFonts w:ascii="Arial" w:cs="Arial" w:eastAsia="Arial" w:hAnsi="Arial"/>
          <w:b w:val="false"/>
          <w:bCs w:val="false"/>
          <w:i w:val="false"/>
          <w:iCs w:val="false"/>
          <w:color w:val="222222"/>
          <w:sz w:val="22"/>
          <w:szCs w:val="22"/>
        </w:rPr>
        <w:t xml:space="preserve">Dans la grande majorité des organisations cibles, le processus achat est aujourd'hui caractérisé par :</w:t>
      </w:r>
    </w:p>
    <w:p>
      <w:pPr>
        <w:pStyle w:val="ListParagraph"/>
        <w:numPr>
          <w:ilvl w:val="0"/>
          <w:numId w:val="2"/>
        </w:numPr>
        <w:spacing w:after="60" w:before="60"/>
      </w:pPr>
      <w:r>
        <w:rPr>
          <w:rFonts w:ascii="Arial" w:cs="Arial" w:eastAsia="Arial" w:hAnsi="Arial"/>
          <w:color w:val="222222"/>
          <w:sz w:val="22"/>
          <w:szCs w:val="22"/>
        </w:rPr>
        <w:t xml:space="preserve">Des échanges par email non sécurisés entre acheteurs et fournisseurs</w:t>
      </w:r>
    </w:p>
    <w:p>
      <w:pPr>
        <w:pStyle w:val="ListParagraph"/>
        <w:numPr>
          <w:ilvl w:val="0"/>
          <w:numId w:val="2"/>
        </w:numPr>
        <w:spacing w:after="60" w:before="60"/>
      </w:pPr>
      <w:r>
        <w:rPr>
          <w:rFonts w:ascii="Arial" w:cs="Arial" w:eastAsia="Arial" w:hAnsi="Arial"/>
          <w:color w:val="222222"/>
          <w:sz w:val="22"/>
          <w:szCs w:val="22"/>
        </w:rPr>
        <w:t xml:space="preserve">Des offres reçues en clair, sans chiffrement ni contrôle d'accès</w:t>
      </w:r>
    </w:p>
    <w:p>
      <w:pPr>
        <w:pStyle w:val="ListParagraph"/>
        <w:numPr>
          <w:ilvl w:val="0"/>
          <w:numId w:val="2"/>
        </w:numPr>
        <w:spacing w:after="60" w:before="60"/>
      </w:pPr>
      <w:r>
        <w:rPr>
          <w:rFonts w:ascii="Arial" w:cs="Arial" w:eastAsia="Arial" w:hAnsi="Arial"/>
          <w:color w:val="222222"/>
          <w:sz w:val="22"/>
          <w:szCs w:val="22"/>
        </w:rPr>
        <w:t xml:space="preserve">Une absence de coffre-fort numérique pour la conservation des offres</w:t>
      </w:r>
    </w:p>
    <w:p>
      <w:pPr>
        <w:pStyle w:val="ListParagraph"/>
        <w:numPr>
          <w:ilvl w:val="0"/>
          <w:numId w:val="2"/>
        </w:numPr>
        <w:spacing w:after="60" w:before="60"/>
      </w:pPr>
      <w:r>
        <w:rPr>
          <w:rFonts w:ascii="Arial" w:cs="Arial" w:eastAsia="Arial" w:hAnsi="Arial"/>
          <w:color w:val="222222"/>
          <w:sz w:val="22"/>
          <w:szCs w:val="22"/>
        </w:rPr>
        <w:t xml:space="preserve">Des ouvertures de plis sans traçabilité numérique formelle</w:t>
      </w:r>
    </w:p>
    <w:p>
      <w:pPr>
        <w:pStyle w:val="ListParagraph"/>
        <w:numPr>
          <w:ilvl w:val="0"/>
          <w:numId w:val="2"/>
        </w:numPr>
        <w:spacing w:after="60" w:before="60"/>
      </w:pPr>
      <w:r>
        <w:rPr>
          <w:rFonts w:ascii="Arial" w:cs="Arial" w:eastAsia="Arial" w:hAnsi="Arial"/>
          <w:color w:val="222222"/>
          <w:sz w:val="22"/>
          <w:szCs w:val="22"/>
        </w:rPr>
        <w:t xml:space="preserve">Une dépendance à des fichiers Excel ou tableaux manuels pour la comparaison des offres</w:t>
      </w:r>
    </w:p>
    <w:p>
      <w:pPr>
        <w:pStyle w:val="ListParagraph"/>
        <w:numPr>
          <w:ilvl w:val="0"/>
          <w:numId w:val="2"/>
        </w:numPr>
        <w:spacing w:after="60" w:before="60"/>
      </w:pPr>
      <w:r>
        <w:rPr>
          <w:rFonts w:ascii="Arial" w:cs="Arial" w:eastAsia="Arial" w:hAnsi="Arial"/>
          <w:color w:val="222222"/>
          <w:sz w:val="22"/>
          <w:szCs w:val="22"/>
        </w:rPr>
        <w:t xml:space="preserve">Une intégration ERP manuelle, source d'erreurs et de délais</w:t>
      </w:r>
    </w:p>
    <w:p>
      <w:pPr>
        <w:pStyle w:val="Heading3"/>
        <w:spacing w:after="100" w:before="220"/>
      </w:pPr>
      <w:r>
        <w:rPr>
          <w:rFonts w:ascii="Arial" w:cs="Arial" w:eastAsia="Arial" w:hAnsi="Arial"/>
          <w:b/>
          <w:bCs/>
          <w:color w:val="2E75B6"/>
          <w:sz w:val="24"/>
          <w:szCs w:val="24"/>
        </w:rPr>
        <w:t xml:space="preserve">2.3 Digitalisation</w:t>
      </w:r>
    </w:p>
    <w:p>
      <w:pPr>
        <w:spacing w:after="80" w:before="80"/>
        <w:jc w:val="both"/>
      </w:pPr>
      <w:r>
        <w:rPr>
          <w:rFonts w:ascii="Arial" w:cs="Arial" w:eastAsia="Arial" w:hAnsi="Arial"/>
          <w:b w:val="false"/>
          <w:bCs w:val="false"/>
          <w:i w:val="false"/>
          <w:iCs w:val="false"/>
          <w:color w:val="222222"/>
          <w:sz w:val="22"/>
          <w:szCs w:val="22"/>
        </w:rPr>
        <w:t xml:space="preserve">La digitalisation du processus achat est une priorité stratégique pour les organisations souhaitant réduire leurs délais, leurs coûts opérationnels et leurs risques juridiques. Procura s'inscrit dans cette dynamique en proposant une digitalisation progressive, respectueuse des procédures existantes.</w:t>
      </w:r>
    </w:p>
    <w:p>
      <w:pPr>
        <w:pStyle w:val="Heading3"/>
        <w:spacing w:after="100" w:before="220"/>
      </w:pPr>
      <w:r>
        <w:rPr>
          <w:rFonts w:ascii="Arial" w:cs="Arial" w:eastAsia="Arial" w:hAnsi="Arial"/>
          <w:b/>
          <w:bCs/>
          <w:color w:val="2E75B6"/>
          <w:sz w:val="24"/>
          <w:szCs w:val="24"/>
        </w:rPr>
        <w:t xml:space="preserve">2.4 Contraintes Actuelles</w:t>
      </w:r>
    </w:p>
    <w:p>
      <w:pPr>
        <w:pStyle w:val="ListParagraph"/>
        <w:numPr>
          <w:ilvl w:val="0"/>
          <w:numId w:val="2"/>
        </w:numPr>
        <w:spacing w:after="60" w:before="60"/>
      </w:pPr>
      <w:r>
        <w:rPr>
          <w:rFonts w:ascii="Arial" w:cs="Arial" w:eastAsia="Arial" w:hAnsi="Arial"/>
          <w:color w:val="222222"/>
          <w:sz w:val="22"/>
          <w:szCs w:val="22"/>
        </w:rPr>
        <w:t xml:space="preserve">Obligation d'hébergement local (on-premise) imposée par la réglementation</w:t>
      </w:r>
    </w:p>
    <w:p>
      <w:pPr>
        <w:pStyle w:val="ListParagraph"/>
        <w:numPr>
          <w:ilvl w:val="0"/>
          <w:numId w:val="2"/>
        </w:numPr>
        <w:spacing w:after="60" w:before="60"/>
      </w:pPr>
      <w:r>
        <w:rPr>
          <w:rFonts w:ascii="Arial" w:cs="Arial" w:eastAsia="Arial" w:hAnsi="Arial"/>
          <w:color w:val="222222"/>
          <w:sz w:val="22"/>
          <w:szCs w:val="22"/>
        </w:rPr>
        <w:t xml:space="preserve">Respect des procédures de commission d'ouverture des plis physiques</w:t>
      </w:r>
    </w:p>
    <w:p>
      <w:pPr>
        <w:pStyle w:val="ListParagraph"/>
        <w:numPr>
          <w:ilvl w:val="0"/>
          <w:numId w:val="2"/>
        </w:numPr>
        <w:spacing w:after="60" w:before="60"/>
      </w:pPr>
      <w:r>
        <w:rPr>
          <w:rFonts w:ascii="Arial" w:cs="Arial" w:eastAsia="Arial" w:hAnsi="Arial"/>
          <w:color w:val="222222"/>
          <w:sz w:val="22"/>
          <w:szCs w:val="22"/>
        </w:rPr>
        <w:t xml:space="preserve">Intégration obligatoire avec des ERP hétérogènes (SAP, Oracle, Sage, Dynamics, ERP propriétaires)</w:t>
      </w:r>
    </w:p>
    <w:p>
      <w:pPr>
        <w:pStyle w:val="ListParagraph"/>
        <w:numPr>
          <w:ilvl w:val="0"/>
          <w:numId w:val="2"/>
        </w:numPr>
        <w:spacing w:after="60" w:before="60"/>
      </w:pPr>
      <w:r>
        <w:rPr>
          <w:rFonts w:ascii="Arial" w:cs="Arial" w:eastAsia="Arial" w:hAnsi="Arial"/>
          <w:color w:val="222222"/>
          <w:sz w:val="22"/>
          <w:szCs w:val="22"/>
        </w:rPr>
        <w:t xml:space="preserve">Nécessité d'une auditabilité totale pour les contrôles internes et externes</w:t>
      </w:r>
    </w:p>
    <w:p>
      <w:pPr>
        <w:pStyle w:val="Heading3"/>
        <w:spacing w:after="100" w:before="220"/>
      </w:pPr>
      <w:r>
        <w:rPr>
          <w:rFonts w:ascii="Arial" w:cs="Arial" w:eastAsia="Arial" w:hAnsi="Arial"/>
          <w:b/>
          <w:bCs/>
          <w:color w:val="2E75B6"/>
          <w:sz w:val="24"/>
          <w:szCs w:val="24"/>
        </w:rPr>
        <w:t xml:space="preserve">2.5 Opportunités</w:t>
      </w:r>
    </w:p>
    <w:p>
      <w:pPr>
        <w:pStyle w:val="ListParagraph"/>
        <w:numPr>
          <w:ilvl w:val="0"/>
          <w:numId w:val="2"/>
        </w:numPr>
        <w:spacing w:after="60" w:before="60"/>
      </w:pPr>
      <w:r>
        <w:rPr>
          <w:rFonts w:ascii="Arial" w:cs="Arial" w:eastAsia="Arial" w:hAnsi="Arial"/>
          <w:color w:val="222222"/>
          <w:sz w:val="22"/>
          <w:szCs w:val="22"/>
        </w:rPr>
        <w:t xml:space="preserve">Absence de solution locale dédiée Source-to-Contract</w:t>
      </w:r>
    </w:p>
    <w:p>
      <w:pPr>
        <w:pStyle w:val="ListParagraph"/>
        <w:numPr>
          <w:ilvl w:val="0"/>
          <w:numId w:val="2"/>
        </w:numPr>
        <w:spacing w:after="60" w:before="60"/>
      </w:pPr>
      <w:r>
        <w:rPr>
          <w:rFonts w:ascii="Arial" w:cs="Arial" w:eastAsia="Arial" w:hAnsi="Arial"/>
          <w:color w:val="222222"/>
          <w:sz w:val="22"/>
          <w:szCs w:val="22"/>
        </w:rPr>
        <w:t xml:space="preserve">Fort potentiel dans les secteurs : énergie, BTP, industrie, assurance, télécoms, secteur public</w:t>
      </w:r>
    </w:p>
    <w:p>
      <w:pPr>
        <w:pStyle w:val="ListParagraph"/>
        <w:numPr>
          <w:ilvl w:val="0"/>
          <w:numId w:val="2"/>
        </w:numPr>
        <w:spacing w:after="60" w:before="60"/>
      </w:pPr>
      <w:r>
        <w:rPr>
          <w:rFonts w:ascii="Arial" w:cs="Arial" w:eastAsia="Arial" w:hAnsi="Arial"/>
          <w:color w:val="222222"/>
          <w:sz w:val="22"/>
          <w:szCs w:val="22"/>
        </w:rPr>
        <w:t xml:space="preserve">Demande croissante de conformité réglementaire numérique</w:t>
      </w:r>
    </w:p>
    <w:p>
      <w:pPr>
        <w:pStyle w:val="ListParagraph"/>
        <w:numPr>
          <w:ilvl w:val="0"/>
          <w:numId w:val="2"/>
        </w:numPr>
        <w:spacing w:after="60" w:before="60"/>
      </w:pPr>
      <w:r>
        <w:rPr>
          <w:rFonts w:ascii="Arial" w:cs="Arial" w:eastAsia="Arial" w:hAnsi="Arial"/>
          <w:color w:val="222222"/>
          <w:sz w:val="22"/>
          <w:szCs w:val="22"/>
        </w:rPr>
        <w:t xml:space="preserve">Opportunité d'expansion vers d'autres marchés à fortes contraintes réglementaires</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3. Problématique</w:t>
      </w:r>
    </w:p>
    <w:p>
      <w:pPr>
        <w:pStyle w:val="Heading3"/>
        <w:spacing w:after="100" w:before="220"/>
      </w:pPr>
      <w:r>
        <w:rPr>
          <w:rFonts w:ascii="Arial" w:cs="Arial" w:eastAsia="Arial" w:hAnsi="Arial"/>
          <w:b/>
          <w:bCs/>
          <w:color w:val="2E75B6"/>
          <w:sz w:val="24"/>
          <w:szCs w:val="24"/>
        </w:rPr>
        <w:t xml:space="preserve">3.1 Difficultés Rencontrées</w:t>
      </w:r>
    </w:p>
    <w:p>
      <w:pPr>
        <w:spacing w:after="80" w:before="80"/>
        <w:jc w:val="both"/>
      </w:pPr>
      <w:r>
        <w:rPr>
          <w:rFonts w:ascii="Arial" w:cs="Arial" w:eastAsia="Arial" w:hAnsi="Arial"/>
          <w:b w:val="false"/>
          <w:bCs w:val="false"/>
          <w:i w:val="false"/>
          <w:iCs w:val="false"/>
          <w:color w:val="222222"/>
          <w:sz w:val="22"/>
          <w:szCs w:val="22"/>
        </w:rPr>
        <w:t xml:space="preserve">Les organisations font face à un triple défi : sécuriser les échanges avec les fournisseurs, garantir la traçabilité de l'ensemble du processus achat et s'intégrer aux systèmes existants sans disruption organisationnelle.</w:t>
      </w:r>
    </w:p>
    <w:p>
      <w:pPr>
        <w:pStyle w:val="Heading3"/>
        <w:spacing w:after="100" w:before="220"/>
      </w:pPr>
      <w:r>
        <w:rPr>
          <w:rFonts w:ascii="Arial" w:cs="Arial" w:eastAsia="Arial" w:hAnsi="Arial"/>
          <w:b/>
          <w:bCs/>
          <w:color w:val="2E75B6"/>
          <w:sz w:val="24"/>
          <w:szCs w:val="24"/>
        </w:rPr>
        <w:t xml:space="preserve">3.2 Processus Manuel</w:t>
      </w:r>
    </w:p>
    <w:p>
      <w:pPr>
        <w:spacing w:after="80" w:before="80"/>
        <w:jc w:val="both"/>
      </w:pPr>
      <w:r>
        <w:rPr>
          <w:rFonts w:ascii="Arial" w:cs="Arial" w:eastAsia="Arial" w:hAnsi="Arial"/>
          <w:b w:val="false"/>
          <w:bCs w:val="false"/>
          <w:i w:val="false"/>
          <w:iCs w:val="false"/>
          <w:color w:val="222222"/>
          <w:sz w:val="22"/>
          <w:szCs w:val="22"/>
        </w:rPr>
        <w:t xml:space="preserve">Le processus d'achat manuel génère des inefficiences majeures : délais importants dans la collecte des offres, risques de manipulation des données, impossibilité de prouver l'intégrité d'une offre en cas de litige et manque de visibilité en temps réel sur l'état d'avancement des consultations.</w:t>
      </w:r>
    </w:p>
    <w:p>
      <w:pPr>
        <w:pStyle w:val="Heading3"/>
        <w:spacing w:after="100" w:before="220"/>
      </w:pPr>
      <w:r>
        <w:rPr>
          <w:rFonts w:ascii="Arial" w:cs="Arial" w:eastAsia="Arial" w:hAnsi="Arial"/>
          <w:b/>
          <w:bCs/>
          <w:color w:val="2E75B6"/>
          <w:sz w:val="24"/>
          <w:szCs w:val="24"/>
        </w:rPr>
        <w:t xml:space="preserve">3.3 Risques</w:t>
      </w:r>
    </w:p>
    <w:p>
      <w:pPr>
        <w:pStyle w:val="ListParagraph"/>
        <w:numPr>
          <w:ilvl w:val="0"/>
          <w:numId w:val="2"/>
        </w:numPr>
        <w:spacing w:after="60" w:before="60"/>
      </w:pPr>
      <w:r>
        <w:rPr>
          <w:rFonts w:ascii="Arial" w:cs="Arial" w:eastAsia="Arial" w:hAnsi="Arial"/>
          <w:color w:val="222222"/>
          <w:sz w:val="22"/>
          <w:szCs w:val="22"/>
        </w:rPr>
        <w:t xml:space="preserve">Risque de fuite des offres avant ouverture officielle</w:t>
      </w:r>
    </w:p>
    <w:p>
      <w:pPr>
        <w:pStyle w:val="ListParagraph"/>
        <w:numPr>
          <w:ilvl w:val="0"/>
          <w:numId w:val="2"/>
        </w:numPr>
        <w:spacing w:after="60" w:before="60"/>
      </w:pPr>
      <w:r>
        <w:rPr>
          <w:rFonts w:ascii="Arial" w:cs="Arial" w:eastAsia="Arial" w:hAnsi="Arial"/>
          <w:color w:val="222222"/>
          <w:sz w:val="22"/>
          <w:szCs w:val="22"/>
        </w:rPr>
        <w:t xml:space="preserve">Risque de manipulation des prix ou des données fournisseurs</w:t>
      </w:r>
    </w:p>
    <w:p>
      <w:pPr>
        <w:pStyle w:val="ListParagraph"/>
        <w:numPr>
          <w:ilvl w:val="0"/>
          <w:numId w:val="2"/>
        </w:numPr>
        <w:spacing w:after="60" w:before="60"/>
      </w:pPr>
      <w:r>
        <w:rPr>
          <w:rFonts w:ascii="Arial" w:cs="Arial" w:eastAsia="Arial" w:hAnsi="Arial"/>
          <w:color w:val="222222"/>
          <w:sz w:val="22"/>
          <w:szCs w:val="22"/>
        </w:rPr>
        <w:t xml:space="preserve">Risque juridique en l'absence de preuves horodatées et signées</w:t>
      </w:r>
    </w:p>
    <w:p>
      <w:pPr>
        <w:pStyle w:val="ListParagraph"/>
        <w:numPr>
          <w:ilvl w:val="0"/>
          <w:numId w:val="2"/>
        </w:numPr>
        <w:spacing w:after="60" w:before="60"/>
      </w:pPr>
      <w:r>
        <w:rPr>
          <w:rFonts w:ascii="Arial" w:cs="Arial" w:eastAsia="Arial" w:hAnsi="Arial"/>
          <w:color w:val="222222"/>
          <w:sz w:val="22"/>
          <w:szCs w:val="22"/>
        </w:rPr>
        <w:t xml:space="preserve">Risque d'audit : impossibilité de reconstituer le déroulement d'une consultation</w:t>
      </w:r>
    </w:p>
    <w:p>
      <w:pPr>
        <w:pStyle w:val="ListParagraph"/>
        <w:numPr>
          <w:ilvl w:val="0"/>
          <w:numId w:val="2"/>
        </w:numPr>
        <w:spacing w:after="60" w:before="60"/>
      </w:pPr>
      <w:r>
        <w:rPr>
          <w:rFonts w:ascii="Arial" w:cs="Arial" w:eastAsia="Arial" w:hAnsi="Arial"/>
          <w:color w:val="222222"/>
          <w:sz w:val="22"/>
          <w:szCs w:val="22"/>
        </w:rPr>
        <w:t xml:space="preserve">Risque de réputation en cas de contestation fournisseur</w:t>
      </w:r>
    </w:p>
    <w:p>
      <w:pPr>
        <w:pStyle w:val="Heading3"/>
        <w:spacing w:after="100" w:before="220"/>
      </w:pPr>
      <w:r>
        <w:rPr>
          <w:rFonts w:ascii="Arial" w:cs="Arial" w:eastAsia="Arial" w:hAnsi="Arial"/>
          <w:b/>
          <w:bCs/>
          <w:color w:val="2E75B6"/>
          <w:sz w:val="24"/>
          <w:szCs w:val="24"/>
        </w:rPr>
        <w:t xml:space="preserve">3.4 Limites des Solutions Actuelles</w:t>
      </w:r>
    </w:p>
    <w:p>
      <w:pPr>
        <w:pStyle w:val="ListParagraph"/>
        <w:numPr>
          <w:ilvl w:val="0"/>
          <w:numId w:val="2"/>
        </w:numPr>
        <w:spacing w:after="60" w:before="60"/>
      </w:pPr>
      <w:r>
        <w:rPr>
          <w:rFonts w:ascii="Arial" w:cs="Arial" w:eastAsia="Arial" w:hAnsi="Arial"/>
          <w:color w:val="222222"/>
          <w:sz w:val="22"/>
          <w:szCs w:val="22"/>
        </w:rPr>
        <w:t xml:space="preserve">Solutions SaaS : hébergement hors territoire, non conformes réglementairement</w:t>
      </w:r>
    </w:p>
    <w:p>
      <w:pPr>
        <w:pStyle w:val="ListParagraph"/>
        <w:numPr>
          <w:ilvl w:val="0"/>
          <w:numId w:val="2"/>
        </w:numPr>
        <w:spacing w:after="60" w:before="60"/>
      </w:pPr>
      <w:r>
        <w:rPr>
          <w:rFonts w:ascii="Arial" w:cs="Arial" w:eastAsia="Arial" w:hAnsi="Arial"/>
          <w:color w:val="222222"/>
          <w:sz w:val="22"/>
          <w:szCs w:val="22"/>
        </w:rPr>
        <w:t xml:space="preserve">Modules ERP achat : trop généralistes, ne couvrent pas le Source-to-Contract sécurisé</w:t>
      </w:r>
    </w:p>
    <w:p>
      <w:pPr>
        <w:pStyle w:val="ListParagraph"/>
        <w:numPr>
          <w:ilvl w:val="0"/>
          <w:numId w:val="2"/>
        </w:numPr>
        <w:spacing w:after="60" w:before="60"/>
      </w:pPr>
      <w:r>
        <w:rPr>
          <w:rFonts w:ascii="Arial" w:cs="Arial" w:eastAsia="Arial" w:hAnsi="Arial"/>
          <w:color w:val="222222"/>
          <w:sz w:val="22"/>
          <w:szCs w:val="22"/>
        </w:rPr>
        <w:t xml:space="preserve">Solutions papier : aucune traçabilité numérique, coûts élevés, lenteurs</w:t>
      </w:r>
    </w:p>
    <w:p>
      <w:pPr>
        <w:pStyle w:val="ListParagraph"/>
        <w:numPr>
          <w:ilvl w:val="0"/>
          <w:numId w:val="2"/>
        </w:numPr>
        <w:spacing w:after="60" w:before="60"/>
      </w:pPr>
      <w:r>
        <w:rPr>
          <w:rFonts w:ascii="Arial" w:cs="Arial" w:eastAsia="Arial" w:hAnsi="Arial"/>
          <w:color w:val="222222"/>
          <w:sz w:val="22"/>
          <w:szCs w:val="22"/>
        </w:rPr>
        <w:t xml:space="preserve">Email : aucune sécurité, aucune traçabilité, aucun coffre-fort</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4. Objectifs du Projet</w:t>
      </w:r>
    </w:p>
    <w:p>
      <w:pPr>
        <w:pStyle w:val="Heading3"/>
        <w:spacing w:after="100" w:before="220"/>
      </w:pPr>
      <w:r>
        <w:rPr>
          <w:rFonts w:ascii="Arial" w:cs="Arial" w:eastAsia="Arial" w:hAnsi="Arial"/>
          <w:b/>
          <w:bCs/>
          <w:color w:val="2E75B6"/>
          <w:sz w:val="24"/>
          <w:szCs w:val="24"/>
        </w:rPr>
        <w:t xml:space="preserve">4.1 Objectifs Métier</w:t>
      </w:r>
    </w:p>
    <w:p>
      <w:pPr>
        <w:pStyle w:val="ListParagraph"/>
        <w:numPr>
          <w:ilvl w:val="0"/>
          <w:numId w:val="2"/>
        </w:numPr>
        <w:spacing w:after="60" w:before="60"/>
      </w:pPr>
      <w:r>
        <w:rPr>
          <w:rFonts w:ascii="Arial" w:cs="Arial" w:eastAsia="Arial" w:hAnsi="Arial"/>
          <w:color w:val="222222"/>
          <w:sz w:val="22"/>
          <w:szCs w:val="22"/>
        </w:rPr>
        <w:t xml:space="preserve">Digitaliser l'ensemble du cycle Source-to-Contract</w:t>
      </w:r>
    </w:p>
    <w:p>
      <w:pPr>
        <w:pStyle w:val="ListParagraph"/>
        <w:numPr>
          <w:ilvl w:val="0"/>
          <w:numId w:val="2"/>
        </w:numPr>
        <w:spacing w:after="60" w:before="60"/>
      </w:pPr>
      <w:r>
        <w:rPr>
          <w:rFonts w:ascii="Arial" w:cs="Arial" w:eastAsia="Arial" w:hAnsi="Arial"/>
          <w:color w:val="222222"/>
          <w:sz w:val="22"/>
          <w:szCs w:val="22"/>
        </w:rPr>
        <w:t xml:space="preserve">Garantir la confidentialité des offres fournisseurs jusqu'à l'ouverture officielle</w:t>
      </w:r>
    </w:p>
    <w:p>
      <w:pPr>
        <w:pStyle w:val="ListParagraph"/>
        <w:numPr>
          <w:ilvl w:val="0"/>
          <w:numId w:val="2"/>
        </w:numPr>
        <w:spacing w:after="60" w:before="60"/>
      </w:pPr>
      <w:r>
        <w:rPr>
          <w:rFonts w:ascii="Arial" w:cs="Arial" w:eastAsia="Arial" w:hAnsi="Arial"/>
          <w:color w:val="222222"/>
          <w:sz w:val="22"/>
          <w:szCs w:val="22"/>
        </w:rPr>
        <w:t xml:space="preserve">Produire des preuves légales horodatées et signées pour chaque étape</w:t>
      </w:r>
    </w:p>
    <w:p>
      <w:pPr>
        <w:pStyle w:val="ListParagraph"/>
        <w:numPr>
          <w:ilvl w:val="0"/>
          <w:numId w:val="2"/>
        </w:numPr>
        <w:spacing w:after="60" w:before="60"/>
      </w:pPr>
      <w:r>
        <w:rPr>
          <w:rFonts w:ascii="Arial" w:cs="Arial" w:eastAsia="Arial" w:hAnsi="Arial"/>
          <w:color w:val="222222"/>
          <w:sz w:val="22"/>
          <w:szCs w:val="22"/>
        </w:rPr>
        <w:t xml:space="preserve">Respecter et formaliser numériquement les procédures de commission d'ouverture des plis</w:t>
      </w:r>
    </w:p>
    <w:p>
      <w:pPr>
        <w:pStyle w:val="ListParagraph"/>
        <w:numPr>
          <w:ilvl w:val="0"/>
          <w:numId w:val="2"/>
        </w:numPr>
        <w:spacing w:after="60" w:before="60"/>
      </w:pPr>
      <w:r>
        <w:rPr>
          <w:rFonts w:ascii="Arial" w:cs="Arial" w:eastAsia="Arial" w:hAnsi="Arial"/>
          <w:color w:val="222222"/>
          <w:sz w:val="22"/>
          <w:szCs w:val="22"/>
        </w:rPr>
        <w:t xml:space="preserve">Transmettre les données finales à l'ERP de manière sécurisée et structurée</w:t>
      </w:r>
    </w:p>
    <w:p>
      <w:pPr>
        <w:pStyle w:val="Heading3"/>
        <w:spacing w:after="100" w:before="220"/>
      </w:pPr>
      <w:r>
        <w:rPr>
          <w:rFonts w:ascii="Arial" w:cs="Arial" w:eastAsia="Arial" w:hAnsi="Arial"/>
          <w:b/>
          <w:bCs/>
          <w:color w:val="2E75B6"/>
          <w:sz w:val="24"/>
          <w:szCs w:val="24"/>
        </w:rPr>
        <w:t xml:space="preserve">4.2 Objectifs Techniques</w:t>
      </w:r>
    </w:p>
    <w:p>
      <w:pPr>
        <w:pStyle w:val="ListParagraph"/>
        <w:numPr>
          <w:ilvl w:val="0"/>
          <w:numId w:val="2"/>
        </w:numPr>
        <w:spacing w:after="60" w:before="60"/>
      </w:pPr>
      <w:r>
        <w:rPr>
          <w:rFonts w:ascii="Arial" w:cs="Arial" w:eastAsia="Arial" w:hAnsi="Arial"/>
          <w:color w:val="222222"/>
          <w:sz w:val="22"/>
          <w:szCs w:val="22"/>
        </w:rPr>
        <w:t xml:space="preserve">Déployer une solution 100 % on-premise, sans dépendance cloud</w:t>
      </w:r>
    </w:p>
    <w:p>
      <w:pPr>
        <w:pStyle w:val="ListParagraph"/>
        <w:numPr>
          <w:ilvl w:val="0"/>
          <w:numId w:val="2"/>
        </w:numPr>
        <w:spacing w:after="60" w:before="60"/>
      </w:pPr>
      <w:r>
        <w:rPr>
          <w:rFonts w:ascii="Arial" w:cs="Arial" w:eastAsia="Arial" w:hAnsi="Arial"/>
          <w:color w:val="222222"/>
          <w:sz w:val="22"/>
          <w:szCs w:val="22"/>
        </w:rPr>
        <w:t xml:space="preserve">Implémenter une architecture en zones réseau séparées (DMZ / LAN)</w:t>
      </w:r>
    </w:p>
    <w:p>
      <w:pPr>
        <w:pStyle w:val="ListParagraph"/>
        <w:numPr>
          <w:ilvl w:val="0"/>
          <w:numId w:val="2"/>
        </w:numPr>
        <w:spacing w:after="60" w:before="60"/>
      </w:pPr>
      <w:r>
        <w:rPr>
          <w:rFonts w:ascii="Arial" w:cs="Arial" w:eastAsia="Arial" w:hAnsi="Arial"/>
          <w:color w:val="222222"/>
          <w:sz w:val="22"/>
          <w:szCs w:val="22"/>
        </w:rPr>
        <w:t xml:space="preserve">Sécuriser tous les flux par chiffrement TLS 1.3 et mTLS</w:t>
      </w:r>
    </w:p>
    <w:p>
      <w:pPr>
        <w:pStyle w:val="ListParagraph"/>
        <w:numPr>
          <w:ilvl w:val="0"/>
          <w:numId w:val="2"/>
        </w:numPr>
        <w:spacing w:after="60" w:before="60"/>
      </w:pPr>
      <w:r>
        <w:rPr>
          <w:rFonts w:ascii="Arial" w:cs="Arial" w:eastAsia="Arial" w:hAnsi="Arial"/>
          <w:color w:val="222222"/>
          <w:sz w:val="22"/>
          <w:szCs w:val="22"/>
        </w:rPr>
        <w:t xml:space="preserve">Intégrer un coffre-fort numérique basé sur le chiffrement AES-256 et HSM</w:t>
      </w:r>
    </w:p>
    <w:p>
      <w:pPr>
        <w:pStyle w:val="ListParagraph"/>
        <w:numPr>
          <w:ilvl w:val="0"/>
          <w:numId w:val="2"/>
        </w:numPr>
        <w:spacing w:after="60" w:before="60"/>
      </w:pPr>
      <w:r>
        <w:rPr>
          <w:rFonts w:ascii="Arial" w:cs="Arial" w:eastAsia="Arial" w:hAnsi="Arial"/>
          <w:color w:val="222222"/>
          <w:sz w:val="22"/>
          <w:szCs w:val="22"/>
        </w:rPr>
        <w:t xml:space="preserve">Implémenter l'horodatage RFC 3161 et la signature numérique pour la non-répudiation</w:t>
      </w:r>
    </w:p>
    <w:p>
      <w:pPr>
        <w:pStyle w:val="ListParagraph"/>
        <w:numPr>
          <w:ilvl w:val="0"/>
          <w:numId w:val="2"/>
        </w:numPr>
        <w:spacing w:after="60" w:before="60"/>
      </w:pPr>
      <w:r>
        <w:rPr>
          <w:rFonts w:ascii="Arial" w:cs="Arial" w:eastAsia="Arial" w:hAnsi="Arial"/>
          <w:color w:val="222222"/>
          <w:sz w:val="22"/>
          <w:szCs w:val="22"/>
        </w:rPr>
        <w:t xml:space="preserve">Connecter Procura aux principaux ERP du marché via API, CSV, XML, JSON</w:t>
      </w:r>
    </w:p>
    <w:p>
      <w:pPr>
        <w:pStyle w:val="Heading3"/>
        <w:spacing w:after="100" w:before="220"/>
      </w:pPr>
      <w:r>
        <w:rPr>
          <w:rFonts w:ascii="Arial" w:cs="Arial" w:eastAsia="Arial" w:hAnsi="Arial"/>
          <w:b/>
          <w:bCs/>
          <w:color w:val="2E75B6"/>
          <w:sz w:val="24"/>
          <w:szCs w:val="24"/>
        </w:rPr>
        <w:t xml:space="preserve">4.3 Objectifs Stratégiques</w:t>
      </w:r>
    </w:p>
    <w:p>
      <w:pPr>
        <w:pStyle w:val="ListParagraph"/>
        <w:numPr>
          <w:ilvl w:val="0"/>
          <w:numId w:val="2"/>
        </w:numPr>
        <w:spacing w:after="60" w:before="60"/>
      </w:pPr>
      <w:r>
        <w:rPr>
          <w:rFonts w:ascii="Arial" w:cs="Arial" w:eastAsia="Arial" w:hAnsi="Arial"/>
          <w:color w:val="222222"/>
          <w:sz w:val="22"/>
          <w:szCs w:val="22"/>
        </w:rPr>
        <w:t xml:space="preserve">Positionner Procura comme la référence nationale du Source-to-Contract sécurisé</w:t>
      </w:r>
    </w:p>
    <w:p>
      <w:pPr>
        <w:pStyle w:val="ListParagraph"/>
        <w:numPr>
          <w:ilvl w:val="0"/>
          <w:numId w:val="2"/>
        </w:numPr>
        <w:spacing w:after="60" w:before="60"/>
      </w:pPr>
      <w:r>
        <w:rPr>
          <w:rFonts w:ascii="Arial" w:cs="Arial" w:eastAsia="Arial" w:hAnsi="Arial"/>
          <w:color w:val="222222"/>
          <w:sz w:val="22"/>
          <w:szCs w:val="22"/>
        </w:rPr>
        <w:t xml:space="preserve">Réduire le time-to-market d'un cycle d'appel d'offres de 30 à 50 %</w:t>
      </w:r>
    </w:p>
    <w:p>
      <w:pPr>
        <w:pStyle w:val="ListParagraph"/>
        <w:numPr>
          <w:ilvl w:val="0"/>
          <w:numId w:val="2"/>
        </w:numPr>
        <w:spacing w:after="60" w:before="60"/>
      </w:pPr>
      <w:r>
        <w:rPr>
          <w:rFonts w:ascii="Arial" w:cs="Arial" w:eastAsia="Arial" w:hAnsi="Arial"/>
          <w:color w:val="222222"/>
          <w:sz w:val="22"/>
          <w:szCs w:val="22"/>
        </w:rPr>
        <w:t xml:space="preserve">Permettre à l'organisation d'atteindre la conformité totale aux exigences d'audit</w:t>
      </w:r>
    </w:p>
    <w:p>
      <w:pPr>
        <w:pStyle w:val="ListParagraph"/>
        <w:numPr>
          <w:ilvl w:val="0"/>
          <w:numId w:val="2"/>
        </w:numPr>
        <w:spacing w:after="60" w:before="60"/>
      </w:pPr>
      <w:r>
        <w:rPr>
          <w:rFonts w:ascii="Arial" w:cs="Arial" w:eastAsia="Arial" w:hAnsi="Arial"/>
          <w:color w:val="222222"/>
          <w:sz w:val="22"/>
          <w:szCs w:val="22"/>
        </w:rPr>
        <w:t xml:space="preserve">Offrir une plateforme évolutive, extensible à de nouveaux modules sans refonte</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5. Périmètre du Projet</w:t>
      </w:r>
    </w:p>
    <w:p>
      <w:pPr>
        <w:pStyle w:val="Heading3"/>
        <w:spacing w:after="100" w:before="220"/>
      </w:pPr>
      <w:r>
        <w:rPr>
          <w:rFonts w:ascii="Arial" w:cs="Arial" w:eastAsia="Arial" w:hAnsi="Arial"/>
          <w:b/>
          <w:bCs/>
          <w:color w:val="2E75B6"/>
          <w:sz w:val="24"/>
          <w:szCs w:val="24"/>
        </w:rPr>
        <w:t xml:space="preserve">5.1 Ce que Couvre Procura</w:t>
      </w:r>
    </w:p>
    <w:p>
      <w:pPr>
        <w:pStyle w:val="ListParagraph"/>
        <w:numPr>
          <w:ilvl w:val="0"/>
          <w:numId w:val="2"/>
        </w:numPr>
        <w:spacing w:after="60" w:before="60"/>
      </w:pPr>
      <w:r>
        <w:rPr>
          <w:rFonts w:ascii="Arial" w:cs="Arial" w:eastAsia="Arial" w:hAnsi="Arial"/>
          <w:color w:val="222222"/>
          <w:sz w:val="22"/>
          <w:szCs w:val="22"/>
        </w:rPr>
        <w:t xml:space="preserve">Expression du besoin interne et validation multi-niveaux</w:t>
      </w:r>
    </w:p>
    <w:p>
      <w:pPr>
        <w:pStyle w:val="ListParagraph"/>
        <w:numPr>
          <w:ilvl w:val="0"/>
          <w:numId w:val="2"/>
        </w:numPr>
        <w:spacing w:after="60" w:before="60"/>
      </w:pPr>
      <w:r>
        <w:rPr>
          <w:rFonts w:ascii="Arial" w:cs="Arial" w:eastAsia="Arial" w:hAnsi="Arial"/>
          <w:color w:val="222222"/>
          <w:sz w:val="22"/>
          <w:szCs w:val="22"/>
        </w:rPr>
        <w:t xml:space="preserve">Sélection des fournisseurs depuis le référentiel ERP (lecture seule)</w:t>
      </w:r>
    </w:p>
    <w:p>
      <w:pPr>
        <w:pStyle w:val="ListParagraph"/>
        <w:numPr>
          <w:ilvl w:val="0"/>
          <w:numId w:val="2"/>
        </w:numPr>
        <w:spacing w:after="60" w:before="60"/>
      </w:pPr>
      <w:r>
        <w:rPr>
          <w:rFonts w:ascii="Arial" w:cs="Arial" w:eastAsia="Arial" w:hAnsi="Arial"/>
          <w:color w:val="222222"/>
          <w:sz w:val="22"/>
          <w:szCs w:val="22"/>
        </w:rPr>
        <w:t xml:space="preserve">Création, validation, scellage et publication des RFQ</w:t>
      </w:r>
    </w:p>
    <w:p>
      <w:pPr>
        <w:pStyle w:val="ListParagraph"/>
        <w:numPr>
          <w:ilvl w:val="0"/>
          <w:numId w:val="2"/>
        </w:numPr>
        <w:spacing w:after="60" w:before="60"/>
      </w:pPr>
      <w:r>
        <w:rPr>
          <w:rFonts w:ascii="Arial" w:cs="Arial" w:eastAsia="Arial" w:hAnsi="Arial"/>
          <w:color w:val="222222"/>
          <w:sz w:val="22"/>
          <w:szCs w:val="22"/>
        </w:rPr>
        <w:t xml:space="preserve">Portail fournisseur sécurisé en DMZ pour le dépôt des offres</w:t>
      </w:r>
    </w:p>
    <w:p>
      <w:pPr>
        <w:pStyle w:val="ListParagraph"/>
        <w:numPr>
          <w:ilvl w:val="0"/>
          <w:numId w:val="2"/>
        </w:numPr>
        <w:spacing w:after="60" w:before="60"/>
      </w:pPr>
      <w:r>
        <w:rPr>
          <w:rFonts w:ascii="Arial" w:cs="Arial" w:eastAsia="Arial" w:hAnsi="Arial"/>
          <w:color w:val="222222"/>
          <w:sz w:val="22"/>
          <w:szCs w:val="22"/>
        </w:rPr>
        <w:t xml:space="preserve">Coffre-fort numérique : chiffrement, horodatage, intégrité des offres</w:t>
      </w:r>
    </w:p>
    <w:p>
      <w:pPr>
        <w:pStyle w:val="ListParagraph"/>
        <w:numPr>
          <w:ilvl w:val="0"/>
          <w:numId w:val="2"/>
        </w:numPr>
        <w:spacing w:after="60" w:before="60"/>
      </w:pPr>
      <w:r>
        <w:rPr>
          <w:rFonts w:ascii="Arial" w:cs="Arial" w:eastAsia="Arial" w:hAnsi="Arial"/>
          <w:color w:val="222222"/>
          <w:sz w:val="22"/>
          <w:szCs w:val="22"/>
        </w:rPr>
        <w:t xml:space="preserve">Gestion des deadlines et verrouillage automatique</w:t>
      </w:r>
    </w:p>
    <w:p>
      <w:pPr>
        <w:pStyle w:val="ListParagraph"/>
        <w:numPr>
          <w:ilvl w:val="0"/>
          <w:numId w:val="2"/>
        </w:numPr>
        <w:spacing w:after="60" w:before="60"/>
      </w:pPr>
      <w:r>
        <w:rPr>
          <w:rFonts w:ascii="Arial" w:cs="Arial" w:eastAsia="Arial" w:hAnsi="Arial"/>
          <w:color w:val="222222"/>
          <w:sz w:val="22"/>
          <w:szCs w:val="22"/>
        </w:rPr>
        <w:t xml:space="preserve">Ouverture numérique des plis avec commission physique</w:t>
      </w:r>
    </w:p>
    <w:p>
      <w:pPr>
        <w:pStyle w:val="ListParagraph"/>
        <w:numPr>
          <w:ilvl w:val="0"/>
          <w:numId w:val="2"/>
        </w:numPr>
        <w:spacing w:after="60" w:before="60"/>
      </w:pPr>
      <w:r>
        <w:rPr>
          <w:rFonts w:ascii="Arial" w:cs="Arial" w:eastAsia="Arial" w:hAnsi="Arial"/>
          <w:color w:val="222222"/>
          <w:sz w:val="22"/>
          <w:szCs w:val="22"/>
        </w:rPr>
        <w:t xml:space="preserve">Module commission : saisie des décisions, génération du PV numérique</w:t>
      </w:r>
    </w:p>
    <w:p>
      <w:pPr>
        <w:pStyle w:val="ListParagraph"/>
        <w:numPr>
          <w:ilvl w:val="0"/>
          <w:numId w:val="2"/>
        </w:numPr>
        <w:spacing w:after="60" w:before="60"/>
      </w:pPr>
      <w:r>
        <w:rPr>
          <w:rFonts w:ascii="Arial" w:cs="Arial" w:eastAsia="Arial" w:hAnsi="Arial"/>
          <w:color w:val="222222"/>
          <w:sz w:val="22"/>
          <w:szCs w:val="22"/>
        </w:rPr>
        <w:t xml:space="preserve">Analyse et comparaison structurée des offres</w:t>
      </w:r>
    </w:p>
    <w:p>
      <w:pPr>
        <w:pStyle w:val="ListParagraph"/>
        <w:numPr>
          <w:ilvl w:val="0"/>
          <w:numId w:val="2"/>
        </w:numPr>
        <w:spacing w:after="60" w:before="60"/>
      </w:pPr>
      <w:r>
        <w:rPr>
          <w:rFonts w:ascii="Arial" w:cs="Arial" w:eastAsia="Arial" w:hAnsi="Arial"/>
          <w:color w:val="222222"/>
          <w:sz w:val="22"/>
          <w:szCs w:val="22"/>
        </w:rPr>
        <w:t xml:space="preserve">Génération de l'output final normalisé</w:t>
      </w:r>
    </w:p>
    <w:p>
      <w:pPr>
        <w:pStyle w:val="ListParagraph"/>
        <w:numPr>
          <w:ilvl w:val="0"/>
          <w:numId w:val="2"/>
        </w:numPr>
        <w:spacing w:after="60" w:before="60"/>
      </w:pPr>
      <w:r>
        <w:rPr>
          <w:rFonts w:ascii="Arial" w:cs="Arial" w:eastAsia="Arial" w:hAnsi="Arial"/>
          <w:color w:val="222222"/>
          <w:sz w:val="22"/>
          <w:szCs w:val="22"/>
        </w:rPr>
        <w:t xml:space="preserve">Intégration ERP via connecteurs standardisés</w:t>
      </w:r>
    </w:p>
    <w:p>
      <w:pPr>
        <w:pStyle w:val="ListParagraph"/>
        <w:numPr>
          <w:ilvl w:val="0"/>
          <w:numId w:val="2"/>
        </w:numPr>
        <w:spacing w:after="60" w:before="60"/>
      </w:pPr>
      <w:r>
        <w:rPr>
          <w:rFonts w:ascii="Arial" w:cs="Arial" w:eastAsia="Arial" w:hAnsi="Arial"/>
          <w:color w:val="222222"/>
          <w:sz w:val="22"/>
          <w:szCs w:val="22"/>
        </w:rPr>
        <w:t xml:space="preserve">Module de communication collaborative post-décision (ticketing)</w:t>
      </w:r>
    </w:p>
    <w:p>
      <w:pPr>
        <w:pStyle w:val="ListParagraph"/>
        <w:numPr>
          <w:ilvl w:val="0"/>
          <w:numId w:val="2"/>
        </w:numPr>
        <w:spacing w:after="60" w:before="60"/>
      </w:pPr>
      <w:r>
        <w:rPr>
          <w:rFonts w:ascii="Arial" w:cs="Arial" w:eastAsia="Arial" w:hAnsi="Arial"/>
          <w:color w:val="222222"/>
          <w:sz w:val="22"/>
          <w:szCs w:val="22"/>
        </w:rPr>
        <w:t xml:space="preserve">Audit, traçabilité, archivage légal, monitoring, administration</w:t>
      </w:r>
    </w:p>
    <w:p>
      <w:pPr>
        <w:pStyle w:val="Heading3"/>
        <w:spacing w:after="100" w:before="220"/>
      </w:pPr>
      <w:r>
        <w:rPr>
          <w:rFonts w:ascii="Arial" w:cs="Arial" w:eastAsia="Arial" w:hAnsi="Arial"/>
          <w:b/>
          <w:bCs/>
          <w:color w:val="2E75B6"/>
          <w:sz w:val="24"/>
          <w:szCs w:val="24"/>
        </w:rPr>
        <w:t xml:space="preserve">5.2 Ce que Procura ne Couvre Pas</w:t>
      </w:r>
    </w:p>
    <w:p>
      <w:pPr>
        <w:pStyle w:val="ListParagraph"/>
        <w:numPr>
          <w:ilvl w:val="0"/>
          <w:numId w:val="2"/>
        </w:numPr>
        <w:spacing w:after="60" w:before="60"/>
      </w:pPr>
      <w:r>
        <w:rPr>
          <w:rFonts w:ascii="Arial" w:cs="Arial" w:eastAsia="Arial" w:hAnsi="Arial"/>
          <w:color w:val="222222"/>
          <w:sz w:val="22"/>
          <w:szCs w:val="22"/>
        </w:rPr>
        <w:t xml:space="preserve">Procure-to-Pay (P2P) : bons de commande, réception, facturation, paiement</w:t>
      </w:r>
    </w:p>
    <w:p>
      <w:pPr>
        <w:pStyle w:val="ListParagraph"/>
        <w:numPr>
          <w:ilvl w:val="0"/>
          <w:numId w:val="2"/>
        </w:numPr>
        <w:spacing w:after="60" w:before="60"/>
      </w:pPr>
      <w:r>
        <w:rPr>
          <w:rFonts w:ascii="Arial" w:cs="Arial" w:eastAsia="Arial" w:hAnsi="Arial"/>
          <w:color w:val="222222"/>
          <w:sz w:val="22"/>
          <w:szCs w:val="22"/>
        </w:rPr>
        <w:t xml:space="preserve">Gestion comptable et financière</w:t>
      </w:r>
    </w:p>
    <w:p>
      <w:pPr>
        <w:pStyle w:val="ListParagraph"/>
        <w:numPr>
          <w:ilvl w:val="0"/>
          <w:numId w:val="2"/>
        </w:numPr>
        <w:spacing w:after="60" w:before="60"/>
      </w:pPr>
      <w:r>
        <w:rPr>
          <w:rFonts w:ascii="Arial" w:cs="Arial" w:eastAsia="Arial" w:hAnsi="Arial"/>
          <w:color w:val="222222"/>
          <w:sz w:val="22"/>
          <w:szCs w:val="22"/>
        </w:rPr>
        <w:t xml:space="preserve">Gestion des stocks et de la chaîne logistique</w:t>
      </w:r>
    </w:p>
    <w:p>
      <w:pPr>
        <w:pStyle w:val="ListParagraph"/>
        <w:numPr>
          <w:ilvl w:val="0"/>
          <w:numId w:val="2"/>
        </w:numPr>
        <w:spacing w:after="60" w:before="60"/>
      </w:pPr>
      <w:r>
        <w:rPr>
          <w:rFonts w:ascii="Arial" w:cs="Arial" w:eastAsia="Arial" w:hAnsi="Arial"/>
          <w:color w:val="222222"/>
          <w:sz w:val="22"/>
          <w:szCs w:val="22"/>
        </w:rPr>
        <w:t xml:space="preserve">Référentiel maître fournisseurs (géré exclusivement par l'ERP)</w:t>
      </w:r>
    </w:p>
    <w:p>
      <w:pPr>
        <w:pStyle w:val="ListParagraph"/>
        <w:numPr>
          <w:ilvl w:val="0"/>
          <w:numId w:val="2"/>
        </w:numPr>
        <w:spacing w:after="60" w:before="60"/>
      </w:pPr>
      <w:r>
        <w:rPr>
          <w:rFonts w:ascii="Arial" w:cs="Arial" w:eastAsia="Arial" w:hAnsi="Arial"/>
          <w:color w:val="222222"/>
          <w:sz w:val="22"/>
          <w:szCs w:val="22"/>
        </w:rPr>
        <w:t xml:space="preserve">Négociation contractuelle post-attribution</w:t>
      </w:r>
    </w:p>
    <w:p>
      <w:pPr>
        <w:pStyle w:val="ListParagraph"/>
        <w:numPr>
          <w:ilvl w:val="0"/>
          <w:numId w:val="2"/>
        </w:numPr>
        <w:spacing w:after="60" w:before="60"/>
      </w:pPr>
      <w:r>
        <w:rPr>
          <w:rFonts w:ascii="Arial" w:cs="Arial" w:eastAsia="Arial" w:hAnsi="Arial"/>
          <w:color w:val="222222"/>
          <w:sz w:val="22"/>
          <w:szCs w:val="22"/>
        </w:rPr>
        <w:t xml:space="preserve">Reporting financier et BI avancée</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6. Parties Prenantes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500"/>
      </w:tblGrid>
      <w:tr>
        <w:trPr>
          <w:tblHeader/>
        </w:trPr>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Partie Prenante</w:t>
            </w:r>
          </w:p>
        </w:tc>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c>
          <w:tcPr>
            <w:tcW w:type="dxa" w:w="3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Responsabilité Principale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Direction Générale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Commanditaire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Validation des orientations stratégiques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Département Achat</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Utilisateur principal</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Gestion des RFQ, sélection fournisseurs, commission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Département Demandeur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Initiateur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Expression du besoin, suivi de la demande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Commission d'Ouverture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Décideur</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Ouverture des plis, saisie des décisions, PV</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Fournisseurs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Externe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Dépôt des offres via portail sécurisé</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Administrateurs Procura</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Technique</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Configuration, paramétrage, supervision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DSI / Équipe 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Infrastructure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Déploiement, intégration, maintenance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ERP</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Système cible</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Réception des données finales de Procura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SIEM / SOC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Sécurité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Surveillance des événements de sécurité</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Auditeurs</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Contrôle</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Vérification de la conformité et des preuves légales</w:t>
            </w:r>
          </w:p>
        </w:tc>
      </w:tr>
    </w:tbl>
    <w:p>
      <w:r>
        <w:br w:type="page"/>
      </w:r>
    </w:p>
    <w:p>
      <w:pPr>
        <w:pStyle w:val="Heading1"/>
        <w:pBdr>
          <w:bottom w:val="single" w:color="00B0F0" w:sz="6" w:space="1"/>
        </w:pBdr>
        <w:shd w:fill="1B3A6B" w:val="clear"/>
        <w:spacing w:after="200" w:before="400"/>
      </w:pPr>
      <w:r>
        <w:rPr>
          <w:rFonts w:ascii="Arial" w:cs="Arial" w:eastAsia="Arial" w:hAnsi="Arial"/>
          <w:b/>
          <w:bCs/>
          <w:color w:val="FFFFFF"/>
          <w:sz w:val="36"/>
          <w:szCs w:val="36"/>
        </w:rPr>
        <w:t xml:space="preserve">PARTIE II — ÉTUDE FONCTIONNELLE</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7. Description du Processus Métier</w:t>
      </w:r>
    </w:p>
    <w:p>
      <w:pPr>
        <w:pStyle w:val="Heading3"/>
        <w:spacing w:after="100" w:before="220"/>
      </w:pPr>
      <w:r>
        <w:rPr>
          <w:rFonts w:ascii="Arial" w:cs="Arial" w:eastAsia="Arial" w:hAnsi="Arial"/>
          <w:b/>
          <w:bCs/>
          <w:color w:val="2E75B6"/>
          <w:sz w:val="24"/>
          <w:szCs w:val="24"/>
        </w:rPr>
        <w:t xml:space="preserve">7.1 Workflow Global</w:t>
      </w:r>
    </w:p>
    <w:p>
      <w:pPr>
        <w:spacing w:after="80" w:before="80"/>
        <w:jc w:val="left"/>
      </w:pPr>
      <w:r>
        <w:rPr>
          <w:rFonts w:ascii="Arial" w:cs="Arial" w:eastAsia="Arial" w:hAnsi="Arial"/>
          <w:b w:val="false"/>
          <w:bCs w:val="false"/>
          <w:i w:val="false"/>
          <w:iCs w:val="false"/>
          <w:color w:val="222222"/>
          <w:sz w:val="22"/>
          <w:szCs w:val="22"/>
        </w:rPr>
        <w:t xml:space="preserve">Le processus Procura s'articule en neuf grandes étapes séquentielles, chacune étant sécurisée, horodatée et traçable :</w:t>
      </w:r>
    </w:p>
    <w:p>
      <w:pPr>
        <w:pStyle w:val="ListParagraph"/>
        <w:numPr>
          <w:ilvl w:val="0"/>
          <w:numId w:val="3"/>
        </w:numPr>
        <w:spacing w:after="60" w:before="60"/>
      </w:pPr>
      <w:r>
        <w:rPr>
          <w:rFonts w:ascii="Arial" w:cs="Arial" w:eastAsia="Arial" w:hAnsi="Arial"/>
          <w:color w:val="222222"/>
          <w:sz w:val="22"/>
          <w:szCs w:val="22"/>
        </w:rPr>
        <w:t xml:space="preserve">Expression du Besoin : un département interne formalise son besoin via le portail Procura.</w:t>
      </w:r>
    </w:p>
    <w:p>
      <w:pPr>
        <w:pStyle w:val="ListParagraph"/>
        <w:numPr>
          <w:ilvl w:val="0"/>
          <w:numId w:val="3"/>
        </w:numPr>
        <w:spacing w:after="60" w:before="60"/>
      </w:pPr>
      <w:r>
        <w:rPr>
          <w:rFonts w:ascii="Arial" w:cs="Arial" w:eastAsia="Arial" w:hAnsi="Arial"/>
          <w:color w:val="222222"/>
          <w:sz w:val="22"/>
          <w:szCs w:val="22"/>
        </w:rPr>
        <w:t xml:space="preserve">Validation Interne : le département achat ou finance valide ou refuse la demande avec justification.</w:t>
      </w:r>
    </w:p>
    <w:p>
      <w:pPr>
        <w:pStyle w:val="ListParagraph"/>
        <w:numPr>
          <w:ilvl w:val="0"/>
          <w:numId w:val="3"/>
        </w:numPr>
        <w:spacing w:after="60" w:before="60"/>
      </w:pPr>
      <w:r>
        <w:rPr>
          <w:rFonts w:ascii="Arial" w:cs="Arial" w:eastAsia="Arial" w:hAnsi="Arial"/>
          <w:color w:val="222222"/>
          <w:sz w:val="22"/>
          <w:szCs w:val="22"/>
        </w:rPr>
        <w:t xml:space="preserve">Création de la RFQ : l'acheteur crée la Request for Quotation, associe les documents et sélectionne les fournisseurs depuis l'ERP.</w:t>
      </w:r>
    </w:p>
    <w:p>
      <w:pPr>
        <w:pStyle w:val="ListParagraph"/>
        <w:numPr>
          <w:ilvl w:val="0"/>
          <w:numId w:val="3"/>
        </w:numPr>
        <w:spacing w:after="60" w:before="60"/>
      </w:pPr>
      <w:r>
        <w:rPr>
          <w:rFonts w:ascii="Arial" w:cs="Arial" w:eastAsia="Arial" w:hAnsi="Arial"/>
          <w:color w:val="222222"/>
          <w:sz w:val="22"/>
          <w:szCs w:val="22"/>
        </w:rPr>
        <w:t xml:space="preserve">Publication : la RFQ est scellée (hash + signature HSM) et publiée sur le portail fournisseur en DMZ.</w:t>
      </w:r>
    </w:p>
    <w:p>
      <w:pPr>
        <w:pStyle w:val="ListParagraph"/>
        <w:numPr>
          <w:ilvl w:val="0"/>
          <w:numId w:val="3"/>
        </w:numPr>
        <w:spacing w:after="60" w:before="60"/>
      </w:pPr>
      <w:r>
        <w:rPr>
          <w:rFonts w:ascii="Arial" w:cs="Arial" w:eastAsia="Arial" w:hAnsi="Arial"/>
          <w:color w:val="222222"/>
          <w:sz w:val="22"/>
          <w:szCs w:val="22"/>
        </w:rPr>
        <w:t xml:space="preserve">Réception des Offres : les fournisseurs déposent leurs offres via le portail sécurisé. Les offres sont chiffrées et inaccessibles jusqu'à l'ouverture.</w:t>
      </w:r>
    </w:p>
    <w:p>
      <w:pPr>
        <w:pStyle w:val="ListParagraph"/>
        <w:numPr>
          <w:ilvl w:val="0"/>
          <w:numId w:val="3"/>
        </w:numPr>
        <w:spacing w:after="60" w:before="60"/>
      </w:pPr>
      <w:r>
        <w:rPr>
          <w:rFonts w:ascii="Arial" w:cs="Arial" w:eastAsia="Arial" w:hAnsi="Arial"/>
          <w:color w:val="222222"/>
          <w:sz w:val="22"/>
          <w:szCs w:val="22"/>
        </w:rPr>
        <w:t xml:space="preserve">Ouverture des Plis : à la date officielle, la commission procède à l'ouverture simultanée et sécurisée des offres.</w:t>
      </w:r>
    </w:p>
    <w:p>
      <w:pPr>
        <w:pStyle w:val="ListParagraph"/>
        <w:numPr>
          <w:ilvl w:val="0"/>
          <w:numId w:val="3"/>
        </w:numPr>
        <w:spacing w:after="60" w:before="60"/>
      </w:pPr>
      <w:r>
        <w:rPr>
          <w:rFonts w:ascii="Arial" w:cs="Arial" w:eastAsia="Arial" w:hAnsi="Arial"/>
          <w:color w:val="222222"/>
          <w:sz w:val="22"/>
          <w:szCs w:val="22"/>
        </w:rPr>
        <w:t xml:space="preserve">Commission d'Ouverture : la commission saisit ses décisions, les motifs et génère le PV numérique.</w:t>
      </w:r>
    </w:p>
    <w:p>
      <w:pPr>
        <w:pStyle w:val="ListParagraph"/>
        <w:numPr>
          <w:ilvl w:val="0"/>
          <w:numId w:val="3"/>
        </w:numPr>
        <w:spacing w:after="60" w:before="60"/>
      </w:pPr>
      <w:r>
        <w:rPr>
          <w:rFonts w:ascii="Arial" w:cs="Arial" w:eastAsia="Arial" w:hAnsi="Arial"/>
          <w:color w:val="222222"/>
          <w:sz w:val="22"/>
          <w:szCs w:val="22"/>
        </w:rPr>
        <w:t xml:space="preserve">Génération de l'Output Final : consolidation des données validées en un fichier structuré normalisé.</w:t>
      </w:r>
    </w:p>
    <w:p>
      <w:pPr>
        <w:pStyle w:val="ListParagraph"/>
        <w:numPr>
          <w:ilvl w:val="0"/>
          <w:numId w:val="3"/>
        </w:numPr>
        <w:spacing w:after="60" w:before="60"/>
      </w:pPr>
      <w:r>
        <w:rPr>
          <w:rFonts w:ascii="Arial" w:cs="Arial" w:eastAsia="Arial" w:hAnsi="Arial"/>
          <w:color w:val="222222"/>
          <w:sz w:val="22"/>
          <w:szCs w:val="22"/>
        </w:rPr>
        <w:t xml:space="preserve">Transmission ERP : l'output est transmis à l'ERP via connecteur sécurisé. Procura ne traite plus le dossier après cette étape.</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8. Cas d'Utilisation (Use Cases)</w:t>
      </w:r>
    </w:p>
    <w:p>
      <w:pPr>
        <w:pStyle w:val="Heading3"/>
        <w:spacing w:after="100" w:before="220"/>
      </w:pPr>
      <w:r>
        <w:rPr>
          <w:rFonts w:ascii="Arial" w:cs="Arial" w:eastAsia="Arial" w:hAnsi="Arial"/>
          <w:b/>
          <w:bCs/>
          <w:color w:val="2E75B6"/>
          <w:sz w:val="24"/>
          <w:szCs w:val="24"/>
        </w:rPr>
        <w:t xml:space="preserve">8.1 Acheteur</w:t>
      </w:r>
    </w:p>
    <w:p>
      <w:pPr>
        <w:pStyle w:val="ListParagraph"/>
        <w:numPr>
          <w:ilvl w:val="0"/>
          <w:numId w:val="2"/>
        </w:numPr>
        <w:spacing w:after="60" w:before="60"/>
      </w:pPr>
      <w:r>
        <w:rPr>
          <w:rFonts w:ascii="Arial" w:cs="Arial" w:eastAsia="Arial" w:hAnsi="Arial"/>
          <w:color w:val="222222"/>
          <w:sz w:val="22"/>
          <w:szCs w:val="22"/>
        </w:rPr>
        <w:t xml:space="preserve">UC-ACH-01 : Consulter le tableau de bord des RFQ</w:t>
      </w:r>
    </w:p>
    <w:p>
      <w:pPr>
        <w:pStyle w:val="ListParagraph"/>
        <w:numPr>
          <w:ilvl w:val="0"/>
          <w:numId w:val="2"/>
        </w:numPr>
        <w:spacing w:after="60" w:before="60"/>
      </w:pPr>
      <w:r>
        <w:rPr>
          <w:rFonts w:ascii="Arial" w:cs="Arial" w:eastAsia="Arial" w:hAnsi="Arial"/>
          <w:color w:val="222222"/>
          <w:sz w:val="22"/>
          <w:szCs w:val="22"/>
        </w:rPr>
        <w:t xml:space="preserve">UC-ACH-02 : Créer une nouvelle RFQ à partir d'un besoin validé</w:t>
      </w:r>
    </w:p>
    <w:p>
      <w:pPr>
        <w:pStyle w:val="ListParagraph"/>
        <w:numPr>
          <w:ilvl w:val="0"/>
          <w:numId w:val="2"/>
        </w:numPr>
        <w:spacing w:after="60" w:before="60"/>
      </w:pPr>
      <w:r>
        <w:rPr>
          <w:rFonts w:ascii="Arial" w:cs="Arial" w:eastAsia="Arial" w:hAnsi="Arial"/>
          <w:color w:val="222222"/>
          <w:sz w:val="22"/>
          <w:szCs w:val="22"/>
        </w:rPr>
        <w:t xml:space="preserve">UC-ACH-03 : Sélectionner les fournisseurs depuis le référentiel ERP</w:t>
      </w:r>
    </w:p>
    <w:p>
      <w:pPr>
        <w:pStyle w:val="ListParagraph"/>
        <w:numPr>
          <w:ilvl w:val="0"/>
          <w:numId w:val="2"/>
        </w:numPr>
        <w:spacing w:after="60" w:before="60"/>
      </w:pPr>
      <w:r>
        <w:rPr>
          <w:rFonts w:ascii="Arial" w:cs="Arial" w:eastAsia="Arial" w:hAnsi="Arial"/>
          <w:color w:val="222222"/>
          <w:sz w:val="22"/>
          <w:szCs w:val="22"/>
        </w:rPr>
        <w:t xml:space="preserve">UC-ACH-04 : Paramétrer les dates, délais et critères de soumission</w:t>
      </w:r>
    </w:p>
    <w:p>
      <w:pPr>
        <w:pStyle w:val="ListParagraph"/>
        <w:numPr>
          <w:ilvl w:val="0"/>
          <w:numId w:val="2"/>
        </w:numPr>
        <w:spacing w:after="60" w:before="60"/>
      </w:pPr>
      <w:r>
        <w:rPr>
          <w:rFonts w:ascii="Arial" w:cs="Arial" w:eastAsia="Arial" w:hAnsi="Arial"/>
          <w:color w:val="222222"/>
          <w:sz w:val="22"/>
          <w:szCs w:val="22"/>
        </w:rPr>
        <w:t xml:space="preserve">UC-ACH-05 : Joindre les documents (cahier des charges, annexes)</w:t>
      </w:r>
    </w:p>
    <w:p>
      <w:pPr>
        <w:pStyle w:val="ListParagraph"/>
        <w:numPr>
          <w:ilvl w:val="0"/>
          <w:numId w:val="2"/>
        </w:numPr>
        <w:spacing w:after="60" w:before="60"/>
      </w:pPr>
      <w:r>
        <w:rPr>
          <w:rFonts w:ascii="Arial" w:cs="Arial" w:eastAsia="Arial" w:hAnsi="Arial"/>
          <w:color w:val="222222"/>
          <w:sz w:val="22"/>
          <w:szCs w:val="22"/>
        </w:rPr>
        <w:t xml:space="preserve">UC-ACH-06 : Valider et soumettre la RFQ pour publication</w:t>
      </w:r>
    </w:p>
    <w:p>
      <w:pPr>
        <w:pStyle w:val="ListParagraph"/>
        <w:numPr>
          <w:ilvl w:val="0"/>
          <w:numId w:val="2"/>
        </w:numPr>
        <w:spacing w:after="60" w:before="60"/>
      </w:pPr>
      <w:r>
        <w:rPr>
          <w:rFonts w:ascii="Arial" w:cs="Arial" w:eastAsia="Arial" w:hAnsi="Arial"/>
          <w:color w:val="222222"/>
          <w:sz w:val="22"/>
          <w:szCs w:val="22"/>
        </w:rPr>
        <w:t xml:space="preserve">UC-ACH-07 : Suivre l'état des invitations fournisseurs</w:t>
      </w:r>
    </w:p>
    <w:p>
      <w:pPr>
        <w:pStyle w:val="ListParagraph"/>
        <w:numPr>
          <w:ilvl w:val="0"/>
          <w:numId w:val="2"/>
        </w:numPr>
        <w:spacing w:after="60" w:before="60"/>
      </w:pPr>
      <w:r>
        <w:rPr>
          <w:rFonts w:ascii="Arial" w:cs="Arial" w:eastAsia="Arial" w:hAnsi="Arial"/>
          <w:color w:val="222222"/>
          <w:sz w:val="22"/>
          <w:szCs w:val="22"/>
        </w:rPr>
        <w:t xml:space="preserve">UC-ACH-08 : Consulter les offres après ouverture officielle</w:t>
      </w:r>
    </w:p>
    <w:p>
      <w:pPr>
        <w:pStyle w:val="ListParagraph"/>
        <w:numPr>
          <w:ilvl w:val="0"/>
          <w:numId w:val="2"/>
        </w:numPr>
        <w:spacing w:after="60" w:before="60"/>
      </w:pPr>
      <w:r>
        <w:rPr>
          <w:rFonts w:ascii="Arial" w:cs="Arial" w:eastAsia="Arial" w:hAnsi="Arial"/>
          <w:color w:val="222222"/>
          <w:sz w:val="22"/>
          <w:szCs w:val="22"/>
        </w:rPr>
        <w:t xml:space="preserve">UC-ACH-09 : Exporter les tableaux comparatifs</w:t>
      </w:r>
    </w:p>
    <w:p>
      <w:pPr>
        <w:pStyle w:val="ListParagraph"/>
        <w:numPr>
          <w:ilvl w:val="0"/>
          <w:numId w:val="2"/>
        </w:numPr>
        <w:spacing w:after="60" w:before="60"/>
      </w:pPr>
      <w:r>
        <w:rPr>
          <w:rFonts w:ascii="Arial" w:cs="Arial" w:eastAsia="Arial" w:hAnsi="Arial"/>
          <w:color w:val="222222"/>
          <w:sz w:val="22"/>
          <w:szCs w:val="22"/>
        </w:rPr>
        <w:t xml:space="preserve">UC-ACH-10 : Lancer la transmission ERP</w:t>
      </w:r>
    </w:p>
    <w:p>
      <w:pPr>
        <w:pStyle w:val="Heading3"/>
        <w:spacing w:after="100" w:before="220"/>
      </w:pPr>
      <w:r>
        <w:rPr>
          <w:rFonts w:ascii="Arial" w:cs="Arial" w:eastAsia="Arial" w:hAnsi="Arial"/>
          <w:b/>
          <w:bCs/>
          <w:color w:val="2E75B6"/>
          <w:sz w:val="24"/>
          <w:szCs w:val="24"/>
        </w:rPr>
        <w:t xml:space="preserve">8.2 Demandeur</w:t>
      </w:r>
    </w:p>
    <w:p>
      <w:pPr>
        <w:pStyle w:val="ListParagraph"/>
        <w:numPr>
          <w:ilvl w:val="0"/>
          <w:numId w:val="2"/>
        </w:numPr>
        <w:spacing w:after="60" w:before="60"/>
      </w:pPr>
      <w:r>
        <w:rPr>
          <w:rFonts w:ascii="Arial" w:cs="Arial" w:eastAsia="Arial" w:hAnsi="Arial"/>
          <w:color w:val="222222"/>
          <w:sz w:val="22"/>
          <w:szCs w:val="22"/>
        </w:rPr>
        <w:t xml:space="preserve">UC-DEM-01 : Créer une expression de besoin</w:t>
      </w:r>
    </w:p>
    <w:p>
      <w:pPr>
        <w:pStyle w:val="ListParagraph"/>
        <w:numPr>
          <w:ilvl w:val="0"/>
          <w:numId w:val="2"/>
        </w:numPr>
        <w:spacing w:after="60" w:before="60"/>
      </w:pPr>
      <w:r>
        <w:rPr>
          <w:rFonts w:ascii="Arial" w:cs="Arial" w:eastAsia="Arial" w:hAnsi="Arial"/>
          <w:color w:val="222222"/>
          <w:sz w:val="22"/>
          <w:szCs w:val="22"/>
        </w:rPr>
        <w:t xml:space="preserve">UC-DEM-02 : Renseigner les champs structurés du formulaire</w:t>
      </w:r>
    </w:p>
    <w:p>
      <w:pPr>
        <w:pStyle w:val="ListParagraph"/>
        <w:numPr>
          <w:ilvl w:val="0"/>
          <w:numId w:val="2"/>
        </w:numPr>
        <w:spacing w:after="60" w:before="60"/>
      </w:pPr>
      <w:r>
        <w:rPr>
          <w:rFonts w:ascii="Arial" w:cs="Arial" w:eastAsia="Arial" w:hAnsi="Arial"/>
          <w:color w:val="222222"/>
          <w:sz w:val="22"/>
          <w:szCs w:val="22"/>
        </w:rPr>
        <w:t xml:space="preserve">UC-DEM-03 : Joindre des documents techniques internes</w:t>
      </w:r>
    </w:p>
    <w:p>
      <w:pPr>
        <w:pStyle w:val="ListParagraph"/>
        <w:numPr>
          <w:ilvl w:val="0"/>
          <w:numId w:val="2"/>
        </w:numPr>
        <w:spacing w:after="60" w:before="60"/>
      </w:pPr>
      <w:r>
        <w:rPr>
          <w:rFonts w:ascii="Arial" w:cs="Arial" w:eastAsia="Arial" w:hAnsi="Arial"/>
          <w:color w:val="222222"/>
          <w:sz w:val="22"/>
          <w:szCs w:val="22"/>
        </w:rPr>
        <w:t xml:space="preserve">UC-DEM-04 : Soumettre le besoin pour validation</w:t>
      </w:r>
    </w:p>
    <w:p>
      <w:pPr>
        <w:pStyle w:val="ListParagraph"/>
        <w:numPr>
          <w:ilvl w:val="0"/>
          <w:numId w:val="2"/>
        </w:numPr>
        <w:spacing w:after="60" w:before="60"/>
      </w:pPr>
      <w:r>
        <w:rPr>
          <w:rFonts w:ascii="Arial" w:cs="Arial" w:eastAsia="Arial" w:hAnsi="Arial"/>
          <w:color w:val="222222"/>
          <w:sz w:val="22"/>
          <w:szCs w:val="22"/>
        </w:rPr>
        <w:t xml:space="preserve">UC-DEM-05 : Suivre l'état de sa demande</w:t>
      </w:r>
    </w:p>
    <w:p>
      <w:pPr>
        <w:pStyle w:val="ListParagraph"/>
        <w:numPr>
          <w:ilvl w:val="0"/>
          <w:numId w:val="2"/>
        </w:numPr>
        <w:spacing w:after="60" w:before="60"/>
      </w:pPr>
      <w:r>
        <w:rPr>
          <w:rFonts w:ascii="Arial" w:cs="Arial" w:eastAsia="Arial" w:hAnsi="Arial"/>
          <w:color w:val="222222"/>
          <w:sz w:val="22"/>
          <w:szCs w:val="22"/>
        </w:rPr>
        <w:t xml:space="preserve">UC-DEM-06 : Consulter la décision de validation ou de refus</w:t>
      </w:r>
    </w:p>
    <w:p>
      <w:pPr>
        <w:pStyle w:val="Heading3"/>
        <w:spacing w:after="100" w:before="220"/>
      </w:pPr>
      <w:r>
        <w:rPr>
          <w:rFonts w:ascii="Arial" w:cs="Arial" w:eastAsia="Arial" w:hAnsi="Arial"/>
          <w:b/>
          <w:bCs/>
          <w:color w:val="2E75B6"/>
          <w:sz w:val="24"/>
          <w:szCs w:val="24"/>
        </w:rPr>
        <w:t xml:space="preserve">8.3 Fournisseur</w:t>
      </w:r>
    </w:p>
    <w:p>
      <w:pPr>
        <w:pStyle w:val="ListParagraph"/>
        <w:numPr>
          <w:ilvl w:val="0"/>
          <w:numId w:val="2"/>
        </w:numPr>
        <w:spacing w:after="60" w:before="60"/>
      </w:pPr>
      <w:r>
        <w:rPr>
          <w:rFonts w:ascii="Arial" w:cs="Arial" w:eastAsia="Arial" w:hAnsi="Arial"/>
          <w:color w:val="222222"/>
          <w:sz w:val="22"/>
          <w:szCs w:val="22"/>
        </w:rPr>
        <w:t xml:space="preserve">UC-FOU-01 : Recevoir l'invitation RFQ par email sécurisé</w:t>
      </w:r>
    </w:p>
    <w:p>
      <w:pPr>
        <w:pStyle w:val="ListParagraph"/>
        <w:numPr>
          <w:ilvl w:val="0"/>
          <w:numId w:val="2"/>
        </w:numPr>
        <w:spacing w:after="60" w:before="60"/>
      </w:pPr>
      <w:r>
        <w:rPr>
          <w:rFonts w:ascii="Arial" w:cs="Arial" w:eastAsia="Arial" w:hAnsi="Arial"/>
          <w:color w:val="222222"/>
          <w:sz w:val="22"/>
          <w:szCs w:val="22"/>
        </w:rPr>
        <w:t xml:space="preserve">UC-FOU-02 : S'authentifier sur le portail fournisseur</w:t>
      </w:r>
    </w:p>
    <w:p>
      <w:pPr>
        <w:pStyle w:val="ListParagraph"/>
        <w:numPr>
          <w:ilvl w:val="0"/>
          <w:numId w:val="2"/>
        </w:numPr>
        <w:spacing w:after="60" w:before="60"/>
      </w:pPr>
      <w:r>
        <w:rPr>
          <w:rFonts w:ascii="Arial" w:cs="Arial" w:eastAsia="Arial" w:hAnsi="Arial"/>
          <w:color w:val="222222"/>
          <w:sz w:val="22"/>
          <w:szCs w:val="22"/>
        </w:rPr>
        <w:t xml:space="preserve">UC-FOU-03 : Consulter les documents de la RFQ</w:t>
      </w:r>
    </w:p>
    <w:p>
      <w:pPr>
        <w:pStyle w:val="ListParagraph"/>
        <w:numPr>
          <w:ilvl w:val="0"/>
          <w:numId w:val="2"/>
        </w:numPr>
        <w:spacing w:after="60" w:before="60"/>
      </w:pPr>
      <w:r>
        <w:rPr>
          <w:rFonts w:ascii="Arial" w:cs="Arial" w:eastAsia="Arial" w:hAnsi="Arial"/>
          <w:color w:val="222222"/>
          <w:sz w:val="22"/>
          <w:szCs w:val="22"/>
        </w:rPr>
        <w:t xml:space="preserve">UC-FOU-04 : Déposer une offre au format autorisé (PDF, CSV, JPEG, PNG)</w:t>
      </w:r>
    </w:p>
    <w:p>
      <w:pPr>
        <w:pStyle w:val="ListParagraph"/>
        <w:numPr>
          <w:ilvl w:val="0"/>
          <w:numId w:val="2"/>
        </w:numPr>
        <w:spacing w:after="60" w:before="60"/>
      </w:pPr>
      <w:r>
        <w:rPr>
          <w:rFonts w:ascii="Arial" w:cs="Arial" w:eastAsia="Arial" w:hAnsi="Arial"/>
          <w:color w:val="222222"/>
          <w:sz w:val="22"/>
          <w:szCs w:val="22"/>
        </w:rPr>
        <w:t xml:space="preserve">UC-FOU-05 : Recevoir l'accusé de réception horodaté</w:t>
      </w:r>
    </w:p>
    <w:p>
      <w:pPr>
        <w:pStyle w:val="ListParagraph"/>
        <w:numPr>
          <w:ilvl w:val="0"/>
          <w:numId w:val="2"/>
        </w:numPr>
        <w:spacing w:after="60" w:before="60"/>
      </w:pPr>
      <w:r>
        <w:rPr>
          <w:rFonts w:ascii="Arial" w:cs="Arial" w:eastAsia="Arial" w:hAnsi="Arial"/>
          <w:color w:val="222222"/>
          <w:sz w:val="22"/>
          <w:szCs w:val="22"/>
        </w:rPr>
        <w:t xml:space="preserve">UC-FOU-06 : Suivre l'état de sa soumission</w:t>
      </w:r>
    </w:p>
    <w:p>
      <w:pPr>
        <w:pStyle w:val="ListParagraph"/>
        <w:numPr>
          <w:ilvl w:val="0"/>
          <w:numId w:val="2"/>
        </w:numPr>
        <w:spacing w:after="60" w:before="60"/>
      </w:pPr>
      <w:r>
        <w:rPr>
          <w:rFonts w:ascii="Arial" w:cs="Arial" w:eastAsia="Arial" w:hAnsi="Arial"/>
          <w:color w:val="222222"/>
          <w:sz w:val="22"/>
          <w:szCs w:val="22"/>
        </w:rPr>
        <w:t xml:space="preserve">UC-FOU-07 : Créer et répondre à un ticket post-décision</w:t>
      </w:r>
    </w:p>
    <w:p>
      <w:pPr>
        <w:pStyle w:val="Heading3"/>
        <w:spacing w:after="100" w:before="220"/>
      </w:pPr>
      <w:r>
        <w:rPr>
          <w:rFonts w:ascii="Arial" w:cs="Arial" w:eastAsia="Arial" w:hAnsi="Arial"/>
          <w:b/>
          <w:bCs/>
          <w:color w:val="2E75B6"/>
          <w:sz w:val="24"/>
          <w:szCs w:val="24"/>
        </w:rPr>
        <w:t xml:space="preserve">8.4 Commission</w:t>
      </w:r>
    </w:p>
    <w:p>
      <w:pPr>
        <w:pStyle w:val="ListParagraph"/>
        <w:numPr>
          <w:ilvl w:val="0"/>
          <w:numId w:val="2"/>
        </w:numPr>
        <w:spacing w:after="60" w:before="60"/>
      </w:pPr>
      <w:r>
        <w:rPr>
          <w:rFonts w:ascii="Arial" w:cs="Arial" w:eastAsia="Arial" w:hAnsi="Arial"/>
          <w:color w:val="222222"/>
          <w:sz w:val="22"/>
          <w:szCs w:val="22"/>
        </w:rPr>
        <w:t xml:space="preserve">UC-COM-01 : S'authentifier pour l'ouverture des plis</w:t>
      </w:r>
    </w:p>
    <w:p>
      <w:pPr>
        <w:pStyle w:val="ListParagraph"/>
        <w:numPr>
          <w:ilvl w:val="0"/>
          <w:numId w:val="2"/>
        </w:numPr>
        <w:spacing w:after="60" w:before="60"/>
      </w:pPr>
      <w:r>
        <w:rPr>
          <w:rFonts w:ascii="Arial" w:cs="Arial" w:eastAsia="Arial" w:hAnsi="Arial"/>
          <w:color w:val="222222"/>
          <w:sz w:val="22"/>
          <w:szCs w:val="22"/>
        </w:rPr>
        <w:t xml:space="preserve">UC-COM-02 : Vérifier les conditions d'ouverture (date, état RFQ)</w:t>
      </w:r>
    </w:p>
    <w:p>
      <w:pPr>
        <w:pStyle w:val="ListParagraph"/>
        <w:numPr>
          <w:ilvl w:val="0"/>
          <w:numId w:val="2"/>
        </w:numPr>
        <w:spacing w:after="60" w:before="60"/>
      </w:pPr>
      <w:r>
        <w:rPr>
          <w:rFonts w:ascii="Arial" w:cs="Arial" w:eastAsia="Arial" w:hAnsi="Arial"/>
          <w:color w:val="222222"/>
          <w:sz w:val="22"/>
          <w:szCs w:val="22"/>
        </w:rPr>
        <w:t xml:space="preserve">UC-COM-03 : Initier l'ouverture officielle des plis</w:t>
      </w:r>
    </w:p>
    <w:p>
      <w:pPr>
        <w:pStyle w:val="ListParagraph"/>
        <w:numPr>
          <w:ilvl w:val="0"/>
          <w:numId w:val="2"/>
        </w:numPr>
        <w:spacing w:after="60" w:before="60"/>
      </w:pPr>
      <w:r>
        <w:rPr>
          <w:rFonts w:ascii="Arial" w:cs="Arial" w:eastAsia="Arial" w:hAnsi="Arial"/>
          <w:color w:val="222222"/>
          <w:sz w:val="22"/>
          <w:szCs w:val="22"/>
        </w:rPr>
        <w:t xml:space="preserve">UC-COM-04 : Consulter les offres déverrouillées en lecture seule</w:t>
      </w:r>
    </w:p>
    <w:p>
      <w:pPr>
        <w:pStyle w:val="ListParagraph"/>
        <w:numPr>
          <w:ilvl w:val="0"/>
          <w:numId w:val="2"/>
        </w:numPr>
        <w:spacing w:after="60" w:before="60"/>
      </w:pPr>
      <w:r>
        <w:rPr>
          <w:rFonts w:ascii="Arial" w:cs="Arial" w:eastAsia="Arial" w:hAnsi="Arial"/>
          <w:color w:val="222222"/>
          <w:sz w:val="22"/>
          <w:szCs w:val="22"/>
        </w:rPr>
        <w:t xml:space="preserve">UC-COM-05 : Saisir les observations et décisions de la commission</w:t>
      </w:r>
    </w:p>
    <w:p>
      <w:pPr>
        <w:pStyle w:val="ListParagraph"/>
        <w:numPr>
          <w:ilvl w:val="0"/>
          <w:numId w:val="2"/>
        </w:numPr>
        <w:spacing w:after="60" w:before="60"/>
      </w:pPr>
      <w:r>
        <w:rPr>
          <w:rFonts w:ascii="Arial" w:cs="Arial" w:eastAsia="Arial" w:hAnsi="Arial"/>
          <w:color w:val="222222"/>
          <w:sz w:val="22"/>
          <w:szCs w:val="22"/>
        </w:rPr>
        <w:t xml:space="preserve">UC-COM-06 : Valider le PV numérique</w:t>
      </w:r>
    </w:p>
    <w:p>
      <w:pPr>
        <w:pStyle w:val="ListParagraph"/>
        <w:numPr>
          <w:ilvl w:val="0"/>
          <w:numId w:val="2"/>
        </w:numPr>
        <w:spacing w:after="60" w:before="60"/>
      </w:pPr>
      <w:r>
        <w:rPr>
          <w:rFonts w:ascii="Arial" w:cs="Arial" w:eastAsia="Arial" w:hAnsi="Arial"/>
          <w:color w:val="222222"/>
          <w:sz w:val="22"/>
          <w:szCs w:val="22"/>
        </w:rPr>
        <w:t xml:space="preserve">UC-COM-07 : Archiver la séance et transmettre au module output</w:t>
      </w:r>
    </w:p>
    <w:p>
      <w:pPr>
        <w:pStyle w:val="Heading3"/>
        <w:spacing w:after="100" w:before="220"/>
      </w:pPr>
      <w:r>
        <w:rPr>
          <w:rFonts w:ascii="Arial" w:cs="Arial" w:eastAsia="Arial" w:hAnsi="Arial"/>
          <w:b/>
          <w:bCs/>
          <w:color w:val="2E75B6"/>
          <w:sz w:val="24"/>
          <w:szCs w:val="24"/>
        </w:rPr>
        <w:t xml:space="preserve">8.5 Administrateur</w:t>
      </w:r>
    </w:p>
    <w:p>
      <w:pPr>
        <w:pStyle w:val="ListParagraph"/>
        <w:numPr>
          <w:ilvl w:val="0"/>
          <w:numId w:val="2"/>
        </w:numPr>
        <w:spacing w:after="60" w:before="60"/>
      </w:pPr>
      <w:r>
        <w:rPr>
          <w:rFonts w:ascii="Arial" w:cs="Arial" w:eastAsia="Arial" w:hAnsi="Arial"/>
          <w:color w:val="222222"/>
          <w:sz w:val="22"/>
          <w:szCs w:val="22"/>
        </w:rPr>
        <w:t xml:space="preserve">UC-ADM-01 : Gérer les utilisateurs et les rôles</w:t>
      </w:r>
    </w:p>
    <w:p>
      <w:pPr>
        <w:pStyle w:val="ListParagraph"/>
        <w:numPr>
          <w:ilvl w:val="0"/>
          <w:numId w:val="2"/>
        </w:numPr>
        <w:spacing w:after="60" w:before="60"/>
      </w:pPr>
      <w:r>
        <w:rPr>
          <w:rFonts w:ascii="Arial" w:cs="Arial" w:eastAsia="Arial" w:hAnsi="Arial"/>
          <w:color w:val="222222"/>
          <w:sz w:val="22"/>
          <w:szCs w:val="22"/>
        </w:rPr>
        <w:t xml:space="preserve">UC-ADM-02 : Configurer les workflows de validation</w:t>
      </w:r>
    </w:p>
    <w:p>
      <w:pPr>
        <w:pStyle w:val="ListParagraph"/>
        <w:numPr>
          <w:ilvl w:val="0"/>
          <w:numId w:val="2"/>
        </w:numPr>
        <w:spacing w:after="60" w:before="60"/>
      </w:pPr>
      <w:r>
        <w:rPr>
          <w:rFonts w:ascii="Arial" w:cs="Arial" w:eastAsia="Arial" w:hAnsi="Arial"/>
          <w:color w:val="222222"/>
          <w:sz w:val="22"/>
          <w:szCs w:val="22"/>
        </w:rPr>
        <w:t xml:space="preserve">UC-ADM-03 : Paramétrer les délais et les règles de consultation</w:t>
      </w:r>
    </w:p>
    <w:p>
      <w:pPr>
        <w:pStyle w:val="ListParagraph"/>
        <w:numPr>
          <w:ilvl w:val="0"/>
          <w:numId w:val="2"/>
        </w:numPr>
        <w:spacing w:after="60" w:before="60"/>
      </w:pPr>
      <w:r>
        <w:rPr>
          <w:rFonts w:ascii="Arial" w:cs="Arial" w:eastAsia="Arial" w:hAnsi="Arial"/>
          <w:color w:val="222222"/>
          <w:sz w:val="22"/>
          <w:szCs w:val="22"/>
        </w:rPr>
        <w:t xml:space="preserve">UC-ADM-04 : Superviser les services et l'état de la plateforme</w:t>
      </w:r>
    </w:p>
    <w:p>
      <w:pPr>
        <w:pStyle w:val="ListParagraph"/>
        <w:numPr>
          <w:ilvl w:val="0"/>
          <w:numId w:val="2"/>
        </w:numPr>
        <w:spacing w:after="60" w:before="60"/>
      </w:pPr>
      <w:r>
        <w:rPr>
          <w:rFonts w:ascii="Arial" w:cs="Arial" w:eastAsia="Arial" w:hAnsi="Arial"/>
          <w:color w:val="222222"/>
          <w:sz w:val="22"/>
          <w:szCs w:val="22"/>
        </w:rPr>
        <w:t xml:space="preserve">UC-ADM-05 : Gérer les templates de notification</w:t>
      </w:r>
    </w:p>
    <w:p>
      <w:pPr>
        <w:pStyle w:val="ListParagraph"/>
        <w:numPr>
          <w:ilvl w:val="0"/>
          <w:numId w:val="2"/>
        </w:numPr>
        <w:spacing w:after="60" w:before="60"/>
      </w:pPr>
      <w:r>
        <w:rPr>
          <w:rFonts w:ascii="Arial" w:cs="Arial" w:eastAsia="Arial" w:hAnsi="Arial"/>
          <w:color w:val="222222"/>
          <w:sz w:val="22"/>
          <w:szCs w:val="22"/>
        </w:rPr>
        <w:t xml:space="preserve">UC-ADM-06 : Administrer les connecteurs ERP</w:t>
      </w:r>
    </w:p>
    <w:p>
      <w:pPr>
        <w:pStyle w:val="ListParagraph"/>
        <w:numPr>
          <w:ilvl w:val="0"/>
          <w:numId w:val="2"/>
        </w:numPr>
        <w:spacing w:after="60" w:before="60"/>
      </w:pPr>
      <w:r>
        <w:rPr>
          <w:rFonts w:ascii="Arial" w:cs="Arial" w:eastAsia="Arial" w:hAnsi="Arial"/>
          <w:color w:val="222222"/>
          <w:sz w:val="22"/>
          <w:szCs w:val="22"/>
        </w:rPr>
        <w:t xml:space="preserve">UC-ADM-07 : Exporter les journaux d'audit</w:t>
      </w:r>
    </w:p>
    <w:p>
      <w:pPr>
        <w:pStyle w:val="ListParagraph"/>
        <w:numPr>
          <w:ilvl w:val="0"/>
          <w:numId w:val="2"/>
        </w:numPr>
        <w:spacing w:after="60" w:before="60"/>
      </w:pPr>
      <w:r>
        <w:rPr>
          <w:rFonts w:ascii="Arial" w:cs="Arial" w:eastAsia="Arial" w:hAnsi="Arial"/>
          <w:color w:val="222222"/>
          <w:sz w:val="22"/>
          <w:szCs w:val="22"/>
        </w:rPr>
        <w:t xml:space="preserve">UC-ADM-08 : Gérer les certificats et les clés PKI</w:t>
      </w:r>
    </w:p>
    <w:p>
      <w:pPr>
        <w:pStyle w:val="Heading3"/>
        <w:spacing w:after="100" w:before="220"/>
      </w:pPr>
      <w:r>
        <w:rPr>
          <w:rFonts w:ascii="Arial" w:cs="Arial" w:eastAsia="Arial" w:hAnsi="Arial"/>
          <w:b/>
          <w:bCs/>
          <w:color w:val="2E75B6"/>
          <w:sz w:val="24"/>
          <w:szCs w:val="24"/>
        </w:rPr>
        <w:t xml:space="preserve">8.6 ERP</w:t>
      </w:r>
    </w:p>
    <w:p>
      <w:pPr>
        <w:pStyle w:val="ListParagraph"/>
        <w:numPr>
          <w:ilvl w:val="0"/>
          <w:numId w:val="2"/>
        </w:numPr>
        <w:spacing w:after="60" w:before="60"/>
      </w:pPr>
      <w:r>
        <w:rPr>
          <w:rFonts w:ascii="Arial" w:cs="Arial" w:eastAsia="Arial" w:hAnsi="Arial"/>
          <w:color w:val="222222"/>
          <w:sz w:val="22"/>
          <w:szCs w:val="22"/>
        </w:rPr>
        <w:t xml:space="preserve">UC-ERP-01 : Recevoir les données finales via connecteur sécurisé</w:t>
      </w:r>
    </w:p>
    <w:p>
      <w:pPr>
        <w:pStyle w:val="ListParagraph"/>
        <w:numPr>
          <w:ilvl w:val="0"/>
          <w:numId w:val="2"/>
        </w:numPr>
        <w:spacing w:after="60" w:before="60"/>
      </w:pPr>
      <w:r>
        <w:rPr>
          <w:rFonts w:ascii="Arial" w:cs="Arial" w:eastAsia="Arial" w:hAnsi="Arial"/>
          <w:color w:val="222222"/>
          <w:sz w:val="22"/>
          <w:szCs w:val="22"/>
        </w:rPr>
        <w:t xml:space="preserve">UC-ERP-02 : Retourner l'accusé de réception à Procura</w:t>
      </w:r>
    </w:p>
    <w:p>
      <w:pPr>
        <w:pStyle w:val="ListParagraph"/>
        <w:numPr>
          <w:ilvl w:val="0"/>
          <w:numId w:val="2"/>
        </w:numPr>
        <w:spacing w:after="60" w:before="60"/>
      </w:pPr>
      <w:r>
        <w:rPr>
          <w:rFonts w:ascii="Arial" w:cs="Arial" w:eastAsia="Arial" w:hAnsi="Arial"/>
          <w:color w:val="222222"/>
          <w:sz w:val="22"/>
          <w:szCs w:val="22"/>
        </w:rPr>
        <w:t xml:space="preserve">UC-ERP-03 : Exposer le référentiel fournisseurs en lecture seule à Procura</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9. Rôles &amp; Permissions (RBAC Complet)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500"/>
      </w:tblGrid>
      <w:tr>
        <w:trPr>
          <w:tblHeader/>
        </w:trPr>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c>
          <w:tcPr>
            <w:tcW w:type="dxa" w:w="3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Modules Accessibles</w:t>
            </w:r>
          </w:p>
        </w:tc>
        <w:tc>
          <w:tcPr>
            <w:tcW w:type="dxa" w:w="3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Droits Principaux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Demandeur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Expression du Besoin, Notifications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Créer, lire, soumettre les besoins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Acheteur</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 Référentiel Fournisseur, Analyse, Output, Notifications</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CRUD RFQ, sélection fournisseurs, export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Responsable Achat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Tous modules achat + Validation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Validation, supervision, décision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Membre Commission</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Ouverture Plis, Commission, Analyse</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Lecture offres, saisie décisions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Président Commission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Ouverture Plis, Commission (initiateur)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Initier ouverture, valider PV</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Finance / Validateur</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Expression du Besoin (validation), RFQ (validation)</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Valider ou refuser les demandes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Fournisseur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Portail Fournisseur (ses RFQ uniquement)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Consulter RFQ, déposer offre, tickets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Administrateur</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Administration, Supervision, Monitoring</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Configuration complète de la plateforme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Auditeur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Audit, Archivage, Consultation logs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Lecture seule sur tous les journaux</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Super Admin</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Tous les modules</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Accès complet et gestion des administrateurs</w:t>
            </w:r>
          </w:p>
        </w:tc>
      </w:tr>
    </w:tbl>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10. Exigences Fonctionnelles</w:t>
      </w:r>
    </w:p>
    <w:p>
      <w:pPr>
        <w:pStyle w:val="Heading3"/>
        <w:spacing w:after="100" w:before="220"/>
      </w:pPr>
      <w:r>
        <w:rPr>
          <w:rFonts w:ascii="Arial" w:cs="Arial" w:eastAsia="Arial" w:hAnsi="Arial"/>
          <w:b/>
          <w:bCs/>
          <w:color w:val="2E75B6"/>
          <w:sz w:val="24"/>
          <w:szCs w:val="24"/>
        </w:rPr>
        <w:t xml:space="preserve">10.1 Module Expression du Besoin</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1000"/>
      </w:tblGrid>
      <w:tr>
        <w:trPr>
          <w:tblHeader/>
        </w:trPr>
        <w:tc>
          <w:tcPr>
            <w:tcW w:type="dxa" w:w="12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53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Exigence</w:t>
            </w:r>
          </w:p>
        </w:tc>
        <w:tc>
          <w:tcPr>
            <w:tcW w:type="dxa" w:w="1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FR-001</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permettre la saisie structurée d'un besoin via formulaire guidé</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FR-002</w:t>
            </w:r>
          </w:p>
        </w:tc>
        <w:tc>
          <w:tcPr>
            <w:tcW w:type="dxa" w:w="5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générer un identifiant unique par besoin</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FR-003</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horodater chaque création et modification de besoin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FR-004</w:t>
            </w:r>
          </w:p>
        </w:tc>
        <w:tc>
          <w:tcPr>
            <w:tcW w:type="dxa" w:w="5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gérer le versioning des besoins avec historique complet</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FR-005</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déclencher automatiquement le workflow de validation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FR-006</w:t>
            </w:r>
          </w:p>
        </w:tc>
        <w:tc>
          <w:tcPr>
            <w:tcW w:type="dxa" w:w="5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permettre la justification de tout refus</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FR-007</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bloquer la création d'une RFQ sans besoin validé</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FR-008</w:t>
            </w:r>
          </w:p>
        </w:tc>
        <w:tc>
          <w:tcPr>
            <w:tcW w:type="dxa" w:w="5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masquer les informations sensibles du besoin lors de l'exposition aux fournisseurs</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bl>
    <w:p>
      <w:pPr>
        <w:pStyle w:val="Heading3"/>
        <w:spacing w:after="100" w:before="220"/>
      </w:pPr>
      <w:r>
        <w:rPr>
          <w:rFonts w:ascii="Arial" w:cs="Arial" w:eastAsia="Arial" w:hAnsi="Arial"/>
          <w:b/>
          <w:bCs/>
          <w:color w:val="2E75B6"/>
          <w:sz w:val="24"/>
          <w:szCs w:val="24"/>
        </w:rPr>
        <w:t xml:space="preserve">10.2 Module Référentiel Fournisseur</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1000"/>
      </w:tblGrid>
      <w:tr>
        <w:trPr>
          <w:tblHeader/>
        </w:trPr>
        <w:tc>
          <w:tcPr>
            <w:tcW w:type="dxa" w:w="12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53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Exigence</w:t>
            </w:r>
          </w:p>
        </w:tc>
        <w:tc>
          <w:tcPr>
            <w:tcW w:type="dxa" w:w="1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FR-009</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interroger le référentiel ERP en lecture seule exclusivement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FR-010</w:t>
            </w:r>
          </w:p>
        </w:tc>
        <w:tc>
          <w:tcPr>
            <w:tcW w:type="dxa" w:w="5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ne doit jamais créer, modifier ou supprimer un fournisseur dans Procura</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FR-011</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permettre le filtrage multi-critères des fournisseurs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FR-012</w:t>
            </w:r>
          </w:p>
        </w:tc>
        <w:tc>
          <w:tcPr>
            <w:tcW w:type="dxa" w:w="5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tracer toutes les sélections de fournisseurs (qui, quand, pour quelle RFQ)</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FR-013</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mettre en cache les données ERP avec une durée d'expiration configurable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MOYENNE</w:t>
            </w:r>
          </w:p>
        </w:tc>
      </w:tr>
    </w:tbl>
    <w:p>
      <w:pPr>
        <w:pStyle w:val="Heading3"/>
        <w:spacing w:after="100" w:before="220"/>
      </w:pPr>
      <w:r>
        <w:rPr>
          <w:rFonts w:ascii="Arial" w:cs="Arial" w:eastAsia="Arial" w:hAnsi="Arial"/>
          <w:b/>
          <w:bCs/>
          <w:color w:val="2E75B6"/>
          <w:sz w:val="24"/>
          <w:szCs w:val="24"/>
        </w:rPr>
        <w:t xml:space="preserve">10.3 Module RFQ &amp; Publication</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1000"/>
      </w:tblGrid>
      <w:tr>
        <w:trPr>
          <w:tblHeader/>
        </w:trPr>
        <w:tc>
          <w:tcPr>
            <w:tcW w:type="dxa" w:w="12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53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Exigence</w:t>
            </w:r>
          </w:p>
        </w:tc>
        <w:tc>
          <w:tcPr>
            <w:tcW w:type="dxa" w:w="1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FR-014</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générer un RFQ ID unique et calculer un hash global de la RFQ</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FR-015</w:t>
            </w:r>
          </w:p>
        </w:tc>
        <w:tc>
          <w:tcPr>
            <w:tcW w:type="dxa" w:w="5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signer la RFQ via HSM avant publication</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FR-016</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horodater légalement la publication de la RFQ (RFC 3161)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FR-017</w:t>
            </w:r>
          </w:p>
        </w:tc>
        <w:tc>
          <w:tcPr>
            <w:tcW w:type="dxa" w:w="5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rendre la RFQ non modifiable après publication</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FR-018</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accepter les formats PDF, CSV, JPEG, PNG pour les dépôts fournisseurs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FR-019</w:t>
            </w:r>
          </w:p>
        </w:tc>
        <w:tc>
          <w:tcPr>
            <w:tcW w:type="dxa" w:w="5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verrouiller automatiquement la RFQ à la date de clôture</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FR-020</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générer un PV de clôture automatique avec le nombre de soumissions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bl>
    <w:p>
      <w:pPr>
        <w:pStyle w:val="Heading3"/>
        <w:spacing w:after="100" w:before="220"/>
      </w:pPr>
      <w:r>
        <w:rPr>
          <w:rFonts w:ascii="Arial" w:cs="Arial" w:eastAsia="Arial" w:hAnsi="Arial"/>
          <w:b/>
          <w:bCs/>
          <w:color w:val="2E75B6"/>
          <w:sz w:val="24"/>
          <w:szCs w:val="24"/>
        </w:rPr>
        <w:t xml:space="preserve">10.4 Module Portail Fournisseur &amp; Dépôt</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1000"/>
      </w:tblGrid>
      <w:tr>
        <w:trPr>
          <w:tblHeader/>
        </w:trPr>
        <w:tc>
          <w:tcPr>
            <w:tcW w:type="dxa" w:w="12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53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Exigence</w:t>
            </w:r>
          </w:p>
        </w:tc>
        <w:tc>
          <w:tcPr>
            <w:tcW w:type="dxa" w:w="1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FR-021</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portail fournisseur doit être hébergé en DMZ, isolé du réseau interne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FR-022</w:t>
            </w:r>
          </w:p>
        </w:tc>
        <w:tc>
          <w:tcPr>
            <w:tcW w:type="dxa" w:w="5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portail doit authentifier chaque fournisseur avant tout accès</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FR-023</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fournisseur ne doit accéder qu'aux RFQ auxquelles il est invité</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FR-024</w:t>
            </w:r>
          </w:p>
        </w:tc>
        <w:tc>
          <w:tcPr>
            <w:tcW w:type="dxa" w:w="5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Les offres déposées doivent être chiffrées immédiatement (AES-256)</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FR-025</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Aucun acheteur ne doit pouvoir accéder aux offres avant l'ouverture officielle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FR-026</w:t>
            </w:r>
          </w:p>
        </w:tc>
        <w:tc>
          <w:tcPr>
            <w:tcW w:type="dxa" w:w="5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scanner chaque fichier (antivirus multi-moteurs, sandbox)</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FR-027</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sceller chaque offre avec SHA-256 + signature HSM + horodatage RFC 3161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FR-028</w:t>
            </w:r>
          </w:p>
        </w:tc>
        <w:tc>
          <w:tcPr>
            <w:tcW w:type="dxa" w:w="5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fournir un accusé de réception signé au fournisseur</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bl>
    <w:p>
      <w:pPr>
        <w:pStyle w:val="Heading3"/>
        <w:spacing w:after="100" w:before="220"/>
      </w:pPr>
      <w:r>
        <w:rPr>
          <w:rFonts w:ascii="Arial" w:cs="Arial" w:eastAsia="Arial" w:hAnsi="Arial"/>
          <w:b/>
          <w:bCs/>
          <w:color w:val="2E75B6"/>
          <w:sz w:val="24"/>
          <w:szCs w:val="24"/>
        </w:rPr>
        <w:t xml:space="preserve">10.5 Modules Commission, Analyse &amp; Output</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1000"/>
      </w:tblGrid>
      <w:tr>
        <w:trPr>
          <w:tblHeader/>
        </w:trPr>
        <w:tc>
          <w:tcPr>
            <w:tcW w:type="dxa" w:w="12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53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Exigence</w:t>
            </w:r>
          </w:p>
        </w:tc>
        <w:tc>
          <w:tcPr>
            <w:tcW w:type="dxa" w:w="1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FR-029</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L'ouverture des plis ne doit être possible qu'après la date limite de dépôt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FR-030</w:t>
            </w:r>
          </w:p>
        </w:tc>
        <w:tc>
          <w:tcPr>
            <w:tcW w:type="dxa" w:w="5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Seuls les membres autorisés de la commission peuvent initier l'ouverture</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FR-031</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Les offres doivent être consultées en lecture seule pendant la séance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FR-032</w:t>
            </w:r>
          </w:p>
        </w:tc>
        <w:tc>
          <w:tcPr>
            <w:tcW w:type="dxa" w:w="5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doit générer automatiquement un PV numérique de la séance</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FR-033</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système ne doit jamais automatiser la décision de sélection du fournisseur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FR-034</w:t>
            </w:r>
          </w:p>
        </w:tc>
        <w:tc>
          <w:tcPr>
            <w:tcW w:type="dxa" w:w="5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 module d'analyse doit produire des tableaux comparatifs exportables (PDF, Excel, CSV)</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FR-035</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L'output final doit être disponible en JSON, XML et CSV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FR-036</w:t>
            </w:r>
          </w:p>
        </w:tc>
        <w:tc>
          <w:tcPr>
            <w:tcW w:type="dxa" w:w="5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L'output final doit être transmis à l'ERP via connecteur certifié</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bl>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11. Exigences Non Fonctionnelles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500"/>
      </w:tblGrid>
      <w:tr>
        <w:trPr>
          <w:tblHeader/>
        </w:trPr>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Catégorie</w:t>
            </w:r>
          </w:p>
        </w:tc>
        <w:tc>
          <w:tcPr>
            <w:tcW w:type="dxa" w:w="4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Exigence</w:t>
            </w:r>
          </w:p>
        </w:tc>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Performance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Temps de réponse des pages principales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&lt; 2 secondes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Performance</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Temps de traitement d'un fichier uploadé</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&lt; 30 secondes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Disponibilité</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Taux de disponibilité cible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99,5 % minimum</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Disponibilité</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Fenêtre de maintenance autorisée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Hors heures ouvrées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Scalabilité</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Nombre d'utilisateurs simultanés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500 minimum</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Scalabilité</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Nombre de RFQ simultanées</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100 minimum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Sécurité</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Chiffrement des communications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TLS 1.3 obligatoire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Sécurité</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Chiffrement des données au repos</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AES-256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Sécurité</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Gestion des clés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HSM matériel</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Audit</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Conservation des journaux</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10 ans minimum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Audit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Non-répudiation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RFC 3161 + signature HSM</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Ergonomie</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Compatibilité navigateurs</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Chrome, Firefox, Edge (2 dernières versions)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Ergonomie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Responsive design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Desktop et tablette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Maintenabilité</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Architecture modulaire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Chaque module indépendant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Maintenabilité</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Mise à jour sans interruption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Rolling update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Conformité</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Lois applicables</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Loi 18-07, Loi 23-12, décret marchés publics</w:t>
            </w:r>
          </w:p>
        </w:tc>
      </w:tr>
    </w:tbl>
    <w:p>
      <w:r>
        <w:br w:type="page"/>
      </w:r>
    </w:p>
    <w:p>
      <w:pPr>
        <w:pStyle w:val="Heading1"/>
        <w:pBdr>
          <w:bottom w:val="single" w:color="00B0F0" w:sz="6" w:space="1"/>
        </w:pBdr>
        <w:shd w:fill="1B3A6B" w:val="clear"/>
        <w:spacing w:after="200" w:before="400"/>
      </w:pPr>
      <w:r>
        <w:rPr>
          <w:rFonts w:ascii="Arial" w:cs="Arial" w:eastAsia="Arial" w:hAnsi="Arial"/>
          <w:b/>
          <w:bCs/>
          <w:color w:val="FFFFFF"/>
          <w:sz w:val="36"/>
          <w:szCs w:val="36"/>
        </w:rPr>
        <w:t xml:space="preserve">PARTIE III — ARCHITECTURE FONCTIONNELLE</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12. Vue d'Ensemble de la Plateforme</w:t>
      </w:r>
    </w:p>
    <w:p>
      <w:pPr>
        <w:pStyle w:val="Heading3"/>
        <w:spacing w:after="100" w:before="220"/>
      </w:pPr>
      <w:r>
        <w:rPr>
          <w:rFonts w:ascii="Arial" w:cs="Arial" w:eastAsia="Arial" w:hAnsi="Arial"/>
          <w:b/>
          <w:bCs/>
          <w:color w:val="2E75B6"/>
          <w:sz w:val="24"/>
          <w:szCs w:val="24"/>
        </w:rPr>
        <w:t xml:space="preserve">12.1 Architecture Métier</w:t>
      </w:r>
    </w:p>
    <w:p>
      <w:pPr>
        <w:spacing w:after="80" w:before="80"/>
        <w:jc w:val="both"/>
      </w:pPr>
      <w:r>
        <w:rPr>
          <w:rFonts w:ascii="Arial" w:cs="Arial" w:eastAsia="Arial" w:hAnsi="Arial"/>
          <w:b w:val="false"/>
          <w:bCs w:val="false"/>
          <w:i w:val="false"/>
          <w:iCs w:val="false"/>
          <w:color w:val="222222"/>
          <w:sz w:val="22"/>
          <w:szCs w:val="22"/>
        </w:rPr>
        <w:t xml:space="preserve">Procura est organisé autour de vingt-deux modules fonctionnels et techniques qui couvrent l'intégralité du cycle Source-to-Contract. Ces modules sont répartis en trois grandes zones : le réseau interne (LAN), la zone démilitarisée (DMZ) et les systèmes d'intégration externes.</w:t>
      </w:r>
    </w:p>
    <w:p>
      <w:pPr>
        <w:pStyle w:val="Heading3"/>
        <w:spacing w:after="100" w:before="220"/>
      </w:pPr>
      <w:r>
        <w:rPr>
          <w:rFonts w:ascii="Arial" w:cs="Arial" w:eastAsia="Arial" w:hAnsi="Arial"/>
          <w:b/>
          <w:bCs/>
          <w:color w:val="2E75B6"/>
          <w:sz w:val="24"/>
          <w:szCs w:val="24"/>
        </w:rPr>
        <w:t xml:space="preserve">12.2 Zones Réseau</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500"/>
      </w:tblGrid>
      <w:tr>
        <w:trPr>
          <w:tblHeader/>
        </w:trPr>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Zone</w:t>
            </w:r>
          </w:p>
        </w:tc>
        <w:tc>
          <w:tcPr>
            <w:tcW w:type="dxa" w:w="4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Composants</w:t>
            </w:r>
          </w:p>
        </w:tc>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Niveau de Confiance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Internet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Fournisseurs (navigateur)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Non fiable — filtré par WAF</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DMZ</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Portail fournisseur, Dépôt sécurisé, Reverse Proxy / WAF</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Contrôlée — isolée du LAN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 — Procura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Application Server, Base de données, Modules métier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Interne — haute confiance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 — ERP</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SAP / Oracle / Sage / Dynamics / ERP propriétaire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Interne — connexion via API sécurisée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 — Infra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AD, LDAP, PKI, HSM, SIEM, SMTP, NTP, DNS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Interne — haute confiance</w:t>
            </w:r>
          </w:p>
        </w:tc>
      </w:tr>
    </w:tbl>
    <w:p>
      <w:pPr>
        <w:pStyle w:val="Heading3"/>
        <w:spacing w:after="100" w:before="220"/>
      </w:pPr>
      <w:r>
        <w:rPr>
          <w:rFonts w:ascii="Arial" w:cs="Arial" w:eastAsia="Arial" w:hAnsi="Arial"/>
          <w:b/>
          <w:bCs/>
          <w:color w:val="2E75B6"/>
          <w:sz w:val="24"/>
          <w:szCs w:val="24"/>
        </w:rPr>
        <w:t xml:space="preserve">12.3 Diagramme d'Architecture Globale</w:t>
      </w:r>
    </w:p>
    <w:p>
      <w:pPr>
        <w:spacing w:after="80" w:before="80"/>
        <w:jc w:val="left"/>
      </w:pPr>
      <w:r>
        <w:rPr>
          <w:rFonts w:ascii="Arial" w:cs="Arial" w:eastAsia="Arial" w:hAnsi="Arial"/>
          <w:b w:val="false"/>
          <w:bCs w:val="false"/>
          <w:i w:val="false"/>
          <w:iCs w:val="false"/>
          <w:color w:val="222222"/>
          <w:sz w:val="22"/>
          <w:szCs w:val="22"/>
        </w:rPr>
        <w:t xml:space="preserve">Le flux global de Procura s'articule comme suit :</w:t>
      </w:r>
    </w:p>
    <w:p>
      <w:pPr>
        <w:pStyle w:val="ListParagraph"/>
        <w:numPr>
          <w:ilvl w:val="0"/>
          <w:numId w:val="2"/>
        </w:numPr>
        <w:spacing w:after="60" w:before="60"/>
      </w:pPr>
      <w:r>
        <w:rPr>
          <w:rFonts w:ascii="Arial" w:cs="Arial" w:eastAsia="Arial" w:hAnsi="Arial"/>
          <w:color w:val="222222"/>
          <w:sz w:val="22"/>
          <w:szCs w:val="22"/>
        </w:rPr>
        <w:t xml:space="preserve">Les fournisseurs accèdent au portail via Internet, filtré par le Reverse Proxy / WAF en DMZ.</w:t>
      </w:r>
    </w:p>
    <w:p>
      <w:pPr>
        <w:pStyle w:val="ListParagraph"/>
        <w:numPr>
          <w:ilvl w:val="0"/>
          <w:numId w:val="2"/>
        </w:numPr>
        <w:spacing w:after="60" w:before="60"/>
      </w:pPr>
      <w:r>
        <w:rPr>
          <w:rFonts w:ascii="Arial" w:cs="Arial" w:eastAsia="Arial" w:hAnsi="Arial"/>
          <w:color w:val="222222"/>
          <w:sz w:val="22"/>
          <w:szCs w:val="22"/>
        </w:rPr>
        <w:t xml:space="preserve">Les offres déposées sont traitées, analysées et scellées en DMZ avant d'être transmises au LAN via un pull sécurisé.</w:t>
      </w:r>
    </w:p>
    <w:p>
      <w:pPr>
        <w:pStyle w:val="ListParagraph"/>
        <w:numPr>
          <w:ilvl w:val="0"/>
          <w:numId w:val="2"/>
        </w:numPr>
        <w:spacing w:after="60" w:before="60"/>
      </w:pPr>
      <w:r>
        <w:rPr>
          <w:rFonts w:ascii="Arial" w:cs="Arial" w:eastAsia="Arial" w:hAnsi="Arial"/>
          <w:color w:val="222222"/>
          <w:sz w:val="22"/>
          <w:szCs w:val="22"/>
        </w:rPr>
        <w:t xml:space="preserve">Les utilisateurs internes (acheteurs, commission, demandeurs) accèdent à Procura depuis le LAN uniquement.</w:t>
      </w:r>
    </w:p>
    <w:p>
      <w:pPr>
        <w:pStyle w:val="ListParagraph"/>
        <w:numPr>
          <w:ilvl w:val="0"/>
          <w:numId w:val="2"/>
        </w:numPr>
        <w:spacing w:after="60" w:before="60"/>
      </w:pPr>
      <w:r>
        <w:rPr>
          <w:rFonts w:ascii="Arial" w:cs="Arial" w:eastAsia="Arial" w:hAnsi="Arial"/>
          <w:color w:val="222222"/>
          <w:sz w:val="22"/>
          <w:szCs w:val="22"/>
        </w:rPr>
        <w:t xml:space="preserve">Procura communique avec l'ERP, l'Active Directory, le SIEM et les services PKI via des connecteurs sécurisés internes.</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13. Modules Fonctionnels</w:t>
      </w:r>
    </w:p>
    <w:p>
      <w:pPr>
        <w:spacing w:after="80" w:before="80"/>
        <w:jc w:val="left"/>
      </w:pPr>
      <w:r>
        <w:rPr>
          <w:rFonts w:ascii="Arial" w:cs="Arial" w:eastAsia="Arial" w:hAnsi="Arial"/>
          <w:b w:val="false"/>
          <w:bCs w:val="false"/>
          <w:i w:val="false"/>
          <w:iCs w:val="false"/>
          <w:color w:val="222222"/>
          <w:sz w:val="22"/>
          <w:szCs w:val="22"/>
        </w:rPr>
        <w:t xml:space="preserve">Procura est composé de vingt-deux modules. Chacun est décrit en détail dans la Partie IV (Architecture Technique). Voici la cartographie fonctionnelle :</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000"/>
        <w:gridCol w:w="1700"/>
      </w:tblGrid>
      <w:tr>
        <w:trPr>
          <w:tblHeader/>
        </w:trPr>
        <w:tc>
          <w:tcPr>
            <w:tcW w:type="dxa" w:w="6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w:t>
            </w:r>
          </w:p>
        </w:tc>
        <w:tc>
          <w:tcPr>
            <w:tcW w:type="dxa" w:w="32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Catégorie</w:t>
            </w:r>
          </w:p>
        </w:tc>
        <w:tc>
          <w:tcPr>
            <w:tcW w:type="dxa" w:w="17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Zone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Architecture Générale &amp; Déploiement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Infrastructure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 + DMZ</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Gestion des Utilisateurs &amp; Accès</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Sécurité</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Expression du Besoin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Métier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4</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Référentiel Fournisseur</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Métier</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Lancement RFQ &amp; Publication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Métier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 + DMZ</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6</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Portail Fournisseur</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Externe</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DMZ</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Dépôt Sécurisé des Offres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Sécurité</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DMZ</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8</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Horodatage &amp; Preuve Légale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Sécurité / Légal</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Gestion des Deadlines &amp; Verrouillage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Automatisation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 + DMZ</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10</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Audit &amp; Traçabilité</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Gouvernance</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Ouverture des Plis Numérique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Métier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12</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Commission d'Ouverture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Métier</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Analyse &amp; Structuration des Offres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Métier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14</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Génération Output Final</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Métier</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Intégration ERP (Sortie)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Intégration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16</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Communication Collaborative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Collaboration</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 + DMZ</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Notifications &amp; Messagerie Système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Transversal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18</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Administration &amp; Paramétrage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Administration</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Sécurité Globale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Sécurité</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 + DMZ</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20</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Archivage &amp; Conservation Légale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Légal</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Monitoring &amp; Exploitation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MCO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22</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Documentation &amp; Support</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Support</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r>
    </w:tbl>
    <w:p>
      <w:r>
        <w:br w:type="page"/>
      </w:r>
    </w:p>
    <w:p>
      <w:pPr>
        <w:pStyle w:val="Heading1"/>
        <w:pBdr>
          <w:bottom w:val="single" w:color="00B0F0" w:sz="6" w:space="1"/>
        </w:pBdr>
        <w:shd w:fill="1B3A6B" w:val="clear"/>
        <w:spacing w:after="200" w:before="400"/>
      </w:pPr>
      <w:r>
        <w:rPr>
          <w:rFonts w:ascii="Arial" w:cs="Arial" w:eastAsia="Arial" w:hAnsi="Arial"/>
          <w:b/>
          <w:bCs/>
          <w:color w:val="FFFFFF"/>
          <w:sz w:val="36"/>
          <w:szCs w:val="36"/>
        </w:rPr>
        <w:t xml:space="preserve">PARTIE IV — ARCHITECTURE TECHNIQUE</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14. Architecture Générale</w:t>
      </w:r>
    </w:p>
    <w:p>
      <w:pPr>
        <w:pStyle w:val="Heading3"/>
        <w:spacing w:after="100" w:before="220"/>
      </w:pPr>
      <w:r>
        <w:rPr>
          <w:rFonts w:ascii="Arial" w:cs="Arial" w:eastAsia="Arial" w:hAnsi="Arial"/>
          <w:b/>
          <w:bCs/>
          <w:color w:val="2E75B6"/>
          <w:sz w:val="24"/>
          <w:szCs w:val="24"/>
        </w:rPr>
        <w:t xml:space="preserve">14.1 Principe Fondamental</w:t>
      </w:r>
    </w:p>
    <w:p>
      <w:pPr>
        <w:spacing w:after="80" w:before="80"/>
        <w:jc w:val="both"/>
      </w:pPr>
      <w:r>
        <w:rPr>
          <w:rFonts w:ascii="Arial" w:cs="Arial" w:eastAsia="Arial" w:hAnsi="Arial"/>
          <w:b w:val="false"/>
          <w:bCs w:val="false"/>
          <w:i w:val="false"/>
          <w:iCs w:val="false"/>
          <w:color w:val="222222"/>
          <w:sz w:val="22"/>
          <w:szCs w:val="22"/>
        </w:rPr>
        <w:t xml:space="preserve">Procura est déployé exclusivement dans l'infrastructure du client. Aucune donnée métier n'est hébergée sur un cloud public. Chaque composant possède une responsabilité clairement définie. Toutes les communications sont sécurisées et authentifiées. L'architecture respecte le principe Defense in Depth.</w:t>
      </w:r>
    </w:p>
    <w:p>
      <w:pPr>
        <w:pStyle w:val="Heading3"/>
        <w:spacing w:after="100" w:before="220"/>
      </w:pPr>
      <w:r>
        <w:rPr>
          <w:rFonts w:ascii="Arial" w:cs="Arial" w:eastAsia="Arial" w:hAnsi="Arial"/>
          <w:b/>
          <w:bCs/>
          <w:color w:val="2E75B6"/>
          <w:sz w:val="24"/>
          <w:szCs w:val="24"/>
        </w:rPr>
        <w:t xml:space="preserve">14.2 Séparation des Zones Réseau</w:t>
      </w:r>
    </w:p>
    <w:p>
      <w:pPr>
        <w:spacing w:after="80" w:before="80"/>
        <w:jc w:val="left"/>
      </w:pPr>
      <w:r>
        <w:rPr>
          <w:rFonts w:ascii="Arial" w:cs="Arial" w:eastAsia="Arial" w:hAnsi="Arial"/>
          <w:b w:val="false"/>
          <w:bCs w:val="false"/>
          <w:i w:val="false"/>
          <w:iCs w:val="false"/>
          <w:color w:val="222222"/>
          <w:sz w:val="22"/>
          <w:szCs w:val="22"/>
        </w:rPr>
        <w:t xml:space="preserve">L'architecture est découpée en cinq zones réseau distinctes :</w:t>
      </w:r>
    </w:p>
    <w:p>
      <w:pPr>
        <w:pStyle w:val="ListParagraph"/>
        <w:numPr>
          <w:ilvl w:val="0"/>
          <w:numId w:val="2"/>
        </w:numPr>
        <w:spacing w:after="60" w:before="60"/>
      </w:pPr>
      <w:r>
        <w:rPr>
          <w:rFonts w:ascii="Arial" w:cs="Arial" w:eastAsia="Arial" w:hAnsi="Arial"/>
          <w:color w:val="222222"/>
          <w:sz w:val="22"/>
          <w:szCs w:val="22"/>
        </w:rPr>
        <w:t xml:space="preserve">Zone Internet : accès fournisseurs uniquement, filtré par le Reverse Proxy / WAF</w:t>
      </w:r>
    </w:p>
    <w:p>
      <w:pPr>
        <w:pStyle w:val="ListParagraph"/>
        <w:numPr>
          <w:ilvl w:val="0"/>
          <w:numId w:val="2"/>
        </w:numPr>
        <w:spacing w:after="60" w:before="60"/>
      </w:pPr>
      <w:r>
        <w:rPr>
          <w:rFonts w:ascii="Arial" w:cs="Arial" w:eastAsia="Arial" w:hAnsi="Arial"/>
          <w:color w:val="222222"/>
          <w:sz w:val="22"/>
          <w:szCs w:val="22"/>
        </w:rPr>
        <w:t xml:space="preserve">Zone DMZ : portail fournisseur, dépôt sécurisé, sandbox d'analyse</w:t>
      </w:r>
    </w:p>
    <w:p>
      <w:pPr>
        <w:pStyle w:val="ListParagraph"/>
        <w:numPr>
          <w:ilvl w:val="0"/>
          <w:numId w:val="2"/>
        </w:numPr>
        <w:spacing w:after="60" w:before="60"/>
      </w:pPr>
      <w:r>
        <w:rPr>
          <w:rFonts w:ascii="Arial" w:cs="Arial" w:eastAsia="Arial" w:hAnsi="Arial"/>
          <w:color w:val="222222"/>
          <w:sz w:val="22"/>
          <w:szCs w:val="22"/>
        </w:rPr>
        <w:t xml:space="preserve">Zone LAN Procura : serveur applicatif, base de données, modules métier</w:t>
      </w:r>
    </w:p>
    <w:p>
      <w:pPr>
        <w:pStyle w:val="ListParagraph"/>
        <w:numPr>
          <w:ilvl w:val="0"/>
          <w:numId w:val="2"/>
        </w:numPr>
        <w:spacing w:after="60" w:before="60"/>
      </w:pPr>
      <w:r>
        <w:rPr>
          <w:rFonts w:ascii="Arial" w:cs="Arial" w:eastAsia="Arial" w:hAnsi="Arial"/>
          <w:color w:val="222222"/>
          <w:sz w:val="22"/>
          <w:szCs w:val="22"/>
        </w:rPr>
        <w:t xml:space="preserve">Zone LAN ERP : connexion via API sécurisée, lecture seule pour le référentiel fournisseur</w:t>
      </w:r>
    </w:p>
    <w:p>
      <w:pPr>
        <w:pStyle w:val="ListParagraph"/>
        <w:numPr>
          <w:ilvl w:val="0"/>
          <w:numId w:val="2"/>
        </w:numPr>
        <w:spacing w:after="60" w:before="60"/>
      </w:pPr>
      <w:r>
        <w:rPr>
          <w:rFonts w:ascii="Arial" w:cs="Arial" w:eastAsia="Arial" w:hAnsi="Arial"/>
          <w:color w:val="222222"/>
          <w:sz w:val="22"/>
          <w:szCs w:val="22"/>
        </w:rPr>
        <w:t xml:space="preserve">Zone LAN Administration : Active Directory, PKI, HSM, SIEM, SMTP</w:t>
      </w:r>
    </w:p>
    <w:p>
      <w:pPr>
        <w:pStyle w:val="Heading3"/>
        <w:spacing w:after="100" w:before="220"/>
      </w:pPr>
      <w:r>
        <w:rPr>
          <w:rFonts w:ascii="Arial" w:cs="Arial" w:eastAsia="Arial" w:hAnsi="Arial"/>
          <w:b/>
          <w:bCs/>
          <w:color w:val="2E75B6"/>
          <w:sz w:val="24"/>
          <w:szCs w:val="24"/>
        </w:rPr>
        <w:t xml:space="preserve">14.3 Flux de Communication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800"/>
        <w:gridCol w:w="1200"/>
      </w:tblGrid>
      <w:tr>
        <w:trPr>
          <w:tblHeader/>
        </w:trPr>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Flux</w:t>
            </w:r>
          </w:p>
        </w:tc>
        <w:tc>
          <w:tcPr>
            <w:tcW w:type="dxa" w:w="1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1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Destination</w:t>
            </w:r>
          </w:p>
        </w:tc>
        <w:tc>
          <w:tcPr>
            <w:tcW w:type="dxa" w:w="18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Protocole</w:t>
            </w:r>
          </w:p>
        </w:tc>
        <w:tc>
          <w:tcPr>
            <w:tcW w:type="dxa" w:w="12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Direction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Accès portail fournisseur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Internet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DMZ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HTTPS TLS 1.3 + mTLS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Entrant</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Dépôt des offres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DMZ</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Storage DMZ</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API REST chiffrée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Interne DMZ</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Pull des offres scellées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DMZ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TLS 1.3 (Pull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Pull LAN ← DMZ</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Référentiel fournisseurs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ERP</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API sécurisée (TLS)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Lecture seule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Transmission output ERP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ERP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API / SFTP / 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Sortant</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Authentification</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AD / LDAP</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LDAPS / SAML 2.0</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Interne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Signature / Horodatage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HSM / PKI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mTLS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Interne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Journalisation sécurité</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 + DMZ</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SIEM</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Syslog / API</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Interne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Notifications 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SMTP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SMTP TLS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Sortant</w:t>
            </w:r>
          </w:p>
        </w:tc>
      </w:tr>
    </w:tbl>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1 — Architecture Générale &amp; Déploiement</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Définir l'architecture technique globale de Procura afin de garantir un déploiement 100 % On-Premise, une séparation stricte entre les zones internes et externes, une haute disponibilité et une forte résilience, une intégration sécurisée avec les systèmes existants et une architecture modulaire, évolutive et maintenable.</w:t>
      </w:r>
    </w:p>
    <w:p>
      <w:pPr>
        <w:pStyle w:val="Heading3"/>
        <w:spacing w:after="100" w:before="220"/>
      </w:pPr>
      <w:r>
        <w:rPr>
          <w:rFonts w:ascii="Arial" w:cs="Arial" w:eastAsia="Arial" w:hAnsi="Arial"/>
          <w:b/>
          <w:bCs/>
          <w:color w:val="2E75B6"/>
          <w:sz w:val="24"/>
          <w:szCs w:val="24"/>
        </w:rPr>
        <w:t xml:space="preserve">Composants Techniques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800"/>
      </w:tblGrid>
      <w:tr>
        <w:trPr>
          <w:tblHeader/>
        </w:trPr>
        <w:tc>
          <w:tcPr>
            <w:tcW w:type="dxa" w:w="22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Composant</w:t>
            </w:r>
          </w:p>
        </w:tc>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Technologie</w:t>
            </w:r>
          </w:p>
        </w:tc>
        <w:tc>
          <w:tcPr>
            <w:tcW w:type="dxa" w:w="38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Serveurs Applicatifs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Linux / Docker / Kubernetes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Hébergement des services Procura</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Base de données</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PostgreSQL</w:t>
            </w:r>
          </w:p>
        </w:tc>
        <w:tc>
          <w:tcPr>
            <w:tcW w:type="dxa" w:w="3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Stockage métier chiffré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Serveur de fichiers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MinIO / NAS chiffré</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Stockage documentaire sécurisé</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Firewall</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Palo Alto / Fortinet / pfSense</w:t>
            </w:r>
          </w:p>
        </w:tc>
        <w:tc>
          <w:tcPr>
            <w:tcW w:type="dxa" w:w="3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Segmentation réseau inter-zones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Reverse Proxy / WAF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Nginx + ModSecurity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Sécurisation des accès externes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Load Balancer</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HAProxy (optionnel)</w:t>
            </w:r>
          </w:p>
        </w:tc>
        <w:tc>
          <w:tcPr>
            <w:tcW w:type="dxa" w:w="3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Répartition de charge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Cache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Redis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Cache temporaire référentiel fournisseur</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Message Broker</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RabbitMQ</w:t>
            </w:r>
          </w:p>
        </w:tc>
        <w:tc>
          <w:tcPr>
            <w:tcW w:type="dxa" w:w="3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Bus de messages entre services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Gestion des secrets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HashiCorp Vault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Stockage sécurisé des secrets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Orchestration</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Docker Compose / Kubernetes</w:t>
            </w:r>
          </w:p>
        </w:tc>
        <w:tc>
          <w:tcPr>
            <w:tcW w:type="dxa" w:w="3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Déploiement et scaling des services</w:t>
            </w:r>
          </w:p>
        </w:tc>
      </w:tr>
    </w:tbl>
    <w:p>
      <w:pPr>
        <w:pStyle w:val="Heading3"/>
        <w:spacing w:after="100" w:before="220"/>
      </w:pPr>
      <w:r>
        <w:rPr>
          <w:rFonts w:ascii="Arial" w:cs="Arial" w:eastAsia="Arial" w:hAnsi="Arial"/>
          <w:b/>
          <w:bCs/>
          <w:color w:val="2E75B6"/>
          <w:sz w:val="24"/>
          <w:szCs w:val="24"/>
        </w:rPr>
        <w:t xml:space="preserve">Contrôles de Sécurité</w:t>
      </w:r>
    </w:p>
    <w:p>
      <w:pPr>
        <w:pStyle w:val="ListParagraph"/>
        <w:numPr>
          <w:ilvl w:val="0"/>
          <w:numId w:val="2"/>
        </w:numPr>
        <w:spacing w:after="60" w:before="60"/>
      </w:pPr>
      <w:r>
        <w:rPr>
          <w:rFonts w:ascii="Arial" w:cs="Arial" w:eastAsia="Arial" w:hAnsi="Arial"/>
          <w:color w:val="222222"/>
          <w:sz w:val="22"/>
          <w:szCs w:val="22"/>
        </w:rPr>
        <w:t xml:space="preserve">Déploiement exclusivement On-Premise</w:t>
      </w:r>
    </w:p>
    <w:p>
      <w:pPr>
        <w:pStyle w:val="ListParagraph"/>
        <w:numPr>
          <w:ilvl w:val="0"/>
          <w:numId w:val="2"/>
        </w:numPr>
        <w:spacing w:after="60" w:before="60"/>
      </w:pPr>
      <w:r>
        <w:rPr>
          <w:rFonts w:ascii="Arial" w:cs="Arial" w:eastAsia="Arial" w:hAnsi="Arial"/>
          <w:color w:val="222222"/>
          <w:sz w:val="22"/>
          <w:szCs w:val="22"/>
        </w:rPr>
        <w:t xml:space="preserve">Segmentation réseau : Internet / DMZ / LAN avec firewalls inter-zones</w:t>
      </w:r>
    </w:p>
    <w:p>
      <w:pPr>
        <w:pStyle w:val="ListParagraph"/>
        <w:numPr>
          <w:ilvl w:val="0"/>
          <w:numId w:val="2"/>
        </w:numPr>
        <w:spacing w:after="60" w:before="60"/>
      </w:pPr>
      <w:r>
        <w:rPr>
          <w:rFonts w:ascii="Arial" w:cs="Arial" w:eastAsia="Arial" w:hAnsi="Arial"/>
          <w:color w:val="222222"/>
          <w:sz w:val="22"/>
          <w:szCs w:val="22"/>
        </w:rPr>
        <w:t xml:space="preserve">Chiffrement TLS sur tous les flux, mTLS entre services critiques</w:t>
      </w:r>
    </w:p>
    <w:p>
      <w:pPr>
        <w:pStyle w:val="ListParagraph"/>
        <w:numPr>
          <w:ilvl w:val="0"/>
          <w:numId w:val="2"/>
        </w:numPr>
        <w:spacing w:after="60" w:before="60"/>
      </w:pPr>
      <w:r>
        <w:rPr>
          <w:rFonts w:ascii="Arial" w:cs="Arial" w:eastAsia="Arial" w:hAnsi="Arial"/>
          <w:color w:val="222222"/>
          <w:sz w:val="22"/>
          <w:szCs w:val="22"/>
        </w:rPr>
        <w:t xml:space="preserve">Chiffrement des données au repos : AES-256</w:t>
      </w:r>
    </w:p>
    <w:p>
      <w:pPr>
        <w:pStyle w:val="ListParagraph"/>
        <w:numPr>
          <w:ilvl w:val="0"/>
          <w:numId w:val="2"/>
        </w:numPr>
        <w:spacing w:after="60" w:before="60"/>
      </w:pPr>
      <w:r>
        <w:rPr>
          <w:rFonts w:ascii="Arial" w:cs="Arial" w:eastAsia="Arial" w:hAnsi="Arial"/>
          <w:color w:val="222222"/>
          <w:sz w:val="22"/>
          <w:szCs w:val="22"/>
        </w:rPr>
        <w:t xml:space="preserve">Sauvegardes automatiques, chiffrées et testées régulièrement</w:t>
      </w:r>
    </w:p>
    <w:p>
      <w:pPr>
        <w:pStyle w:val="ListParagraph"/>
        <w:numPr>
          <w:ilvl w:val="0"/>
          <w:numId w:val="2"/>
        </w:numPr>
        <w:spacing w:after="60" w:before="60"/>
      </w:pPr>
      <w:r>
        <w:rPr>
          <w:rFonts w:ascii="Arial" w:cs="Arial" w:eastAsia="Arial" w:hAnsi="Arial"/>
          <w:color w:val="222222"/>
          <w:sz w:val="22"/>
          <w:szCs w:val="22"/>
        </w:rPr>
        <w:t xml:space="preserve">Architecture Zero Trust entre composants</w:t>
      </w:r>
    </w:p>
    <w:p>
      <w:pPr>
        <w:pStyle w:val="ListParagraph"/>
        <w:numPr>
          <w:ilvl w:val="0"/>
          <w:numId w:val="2"/>
        </w:numPr>
        <w:spacing w:after="60" w:before="60"/>
      </w:pPr>
      <w:r>
        <w:rPr>
          <w:rFonts w:ascii="Arial" w:cs="Arial" w:eastAsia="Arial" w:hAnsi="Arial"/>
          <w:color w:val="222222"/>
          <w:sz w:val="22"/>
          <w:szCs w:val="22"/>
        </w:rPr>
        <w:t xml:space="preserve">Gestion centralisée des secrets via Vault</w:t>
      </w:r>
    </w:p>
    <w:p>
      <w:pPr>
        <w:pStyle w:val="ListParagraph"/>
        <w:numPr>
          <w:ilvl w:val="0"/>
          <w:numId w:val="2"/>
        </w:numPr>
        <w:spacing w:after="60" w:before="60"/>
      </w:pPr>
      <w:r>
        <w:rPr>
          <w:rFonts w:ascii="Arial" w:cs="Arial" w:eastAsia="Arial" w:hAnsi="Arial"/>
          <w:color w:val="222222"/>
          <w:sz w:val="22"/>
          <w:szCs w:val="22"/>
        </w:rPr>
        <w:t xml:space="preserve">Plan de Reprise d'Activité (PRA) et Plan de Continuité d'Activité (PCA)</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2 — Gestion des Utilisateurs &amp; Accès</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Permettre une gestion centralisée et sécurisée des utilisateurs, garantissant une authentification forte, une gestion fine des rôles (RBAC), une séparation stricte des responsabilités et une traçabilité complète des accès.</w:t>
      </w:r>
    </w:p>
    <w:p>
      <w:pPr>
        <w:pStyle w:val="Heading3"/>
        <w:spacing w:after="100" w:before="220"/>
      </w:pPr>
      <w:r>
        <w:rPr>
          <w:rFonts w:ascii="Arial" w:cs="Arial" w:eastAsia="Arial" w:hAnsi="Arial"/>
          <w:b/>
          <w:bCs/>
          <w:color w:val="2E75B6"/>
          <w:sz w:val="24"/>
          <w:szCs w:val="24"/>
        </w:rPr>
        <w:t xml:space="preserve">Architecture Fonctionnelle</w:t>
      </w:r>
    </w:p>
    <w:p>
      <w:pPr>
        <w:spacing w:after="80" w:before="80"/>
        <w:jc w:val="left"/>
      </w:pPr>
      <w:r>
        <w:rPr>
          <w:rFonts w:ascii="Arial" w:cs="Arial" w:eastAsia="Arial" w:hAnsi="Arial"/>
          <w:b w:val="false"/>
          <w:bCs w:val="false"/>
          <w:i w:val="false"/>
          <w:iCs w:val="false"/>
          <w:color w:val="222222"/>
          <w:sz w:val="22"/>
          <w:szCs w:val="22"/>
        </w:rPr>
        <w:t xml:space="preserve">L'identité de chaque utilisateur est centralisée dans l'IAM (Active Directory / LDAP / Keycloak). Le moteur RBAC contrôle l'accès à chaque module selon le rôle attribué. Toute action est liée à une identité authentifiée et journalisée.</w:t>
      </w:r>
    </w:p>
    <w:p>
      <w:pPr>
        <w:pStyle w:val="Heading3"/>
        <w:spacing w:after="100" w:before="220"/>
      </w:pPr>
      <w:r>
        <w:rPr>
          <w:rFonts w:ascii="Arial" w:cs="Arial" w:eastAsia="Arial" w:hAnsi="Arial"/>
          <w:b/>
          <w:bCs/>
          <w:color w:val="2E75B6"/>
          <w:sz w:val="24"/>
          <w:szCs w:val="24"/>
        </w:rPr>
        <w:t xml:space="preserve">Flux de Gestion des Accès</w:t>
      </w:r>
    </w:p>
    <w:p>
      <w:pPr>
        <w:pStyle w:val="ListParagraph"/>
        <w:numPr>
          <w:ilvl w:val="0"/>
          <w:numId w:val="3"/>
        </w:numPr>
        <w:spacing w:after="60" w:before="60"/>
      </w:pPr>
      <w:r>
        <w:rPr>
          <w:rFonts w:ascii="Arial" w:cs="Arial" w:eastAsia="Arial" w:hAnsi="Arial"/>
          <w:color w:val="222222"/>
          <w:sz w:val="22"/>
          <w:szCs w:val="22"/>
        </w:rPr>
        <w:t xml:space="preserve">Authentification via Active Directory / LDAP / SSO (SAML 2.0 / OpenID Connect)</w:t>
      </w:r>
    </w:p>
    <w:p>
      <w:pPr>
        <w:pStyle w:val="ListParagraph"/>
        <w:numPr>
          <w:ilvl w:val="0"/>
          <w:numId w:val="3"/>
        </w:numPr>
        <w:spacing w:after="60" w:before="60"/>
      </w:pPr>
      <w:r>
        <w:rPr>
          <w:rFonts w:ascii="Arial" w:cs="Arial" w:eastAsia="Arial" w:hAnsi="Arial"/>
          <w:color w:val="222222"/>
          <w:sz w:val="22"/>
          <w:szCs w:val="22"/>
        </w:rPr>
        <w:t xml:space="preserve">Chargement du profil utilisateur : identité, département, fonction, rôles</w:t>
      </w:r>
    </w:p>
    <w:p>
      <w:pPr>
        <w:pStyle w:val="ListParagraph"/>
        <w:numPr>
          <w:ilvl w:val="0"/>
          <w:numId w:val="3"/>
        </w:numPr>
        <w:spacing w:after="60" w:before="60"/>
      </w:pPr>
      <w:r>
        <w:rPr>
          <w:rFonts w:ascii="Arial" w:cs="Arial" w:eastAsia="Arial" w:hAnsi="Arial"/>
          <w:color w:val="222222"/>
          <w:sz w:val="22"/>
          <w:szCs w:val="22"/>
        </w:rPr>
        <w:t xml:space="preserve">Attribution automatique des permissions associées au rôle</w:t>
      </w:r>
    </w:p>
    <w:p>
      <w:pPr>
        <w:pStyle w:val="ListParagraph"/>
        <w:numPr>
          <w:ilvl w:val="0"/>
          <w:numId w:val="3"/>
        </w:numPr>
        <w:spacing w:after="60" w:before="60"/>
      </w:pPr>
      <w:r>
        <w:rPr>
          <w:rFonts w:ascii="Arial" w:cs="Arial" w:eastAsia="Arial" w:hAnsi="Arial"/>
          <w:color w:val="222222"/>
          <w:sz w:val="22"/>
          <w:szCs w:val="22"/>
        </w:rPr>
        <w:t xml:space="preserve">Contrôle d'accès avant chaque action (consultation, création, validation)</w:t>
      </w:r>
    </w:p>
    <w:p>
      <w:pPr>
        <w:pStyle w:val="ListParagraph"/>
        <w:numPr>
          <w:ilvl w:val="0"/>
          <w:numId w:val="3"/>
        </w:numPr>
        <w:spacing w:after="60" w:before="60"/>
      </w:pPr>
      <w:r>
        <w:rPr>
          <w:rFonts w:ascii="Arial" w:cs="Arial" w:eastAsia="Arial" w:hAnsi="Arial"/>
          <w:color w:val="222222"/>
          <w:sz w:val="22"/>
          <w:szCs w:val="22"/>
        </w:rPr>
        <w:t xml:space="preserve">Gestion des sessions : chiffrées, expiration automatique, déconnexion forcée si anomalie</w:t>
      </w:r>
    </w:p>
    <w:p>
      <w:pPr>
        <w:pStyle w:val="ListParagraph"/>
        <w:numPr>
          <w:ilvl w:val="0"/>
          <w:numId w:val="3"/>
        </w:numPr>
        <w:spacing w:after="60" w:before="60"/>
      </w:pPr>
      <w:r>
        <w:rPr>
          <w:rFonts w:ascii="Arial" w:cs="Arial" w:eastAsia="Arial" w:hAnsi="Arial"/>
          <w:color w:val="222222"/>
          <w:sz w:val="22"/>
          <w:szCs w:val="22"/>
        </w:rPr>
        <w:t xml:space="preserve">Journalisation complète : connexion, déconnexion, échecs, changements de rôle</w:t>
      </w:r>
    </w:p>
    <w:p>
      <w:pPr>
        <w:pStyle w:val="Heading3"/>
        <w:spacing w:after="100" w:before="220"/>
      </w:pPr>
      <w:r>
        <w:rPr>
          <w:rFonts w:ascii="Arial" w:cs="Arial" w:eastAsia="Arial" w:hAnsi="Arial"/>
          <w:b/>
          <w:bCs/>
          <w:color w:val="2E75B6"/>
          <w:sz w:val="24"/>
          <w:szCs w:val="24"/>
        </w:rPr>
        <w:t xml:space="preserve">Mesures de Sécurité</w:t>
      </w:r>
    </w:p>
    <w:p>
      <w:pPr>
        <w:pStyle w:val="ListParagraph"/>
        <w:numPr>
          <w:ilvl w:val="0"/>
          <w:numId w:val="2"/>
        </w:numPr>
        <w:spacing w:after="60" w:before="60"/>
      </w:pPr>
      <w:r>
        <w:rPr>
          <w:rFonts w:ascii="Arial" w:cs="Arial" w:eastAsia="Arial" w:hAnsi="Arial"/>
          <w:color w:val="222222"/>
          <w:sz w:val="22"/>
          <w:szCs w:val="22"/>
        </w:rPr>
        <w:t xml:space="preserve">MFA optionnel ou obligatoire selon politique de l'organisation</w:t>
      </w:r>
    </w:p>
    <w:p>
      <w:pPr>
        <w:pStyle w:val="ListParagraph"/>
        <w:numPr>
          <w:ilvl w:val="0"/>
          <w:numId w:val="2"/>
        </w:numPr>
        <w:spacing w:after="60" w:before="60"/>
      </w:pPr>
      <w:r>
        <w:rPr>
          <w:rFonts w:ascii="Arial" w:cs="Arial" w:eastAsia="Arial" w:hAnsi="Arial"/>
          <w:color w:val="222222"/>
          <w:sz w:val="22"/>
          <w:szCs w:val="22"/>
        </w:rPr>
        <w:t xml:space="preserve">Principe du moindre privilège (Least Privilege)</w:t>
      </w:r>
    </w:p>
    <w:p>
      <w:pPr>
        <w:pStyle w:val="ListParagraph"/>
        <w:numPr>
          <w:ilvl w:val="0"/>
          <w:numId w:val="2"/>
        </w:numPr>
        <w:spacing w:after="60" w:before="60"/>
      </w:pPr>
      <w:r>
        <w:rPr>
          <w:rFonts w:ascii="Arial" w:cs="Arial" w:eastAsia="Arial" w:hAnsi="Arial"/>
          <w:color w:val="222222"/>
          <w:sz w:val="22"/>
          <w:szCs w:val="22"/>
        </w:rPr>
        <w:t xml:space="preserve">Séparation des rôles administratifs et métiers</w:t>
      </w:r>
    </w:p>
    <w:p>
      <w:pPr>
        <w:pStyle w:val="ListParagraph"/>
        <w:numPr>
          <w:ilvl w:val="0"/>
          <w:numId w:val="2"/>
        </w:numPr>
        <w:spacing w:after="60" w:before="60"/>
      </w:pPr>
      <w:r>
        <w:rPr>
          <w:rFonts w:ascii="Arial" w:cs="Arial" w:eastAsia="Arial" w:hAnsi="Arial"/>
          <w:color w:val="222222"/>
          <w:sz w:val="22"/>
          <w:szCs w:val="22"/>
        </w:rPr>
        <w:t xml:space="preserve">Blocage temporaire après plusieurs échecs d'authentification</w:t>
      </w:r>
    </w:p>
    <w:p>
      <w:pPr>
        <w:pStyle w:val="ListParagraph"/>
        <w:numPr>
          <w:ilvl w:val="0"/>
          <w:numId w:val="2"/>
        </w:numPr>
        <w:spacing w:after="60" w:before="60"/>
      </w:pPr>
      <w:r>
        <w:rPr>
          <w:rFonts w:ascii="Arial" w:cs="Arial" w:eastAsia="Arial" w:hAnsi="Arial"/>
          <w:color w:val="222222"/>
          <w:sz w:val="22"/>
          <w:szCs w:val="22"/>
        </w:rPr>
        <w:t xml:space="preserve">Détection des comportements anormaux via SIEM</w:t>
      </w:r>
    </w:p>
    <w:p>
      <w:pPr>
        <w:pStyle w:val="ListParagraph"/>
        <w:numPr>
          <w:ilvl w:val="0"/>
          <w:numId w:val="2"/>
        </w:numPr>
        <w:spacing w:after="60" w:before="60"/>
      </w:pPr>
      <w:r>
        <w:rPr>
          <w:rFonts w:ascii="Arial" w:cs="Arial" w:eastAsia="Arial" w:hAnsi="Arial"/>
          <w:color w:val="222222"/>
          <w:sz w:val="22"/>
          <w:szCs w:val="22"/>
        </w:rPr>
        <w:t xml:space="preserve">Journalisation immuable centralisée dans le SIEM</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3 — Expression du Besoin (Interne)</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Permettre aux équipes internes d'exprimer, formaliser et valider un besoin d'achat de manière structurée, traçable et conforme, en standardisant les informations et en préparant la RFQ de façon sécurisée.</w:t>
      </w:r>
    </w:p>
    <w:p>
      <w:pPr>
        <w:pStyle w:val="Heading3"/>
        <w:spacing w:after="100" w:before="220"/>
      </w:pPr>
      <w:r>
        <w:rPr>
          <w:rFonts w:ascii="Arial" w:cs="Arial" w:eastAsia="Arial" w:hAnsi="Arial"/>
          <w:b/>
          <w:bCs/>
          <w:color w:val="2E75B6"/>
          <w:sz w:val="24"/>
          <w:szCs w:val="24"/>
        </w:rPr>
        <w:t xml:space="preserve">Flux Fonctionnel</w:t>
      </w:r>
    </w:p>
    <w:p>
      <w:pPr>
        <w:pStyle w:val="ListParagraph"/>
        <w:numPr>
          <w:ilvl w:val="0"/>
          <w:numId w:val="3"/>
        </w:numPr>
        <w:spacing w:after="60" w:before="60"/>
      </w:pPr>
      <w:r>
        <w:rPr>
          <w:rFonts w:ascii="Arial" w:cs="Arial" w:eastAsia="Arial" w:hAnsi="Arial"/>
          <w:color w:val="222222"/>
          <w:sz w:val="22"/>
          <w:szCs w:val="22"/>
        </w:rPr>
        <w:t xml:space="preserve">Initiation du besoin : accès au portail Procura interne, authentification IAM, sélection du type de besoin, attribution d'un ID unique</w:t>
      </w:r>
    </w:p>
    <w:p>
      <w:pPr>
        <w:pStyle w:val="ListParagraph"/>
        <w:numPr>
          <w:ilvl w:val="0"/>
          <w:numId w:val="3"/>
        </w:numPr>
        <w:spacing w:after="60" w:before="60"/>
      </w:pPr>
      <w:r>
        <w:rPr>
          <w:rFonts w:ascii="Arial" w:cs="Arial" w:eastAsia="Arial" w:hAnsi="Arial"/>
          <w:color w:val="222222"/>
          <w:sz w:val="22"/>
          <w:szCs w:val="22"/>
        </w:rPr>
        <w:t xml:space="preserve">Saisie structurée : formulaire guidé avec champs normalisés (description, objectif, périmètre, quantités, budget indicatif, contraintes)</w:t>
      </w:r>
    </w:p>
    <w:p>
      <w:pPr>
        <w:pStyle w:val="ListParagraph"/>
        <w:numPr>
          <w:ilvl w:val="0"/>
          <w:numId w:val="3"/>
        </w:numPr>
        <w:spacing w:after="60" w:before="60"/>
      </w:pPr>
      <w:r>
        <w:rPr>
          <w:rFonts w:ascii="Arial" w:cs="Arial" w:eastAsia="Arial" w:hAnsi="Arial"/>
          <w:color w:val="222222"/>
          <w:sz w:val="22"/>
          <w:szCs w:val="22"/>
        </w:rPr>
        <w:t xml:space="preserve">Ajout de pièces jointes internes (notes techniques, spécifications, schémas)</w:t>
      </w:r>
    </w:p>
    <w:p>
      <w:pPr>
        <w:pStyle w:val="ListParagraph"/>
        <w:numPr>
          <w:ilvl w:val="0"/>
          <w:numId w:val="3"/>
        </w:numPr>
        <w:spacing w:after="60" w:before="60"/>
      </w:pPr>
      <w:r>
        <w:rPr>
          <w:rFonts w:ascii="Arial" w:cs="Arial" w:eastAsia="Arial" w:hAnsi="Arial"/>
          <w:color w:val="222222"/>
          <w:sz w:val="22"/>
          <w:szCs w:val="22"/>
        </w:rPr>
        <w:t xml:space="preserve">Versioning : chaque modification crée une nouvelle version avec historique complet</w:t>
      </w:r>
    </w:p>
    <w:p>
      <w:pPr>
        <w:pStyle w:val="ListParagraph"/>
        <w:numPr>
          <w:ilvl w:val="0"/>
          <w:numId w:val="3"/>
        </w:numPr>
        <w:spacing w:after="60" w:before="60"/>
      </w:pPr>
      <w:r>
        <w:rPr>
          <w:rFonts w:ascii="Arial" w:cs="Arial" w:eastAsia="Arial" w:hAnsi="Arial"/>
          <w:color w:val="222222"/>
          <w:sz w:val="22"/>
          <w:szCs w:val="22"/>
        </w:rPr>
        <w:t xml:space="preserve">Workflow de validation interne : circuit configurable (manager, achat, finance, technique)</w:t>
      </w:r>
    </w:p>
    <w:p>
      <w:pPr>
        <w:pStyle w:val="ListParagraph"/>
        <w:numPr>
          <w:ilvl w:val="0"/>
          <w:numId w:val="3"/>
        </w:numPr>
        <w:spacing w:after="60" w:before="60"/>
      </w:pPr>
      <w:r>
        <w:rPr>
          <w:rFonts w:ascii="Arial" w:cs="Arial" w:eastAsia="Arial" w:hAnsi="Arial"/>
          <w:color w:val="222222"/>
          <w:sz w:val="22"/>
          <w:szCs w:val="22"/>
        </w:rPr>
        <w:t xml:space="preserve">Contrôles de conformité : vérification politique achat, seuils budgétaires, séparation des rôles</w:t>
      </w:r>
    </w:p>
    <w:p>
      <w:pPr>
        <w:pStyle w:val="ListParagraph"/>
        <w:numPr>
          <w:ilvl w:val="0"/>
          <w:numId w:val="3"/>
        </w:numPr>
        <w:spacing w:after="60" w:before="60"/>
      </w:pPr>
      <w:r>
        <w:rPr>
          <w:rFonts w:ascii="Arial" w:cs="Arial" w:eastAsia="Arial" w:hAnsi="Arial"/>
          <w:color w:val="222222"/>
          <w:sz w:val="22"/>
          <w:szCs w:val="22"/>
        </w:rPr>
        <w:t xml:space="preserve">Validation finale : horodatage final, signature logique interne</w:t>
      </w:r>
    </w:p>
    <w:p>
      <w:pPr>
        <w:pStyle w:val="ListParagraph"/>
        <w:numPr>
          <w:ilvl w:val="0"/>
          <w:numId w:val="3"/>
        </w:numPr>
        <w:spacing w:after="60" w:before="60"/>
      </w:pPr>
      <w:r>
        <w:rPr>
          <w:rFonts w:ascii="Arial" w:cs="Arial" w:eastAsia="Arial" w:hAnsi="Arial"/>
          <w:color w:val="222222"/>
          <w:sz w:val="22"/>
          <w:szCs w:val="22"/>
        </w:rPr>
        <w:t xml:space="preserve">Préparation RFQ : extraction des données structurées, masquage des informations sensibles</w:t>
      </w:r>
    </w:p>
    <w:p>
      <w:pPr>
        <w:pStyle w:val="Heading3"/>
        <w:spacing w:after="100" w:before="220"/>
      </w:pPr>
      <w:r>
        <w:rPr>
          <w:rFonts w:ascii="Arial" w:cs="Arial" w:eastAsia="Arial" w:hAnsi="Arial"/>
          <w:b/>
          <w:bCs/>
          <w:color w:val="2E75B6"/>
          <w:sz w:val="24"/>
          <w:szCs w:val="24"/>
        </w:rPr>
        <w:t xml:space="preserve">Gouvernance</w:t>
      </w:r>
    </w:p>
    <w:p>
      <w:pPr>
        <w:pStyle w:val="ListParagraph"/>
        <w:numPr>
          <w:ilvl w:val="0"/>
          <w:numId w:val="2"/>
        </w:numPr>
        <w:spacing w:after="60" w:before="60"/>
      </w:pPr>
      <w:r>
        <w:rPr>
          <w:rFonts w:ascii="Arial" w:cs="Arial" w:eastAsia="Arial" w:hAnsi="Arial"/>
          <w:color w:val="222222"/>
          <w:sz w:val="22"/>
          <w:szCs w:val="22"/>
        </w:rPr>
        <w:t xml:space="preserve">Accès interne uniquement (LAN) — aucune exposition externe</w:t>
      </w:r>
    </w:p>
    <w:p>
      <w:pPr>
        <w:pStyle w:val="ListParagraph"/>
        <w:numPr>
          <w:ilvl w:val="0"/>
          <w:numId w:val="2"/>
        </w:numPr>
        <w:spacing w:after="60" w:before="60"/>
      </w:pPr>
      <w:r>
        <w:rPr>
          <w:rFonts w:ascii="Arial" w:cs="Arial" w:eastAsia="Arial" w:hAnsi="Arial"/>
          <w:color w:val="222222"/>
          <w:sz w:val="22"/>
          <w:szCs w:val="22"/>
        </w:rPr>
        <w:t xml:space="preserve">Versioning non désactivable — chaque modification est tracée</w:t>
      </w:r>
    </w:p>
    <w:p>
      <w:pPr>
        <w:pStyle w:val="ListParagraph"/>
        <w:numPr>
          <w:ilvl w:val="0"/>
          <w:numId w:val="2"/>
        </w:numPr>
        <w:spacing w:after="60" w:before="60"/>
      </w:pPr>
      <w:r>
        <w:rPr>
          <w:rFonts w:ascii="Arial" w:cs="Arial" w:eastAsia="Arial" w:hAnsi="Arial"/>
          <w:color w:val="222222"/>
          <w:sz w:val="22"/>
          <w:szCs w:val="22"/>
        </w:rPr>
        <w:t xml:space="preserve">Workflow de validation obligatoire — aucun besoin ne devient RFQ sans validation formelle</w:t>
      </w:r>
    </w:p>
    <w:p>
      <w:pPr>
        <w:pStyle w:val="ListParagraph"/>
        <w:numPr>
          <w:ilvl w:val="0"/>
          <w:numId w:val="2"/>
        </w:numPr>
        <w:spacing w:after="60" w:before="60"/>
      </w:pPr>
      <w:r>
        <w:rPr>
          <w:rFonts w:ascii="Arial" w:cs="Arial" w:eastAsia="Arial" w:hAnsi="Arial"/>
          <w:color w:val="222222"/>
          <w:sz w:val="22"/>
          <w:szCs w:val="22"/>
        </w:rPr>
        <w:t xml:space="preserve">Initiateur et valideur sont des rôles séparés (séparation des pouvoirs)</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4 — Référentiel Fournisseur</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Permettre la pré-sélection des fournisseurs depuis le référentiel ERP (en lecture seule) dans le contexte d'une consultation / RFQ, sans duplication ni gestion de données fournisseurs dans Procura.</w:t>
      </w:r>
    </w:p>
    <w:p>
      <w:pPr>
        <w:pStyle w:val="Heading3"/>
        <w:spacing w:after="100" w:before="220"/>
      </w:pPr>
      <w:r>
        <w:rPr>
          <w:rFonts w:ascii="Arial" w:cs="Arial" w:eastAsia="Arial" w:hAnsi="Arial"/>
          <w:b/>
          <w:bCs/>
          <w:color w:val="2E75B6"/>
          <w:sz w:val="24"/>
          <w:szCs w:val="24"/>
        </w:rPr>
        <w:t xml:space="preserve">Principe</w:t>
      </w:r>
    </w:p>
    <w:p>
      <w:pPr>
        <w:pStyle w:val="ListParagraph"/>
        <w:numPr>
          <w:ilvl w:val="0"/>
          <w:numId w:val="2"/>
        </w:numPr>
        <w:spacing w:after="60" w:before="60"/>
      </w:pPr>
      <w:r>
        <w:rPr>
          <w:rFonts w:ascii="Arial" w:cs="Arial" w:eastAsia="Arial" w:hAnsi="Arial"/>
          <w:color w:val="222222"/>
          <w:sz w:val="22"/>
          <w:szCs w:val="22"/>
        </w:rPr>
        <w:t xml:space="preserve">L'ERP est l'unique source de vérité fournisseur</w:t>
      </w:r>
    </w:p>
    <w:p>
      <w:pPr>
        <w:pStyle w:val="ListParagraph"/>
        <w:numPr>
          <w:ilvl w:val="0"/>
          <w:numId w:val="2"/>
        </w:numPr>
        <w:spacing w:after="60" w:before="60"/>
      </w:pPr>
      <w:r>
        <w:rPr>
          <w:rFonts w:ascii="Arial" w:cs="Arial" w:eastAsia="Arial" w:hAnsi="Arial"/>
          <w:color w:val="222222"/>
          <w:sz w:val="22"/>
          <w:szCs w:val="22"/>
        </w:rPr>
        <w:t xml:space="preserve">Procura ne crée, ne modifie et ne supprime aucun fournisseur</w:t>
      </w:r>
    </w:p>
    <w:p>
      <w:pPr>
        <w:pStyle w:val="ListParagraph"/>
        <w:numPr>
          <w:ilvl w:val="0"/>
          <w:numId w:val="2"/>
        </w:numPr>
        <w:spacing w:after="60" w:before="60"/>
      </w:pPr>
      <w:r>
        <w:rPr>
          <w:rFonts w:ascii="Arial" w:cs="Arial" w:eastAsia="Arial" w:hAnsi="Arial"/>
          <w:color w:val="222222"/>
          <w:sz w:val="22"/>
          <w:szCs w:val="22"/>
        </w:rPr>
        <w:t xml:space="preserve">Les données fournisseurs sont consommées en lecture seule via API sécurisée</w:t>
      </w:r>
    </w:p>
    <w:p>
      <w:pPr>
        <w:pStyle w:val="ListParagraph"/>
        <w:numPr>
          <w:ilvl w:val="0"/>
          <w:numId w:val="2"/>
        </w:numPr>
        <w:spacing w:after="60" w:before="60"/>
      </w:pPr>
      <w:r>
        <w:rPr>
          <w:rFonts w:ascii="Arial" w:cs="Arial" w:eastAsia="Arial" w:hAnsi="Arial"/>
          <w:color w:val="222222"/>
          <w:sz w:val="22"/>
          <w:szCs w:val="22"/>
        </w:rPr>
        <w:t xml:space="preserve">Mise en cache temporaire avec TTL configurable</w:t>
      </w:r>
    </w:p>
    <w:p>
      <w:pPr>
        <w:pStyle w:val="ListParagraph"/>
        <w:numPr>
          <w:ilvl w:val="0"/>
          <w:numId w:val="2"/>
        </w:numPr>
        <w:spacing w:after="60" w:before="60"/>
      </w:pPr>
      <w:r>
        <w:rPr>
          <w:rFonts w:ascii="Arial" w:cs="Arial" w:eastAsia="Arial" w:hAnsi="Arial"/>
          <w:color w:val="222222"/>
          <w:sz w:val="22"/>
          <w:szCs w:val="22"/>
        </w:rPr>
        <w:t xml:space="preserve">La sélection est contextuelle à une RFQ et traçable</w:t>
      </w:r>
    </w:p>
    <w:p>
      <w:pPr>
        <w:pStyle w:val="Heading3"/>
        <w:spacing w:after="100" w:before="220"/>
      </w:pPr>
      <w:r>
        <w:rPr>
          <w:rFonts w:ascii="Arial" w:cs="Arial" w:eastAsia="Arial" w:hAnsi="Arial"/>
          <w:b/>
          <w:bCs/>
          <w:color w:val="2E75B6"/>
          <w:sz w:val="24"/>
          <w:szCs w:val="24"/>
        </w:rPr>
        <w:t xml:space="preserve">Composants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rPr>
          <w:tblHeader/>
        </w:trPr>
        <w:tc>
          <w:tcPr>
            <w:tcW w:type="dxa" w:w="3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Composant</w:t>
            </w:r>
          </w:p>
        </w:tc>
        <w:tc>
          <w:tcPr>
            <w:tcW w:type="dxa" w:w="5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ERP Connector (Read-Only)</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API / ETL sécurisé vers le référentiel ERP</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Cache temporaire (Redis)</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Cache avec TTL pour réduire les appels ERP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Service Référentiel Fournisseur</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Filtrage, recherche, sélection contextuelle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Procura RFQ Engine</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Association fournisseurs ↔ RFQ</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Audit &amp; Logs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Traçabilité de toutes les sélections</w:t>
            </w:r>
          </w:p>
        </w:tc>
      </w:tr>
    </w:tbl>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5 — Lancement RFQ &amp; Publication</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Permettre aux équipes achats de créer, valider et publier des RFQ de manière centralisée, sécurisée et traçable, avec une diffusion contrôlée et équitable auprès des fournisseurs.</w:t>
      </w:r>
    </w:p>
    <w:p>
      <w:pPr>
        <w:pStyle w:val="Heading3"/>
        <w:spacing w:after="100" w:before="220"/>
      </w:pPr>
      <w:r>
        <w:rPr>
          <w:rFonts w:ascii="Arial" w:cs="Arial" w:eastAsia="Arial" w:hAnsi="Arial"/>
          <w:b/>
          <w:bCs/>
          <w:color w:val="2E75B6"/>
          <w:sz w:val="24"/>
          <w:szCs w:val="24"/>
        </w:rPr>
        <w:t xml:space="preserve">Flux de Publication</w:t>
      </w:r>
    </w:p>
    <w:p>
      <w:pPr>
        <w:pStyle w:val="ListParagraph"/>
        <w:numPr>
          <w:ilvl w:val="0"/>
          <w:numId w:val="3"/>
        </w:numPr>
        <w:spacing w:after="60" w:before="60"/>
      </w:pPr>
      <w:r>
        <w:rPr>
          <w:rFonts w:ascii="Arial" w:cs="Arial" w:eastAsia="Arial" w:hAnsi="Arial"/>
          <w:color w:val="222222"/>
          <w:sz w:val="22"/>
          <w:szCs w:val="22"/>
        </w:rPr>
        <w:t xml:space="preserve">Création de la RFQ en mode brouillon (périmètre, dates, critères, formats autorisés, documents)</w:t>
      </w:r>
    </w:p>
    <w:p>
      <w:pPr>
        <w:pStyle w:val="ListParagraph"/>
        <w:numPr>
          <w:ilvl w:val="0"/>
          <w:numId w:val="3"/>
        </w:numPr>
        <w:spacing w:after="60" w:before="60"/>
      </w:pPr>
      <w:r>
        <w:rPr>
          <w:rFonts w:ascii="Arial" w:cs="Arial" w:eastAsia="Arial" w:hAnsi="Arial"/>
          <w:color w:val="222222"/>
          <w:sz w:val="22"/>
          <w:szCs w:val="22"/>
        </w:rPr>
        <w:t xml:space="preserve">Validation interne configurable (achats, juridique, finance)</w:t>
      </w:r>
    </w:p>
    <w:p>
      <w:pPr>
        <w:pStyle w:val="ListParagraph"/>
        <w:numPr>
          <w:ilvl w:val="0"/>
          <w:numId w:val="3"/>
        </w:numPr>
        <w:spacing w:after="60" w:before="60"/>
      </w:pPr>
      <w:r>
        <w:rPr>
          <w:rFonts w:ascii="Arial" w:cs="Arial" w:eastAsia="Arial" w:hAnsi="Arial"/>
          <w:color w:val="222222"/>
          <w:sz w:val="22"/>
          <w:szCs w:val="22"/>
        </w:rPr>
        <w:t xml:space="preserve">Scellage : génération d'un RFQ ID unique, calcul de hash global (métadonnées + documents), signature HSM, horodatage légal RFC 3161</w:t>
      </w:r>
    </w:p>
    <w:p>
      <w:pPr>
        <w:pStyle w:val="ListParagraph"/>
        <w:numPr>
          <w:ilvl w:val="0"/>
          <w:numId w:val="3"/>
        </w:numPr>
        <w:spacing w:after="60" w:before="60"/>
      </w:pPr>
      <w:r>
        <w:rPr>
          <w:rFonts w:ascii="Arial" w:cs="Arial" w:eastAsia="Arial" w:hAnsi="Arial"/>
          <w:color w:val="222222"/>
          <w:sz w:val="22"/>
          <w:szCs w:val="22"/>
        </w:rPr>
        <w:t xml:space="preserve">Publication contrôlée LAN → DMZ en lecture seule</w:t>
      </w:r>
    </w:p>
    <w:p>
      <w:pPr>
        <w:pStyle w:val="ListParagraph"/>
        <w:numPr>
          <w:ilvl w:val="0"/>
          <w:numId w:val="3"/>
        </w:numPr>
        <w:spacing w:after="60" w:before="60"/>
      </w:pPr>
      <w:r>
        <w:rPr>
          <w:rFonts w:ascii="Arial" w:cs="Arial" w:eastAsia="Arial" w:hAnsi="Arial"/>
          <w:color w:val="222222"/>
          <w:sz w:val="22"/>
          <w:szCs w:val="22"/>
        </w:rPr>
        <w:t xml:space="preserve">Accès fournisseur via HTTPS TLS 1.3 avec authentification</w:t>
      </w:r>
    </w:p>
    <w:p>
      <w:pPr>
        <w:pStyle w:val="ListParagraph"/>
        <w:numPr>
          <w:ilvl w:val="0"/>
          <w:numId w:val="3"/>
        </w:numPr>
        <w:spacing w:after="60" w:before="60"/>
      </w:pPr>
      <w:r>
        <w:rPr>
          <w:rFonts w:ascii="Arial" w:cs="Arial" w:eastAsia="Arial" w:hAnsi="Arial"/>
          <w:color w:val="222222"/>
          <w:sz w:val="22"/>
          <w:szCs w:val="22"/>
        </w:rPr>
        <w:t xml:space="preserve">Ouverture de la fenêtre de dépôt avec Submission Context ID</w:t>
      </w:r>
    </w:p>
    <w:p>
      <w:pPr>
        <w:pStyle w:val="ListParagraph"/>
        <w:numPr>
          <w:ilvl w:val="0"/>
          <w:numId w:val="3"/>
        </w:numPr>
        <w:spacing w:after="60" w:before="60"/>
      </w:pPr>
      <w:r>
        <w:rPr>
          <w:rFonts w:ascii="Arial" w:cs="Arial" w:eastAsia="Arial" w:hAnsi="Arial"/>
          <w:color w:val="222222"/>
          <w:sz w:val="22"/>
          <w:szCs w:val="22"/>
        </w:rPr>
        <w:t xml:space="preserve">Clôture automatique : blocage des dépôts, scellage de la liste des soumissions, PV de clôture</w:t>
      </w:r>
    </w:p>
    <w:p>
      <w:pPr>
        <w:pStyle w:val="Heading3"/>
        <w:spacing w:after="100" w:before="220"/>
      </w:pPr>
      <w:r>
        <w:rPr>
          <w:rFonts w:ascii="Arial" w:cs="Arial" w:eastAsia="Arial" w:hAnsi="Arial"/>
          <w:b/>
          <w:bCs/>
          <w:color w:val="2E75B6"/>
          <w:sz w:val="24"/>
          <w:szCs w:val="24"/>
        </w:rPr>
        <w:t xml:space="preserve">Sécurité</w:t>
      </w:r>
    </w:p>
    <w:p>
      <w:pPr>
        <w:pStyle w:val="ListParagraph"/>
        <w:numPr>
          <w:ilvl w:val="0"/>
          <w:numId w:val="2"/>
        </w:numPr>
        <w:spacing w:after="60" w:before="60"/>
      </w:pPr>
      <w:r>
        <w:rPr>
          <w:rFonts w:ascii="Arial" w:cs="Arial" w:eastAsia="Arial" w:hAnsi="Arial"/>
          <w:color w:val="222222"/>
          <w:sz w:val="22"/>
          <w:szCs w:val="22"/>
        </w:rPr>
        <w:t xml:space="preserve">RFQ scellée avant publication (hash + signature HSM)</w:t>
      </w:r>
    </w:p>
    <w:p>
      <w:pPr>
        <w:pStyle w:val="ListParagraph"/>
        <w:numPr>
          <w:ilvl w:val="0"/>
          <w:numId w:val="2"/>
        </w:numPr>
        <w:spacing w:after="60" w:before="60"/>
      </w:pPr>
      <w:r>
        <w:rPr>
          <w:rFonts w:ascii="Arial" w:cs="Arial" w:eastAsia="Arial" w:hAnsi="Arial"/>
          <w:color w:val="222222"/>
          <w:sz w:val="22"/>
          <w:szCs w:val="22"/>
        </w:rPr>
        <w:t xml:space="preserve">Publication en lecture seule — aucune logique métier sensible exposée en DMZ</w:t>
      </w:r>
    </w:p>
    <w:p>
      <w:pPr>
        <w:pStyle w:val="ListParagraph"/>
        <w:numPr>
          <w:ilvl w:val="0"/>
          <w:numId w:val="2"/>
        </w:numPr>
        <w:spacing w:after="60" w:before="60"/>
      </w:pPr>
      <w:r>
        <w:rPr>
          <w:rFonts w:ascii="Arial" w:cs="Arial" w:eastAsia="Arial" w:hAnsi="Arial"/>
          <w:color w:val="222222"/>
          <w:sz w:val="22"/>
          <w:szCs w:val="22"/>
        </w:rPr>
        <w:t xml:space="preserve">Accès fournisseur strictement limité aux RFQ autorisées</w:t>
      </w:r>
    </w:p>
    <w:p>
      <w:pPr>
        <w:pStyle w:val="ListParagraph"/>
        <w:numPr>
          <w:ilvl w:val="0"/>
          <w:numId w:val="2"/>
        </w:numPr>
        <w:spacing w:after="60" w:before="60"/>
      </w:pPr>
      <w:r>
        <w:rPr>
          <w:rFonts w:ascii="Arial" w:cs="Arial" w:eastAsia="Arial" w:hAnsi="Arial"/>
          <w:color w:val="222222"/>
          <w:sz w:val="22"/>
          <w:szCs w:val="22"/>
        </w:rPr>
        <w:t xml:space="preserve">Formats de dépôt explicitement définis par RFQ</w:t>
      </w:r>
    </w:p>
    <w:p>
      <w:pPr>
        <w:pStyle w:val="ListParagraph"/>
        <w:numPr>
          <w:ilvl w:val="0"/>
          <w:numId w:val="2"/>
        </w:numPr>
        <w:spacing w:after="60" w:before="60"/>
      </w:pPr>
      <w:r>
        <w:rPr>
          <w:rFonts w:ascii="Arial" w:cs="Arial" w:eastAsia="Arial" w:hAnsi="Arial"/>
          <w:color w:val="222222"/>
          <w:sz w:val="22"/>
          <w:szCs w:val="22"/>
        </w:rPr>
        <w:t xml:space="preserve">Clôture automatique sans intervention humaine</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6 — Portail Fournisseur (Externe — DMZ)</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Mettre à disposition des fournisseurs un portail externe sécurisé pour recevoir les invitations RFQ, accéder aux documents, déposer leurs offres, suivre leurs soumissions et centraliser les échanges post-décision.</w:t>
      </w:r>
    </w:p>
    <w:p>
      <w:pPr>
        <w:pStyle w:val="Heading3"/>
        <w:spacing w:after="100" w:before="220"/>
      </w:pPr>
      <w:r>
        <w:rPr>
          <w:rFonts w:ascii="Arial" w:cs="Arial" w:eastAsia="Arial" w:hAnsi="Arial"/>
          <w:b/>
          <w:bCs/>
          <w:color w:val="2E75B6"/>
          <w:sz w:val="24"/>
          <w:szCs w:val="24"/>
        </w:rPr>
        <w:t xml:space="preserve">Flux Fournisseur</w:t>
      </w:r>
    </w:p>
    <w:p>
      <w:pPr>
        <w:pStyle w:val="ListParagraph"/>
        <w:numPr>
          <w:ilvl w:val="0"/>
          <w:numId w:val="3"/>
        </w:numPr>
        <w:spacing w:after="60" w:before="60"/>
      </w:pPr>
      <w:r>
        <w:rPr>
          <w:rFonts w:ascii="Arial" w:cs="Arial" w:eastAsia="Arial" w:hAnsi="Arial"/>
          <w:color w:val="222222"/>
          <w:sz w:val="22"/>
          <w:szCs w:val="22"/>
        </w:rPr>
        <w:t xml:space="preserve">Réception de l'invitation par email sécurisé (lien unique traçable)</w:t>
      </w:r>
    </w:p>
    <w:p>
      <w:pPr>
        <w:pStyle w:val="ListParagraph"/>
        <w:numPr>
          <w:ilvl w:val="0"/>
          <w:numId w:val="3"/>
        </w:numPr>
        <w:spacing w:after="60" w:before="60"/>
      </w:pPr>
      <w:r>
        <w:rPr>
          <w:rFonts w:ascii="Arial" w:cs="Arial" w:eastAsia="Arial" w:hAnsi="Arial"/>
          <w:color w:val="222222"/>
          <w:sz w:val="22"/>
          <w:szCs w:val="22"/>
        </w:rPr>
        <w:t xml:space="preserve">Authentification : HTTPS TLS 1.3, compte fournisseur + MFA ou certificat client (mTLS)</w:t>
      </w:r>
    </w:p>
    <w:p>
      <w:pPr>
        <w:pStyle w:val="ListParagraph"/>
        <w:numPr>
          <w:ilvl w:val="0"/>
          <w:numId w:val="3"/>
        </w:numPr>
        <w:spacing w:after="60" w:before="60"/>
      </w:pPr>
      <w:r>
        <w:rPr>
          <w:rFonts w:ascii="Arial" w:cs="Arial" w:eastAsia="Arial" w:hAnsi="Arial"/>
          <w:color w:val="222222"/>
          <w:sz w:val="22"/>
          <w:szCs w:val="22"/>
        </w:rPr>
        <w:t xml:space="preserve">Tableau de bord fournisseur : RFQ ouvertes, clôturées, statuts</w:t>
      </w:r>
    </w:p>
    <w:p>
      <w:pPr>
        <w:pStyle w:val="ListParagraph"/>
        <w:numPr>
          <w:ilvl w:val="0"/>
          <w:numId w:val="3"/>
        </w:numPr>
        <w:spacing w:after="60" w:before="60"/>
      </w:pPr>
      <w:r>
        <w:rPr>
          <w:rFonts w:ascii="Arial" w:cs="Arial" w:eastAsia="Arial" w:hAnsi="Arial"/>
          <w:color w:val="222222"/>
          <w:sz w:val="22"/>
          <w:szCs w:val="22"/>
        </w:rPr>
        <w:t xml:space="preserve">Consultation des documents RFQ (lecture seule, traçabilité des téléchargements)</w:t>
      </w:r>
    </w:p>
    <w:p>
      <w:pPr>
        <w:pStyle w:val="ListParagraph"/>
        <w:numPr>
          <w:ilvl w:val="0"/>
          <w:numId w:val="3"/>
        </w:numPr>
        <w:spacing w:after="60" w:before="60"/>
      </w:pPr>
      <w:r>
        <w:rPr>
          <w:rFonts w:ascii="Arial" w:cs="Arial" w:eastAsia="Arial" w:hAnsi="Arial"/>
          <w:color w:val="222222"/>
          <w:sz w:val="22"/>
          <w:szCs w:val="22"/>
        </w:rPr>
        <w:t xml:space="preserve">Dépôt de l'offre via module Dépôt Sécurisé (DMZ)</w:t>
      </w:r>
    </w:p>
    <w:p>
      <w:pPr>
        <w:pStyle w:val="ListParagraph"/>
        <w:numPr>
          <w:ilvl w:val="0"/>
          <w:numId w:val="3"/>
        </w:numPr>
        <w:spacing w:after="60" w:before="60"/>
      </w:pPr>
      <w:r>
        <w:rPr>
          <w:rFonts w:ascii="Arial" w:cs="Arial" w:eastAsia="Arial" w:hAnsi="Arial"/>
          <w:color w:val="222222"/>
          <w:sz w:val="22"/>
          <w:szCs w:val="22"/>
        </w:rPr>
        <w:t xml:space="preserve">Confirmation de dépôt : horodatage, identifiant, statut "Offre déposée"</w:t>
      </w:r>
    </w:p>
    <w:p>
      <w:pPr>
        <w:pStyle w:val="ListParagraph"/>
        <w:numPr>
          <w:ilvl w:val="0"/>
          <w:numId w:val="3"/>
        </w:numPr>
        <w:spacing w:after="60" w:before="60"/>
      </w:pPr>
      <w:r>
        <w:rPr>
          <w:rFonts w:ascii="Arial" w:cs="Arial" w:eastAsia="Arial" w:hAnsi="Arial"/>
          <w:color w:val="222222"/>
          <w:sz w:val="22"/>
          <w:szCs w:val="22"/>
        </w:rPr>
        <w:t xml:space="preserve">Module de communication post-décision (ticketing structuré)</w:t>
      </w:r>
    </w:p>
    <w:p>
      <w:pPr>
        <w:pStyle w:val="Heading3"/>
        <w:spacing w:after="100" w:before="220"/>
      </w:pPr>
      <w:r>
        <w:rPr>
          <w:rFonts w:ascii="Arial" w:cs="Arial" w:eastAsia="Arial" w:hAnsi="Arial"/>
          <w:b/>
          <w:bCs/>
          <w:color w:val="2E75B6"/>
          <w:sz w:val="24"/>
          <w:szCs w:val="24"/>
        </w:rPr>
        <w:t xml:space="preserve">Architecture DMZ</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500"/>
      </w:tblGrid>
      <w:tr>
        <w:trPr>
          <w:tblHeader/>
        </w:trPr>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Composant DMZ</w:t>
            </w:r>
          </w:p>
        </w:tc>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Technologie</w:t>
            </w:r>
          </w:p>
        </w:tc>
        <w:tc>
          <w:tcPr>
            <w:tcW w:type="dxa" w:w="3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Reverse Proxy / WAF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Nginx + ModSecurity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Filtrage et protection périmétrique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Portail Web Fournisseur</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React / Vue + API REST</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Interface utilisateur fournisseur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Auth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OAuth2 / OpenID Connect on-prem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Authentification fournisseur</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Session Store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Redis chiffré</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Gestion des sessions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Storage DMZ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MinIO / NAS chiffré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Stockage offres en quarantaine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Mail Gateway</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SMTP sécurisé on-prem</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Envoi des invitations et notifications</w:t>
            </w:r>
          </w:p>
        </w:tc>
      </w:tr>
    </w:tbl>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7 — Dépôt Sécurisé des Offres Fournisseurs</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Permettre aux fournisseurs de déposer leurs offres sous différents formats autorisés (PDF, CSV, JPEG, PNG, etc.) avec une protection totale du réseau interne, une intégrité juridique du document soumis et une conformité totale aux exigences réglementaires.</w:t>
      </w:r>
    </w:p>
    <w:p>
      <w:pPr>
        <w:pStyle w:val="Heading3"/>
        <w:spacing w:after="100" w:before="220"/>
      </w:pPr>
      <w:r>
        <w:rPr>
          <w:rFonts w:ascii="Arial" w:cs="Arial" w:eastAsia="Arial" w:hAnsi="Arial"/>
          <w:b/>
          <w:bCs/>
          <w:color w:val="2E75B6"/>
          <w:sz w:val="24"/>
          <w:szCs w:val="24"/>
        </w:rPr>
        <w:t xml:space="preserve">Flux de Traitement des Offres</w:t>
      </w:r>
    </w:p>
    <w:p>
      <w:pPr>
        <w:pStyle w:val="ListParagraph"/>
        <w:numPr>
          <w:ilvl w:val="0"/>
          <w:numId w:val="3"/>
        </w:numPr>
        <w:spacing w:after="60" w:before="60"/>
      </w:pPr>
      <w:r>
        <w:rPr>
          <w:rFonts w:ascii="Arial" w:cs="Arial" w:eastAsia="Arial" w:hAnsi="Arial"/>
          <w:color w:val="222222"/>
          <w:sz w:val="22"/>
          <w:szCs w:val="22"/>
        </w:rPr>
        <w:t xml:space="preserve">Dépôt sécurisé via HTTPS TLS 1.3 + mTLS — vérification extension, MIME type, magic bytes, conformité RFQ</w:t>
      </w:r>
    </w:p>
    <w:p>
      <w:pPr>
        <w:pStyle w:val="ListParagraph"/>
        <w:numPr>
          <w:ilvl w:val="0"/>
          <w:numId w:val="3"/>
        </w:numPr>
        <w:spacing w:after="60" w:before="60"/>
      </w:pPr>
      <w:r>
        <w:rPr>
          <w:rFonts w:ascii="Arial" w:cs="Arial" w:eastAsia="Arial" w:hAnsi="Arial"/>
          <w:color w:val="222222"/>
          <w:sz w:val="22"/>
          <w:szCs w:val="22"/>
        </w:rPr>
        <w:t xml:space="preserve">Détection et classification du type réel de fichier (indépendamment de l'extension)</w:t>
      </w:r>
    </w:p>
    <w:p>
      <w:pPr>
        <w:pStyle w:val="ListParagraph"/>
        <w:numPr>
          <w:ilvl w:val="0"/>
          <w:numId w:val="3"/>
        </w:numPr>
        <w:spacing w:after="60" w:before="60"/>
      </w:pPr>
      <w:r>
        <w:rPr>
          <w:rFonts w:ascii="Arial" w:cs="Arial" w:eastAsia="Arial" w:hAnsi="Arial"/>
          <w:color w:val="222222"/>
          <w:sz w:val="22"/>
          <w:szCs w:val="22"/>
        </w:rPr>
        <w:t xml:space="preserve">Stockage en quarantaine chiffrée (DMZ) — aucune exposition vers le LAN</w:t>
      </w:r>
    </w:p>
    <w:p>
      <w:pPr>
        <w:pStyle w:val="ListParagraph"/>
        <w:numPr>
          <w:ilvl w:val="0"/>
          <w:numId w:val="3"/>
        </w:numPr>
        <w:spacing w:after="60" w:before="60"/>
      </w:pPr>
      <w:r>
        <w:rPr>
          <w:rFonts w:ascii="Arial" w:cs="Arial" w:eastAsia="Arial" w:hAnsi="Arial"/>
          <w:color w:val="222222"/>
          <w:sz w:val="22"/>
          <w:szCs w:val="22"/>
        </w:rPr>
        <w:t xml:space="preserve">Analyse statique : PDF (scripts, objets actifs), CSV (injections), images (métadonnées, payloads)</w:t>
      </w:r>
    </w:p>
    <w:p>
      <w:pPr>
        <w:pStyle w:val="ListParagraph"/>
        <w:numPr>
          <w:ilvl w:val="0"/>
          <w:numId w:val="3"/>
        </w:numPr>
        <w:spacing w:after="60" w:before="60"/>
      </w:pPr>
      <w:r>
        <w:rPr>
          <w:rFonts w:ascii="Arial" w:cs="Arial" w:eastAsia="Arial" w:hAnsi="Arial"/>
          <w:color w:val="222222"/>
          <w:sz w:val="22"/>
          <w:szCs w:val="22"/>
        </w:rPr>
        <w:t xml:space="preserve">Scan antivirus multi-moteur : ClamAV + moteur commercial (résultat : CLEAN / SUSPICIOUS / MALICIOUS)</w:t>
      </w:r>
    </w:p>
    <w:p>
      <w:pPr>
        <w:pStyle w:val="ListParagraph"/>
        <w:numPr>
          <w:ilvl w:val="0"/>
          <w:numId w:val="3"/>
        </w:numPr>
        <w:spacing w:after="60" w:before="60"/>
      </w:pPr>
      <w:r>
        <w:rPr>
          <w:rFonts w:ascii="Arial" w:cs="Arial" w:eastAsia="Arial" w:hAnsi="Arial"/>
          <w:color w:val="222222"/>
          <w:sz w:val="22"/>
          <w:szCs w:val="22"/>
        </w:rPr>
        <w:t xml:space="preserve">Analyse dynamique en sandbox : exécution contrôlée dans VM isolée, surveillance comportementale, destruction de l'environnement après analyse</w:t>
      </w:r>
    </w:p>
    <w:p>
      <w:pPr>
        <w:pStyle w:val="ListParagraph"/>
        <w:numPr>
          <w:ilvl w:val="0"/>
          <w:numId w:val="3"/>
        </w:numPr>
        <w:spacing w:after="60" w:before="60"/>
      </w:pPr>
      <w:r>
        <w:rPr>
          <w:rFonts w:ascii="Arial" w:cs="Arial" w:eastAsia="Arial" w:hAnsi="Arial"/>
          <w:color w:val="222222"/>
          <w:sz w:val="22"/>
          <w:szCs w:val="22"/>
        </w:rPr>
        <w:t xml:space="preserve">Décision de sécurité : CLEAN → scellage, SUSPICIOUS → revue sécurité, MALICIOUS → isolement + alerte SOC</w:t>
      </w:r>
    </w:p>
    <w:p>
      <w:pPr>
        <w:pStyle w:val="ListParagraph"/>
        <w:numPr>
          <w:ilvl w:val="0"/>
          <w:numId w:val="3"/>
        </w:numPr>
        <w:spacing w:after="60" w:before="60"/>
      </w:pPr>
      <w:r>
        <w:rPr>
          <w:rFonts w:ascii="Arial" w:cs="Arial" w:eastAsia="Arial" w:hAnsi="Arial"/>
          <w:color w:val="222222"/>
          <w:sz w:val="22"/>
          <w:szCs w:val="22"/>
        </w:rPr>
        <w:t xml:space="preserve">Scellage : SHA-256 + signature HSM + horodatage RFC 3161</w:t>
      </w:r>
    </w:p>
    <w:p>
      <w:pPr>
        <w:pStyle w:val="ListParagraph"/>
        <w:numPr>
          <w:ilvl w:val="0"/>
          <w:numId w:val="3"/>
        </w:numPr>
        <w:spacing w:after="60" w:before="60"/>
      </w:pPr>
      <w:r>
        <w:rPr>
          <w:rFonts w:ascii="Arial" w:cs="Arial" w:eastAsia="Arial" w:hAnsi="Arial"/>
          <w:color w:val="222222"/>
          <w:sz w:val="22"/>
          <w:szCs w:val="22"/>
        </w:rPr>
        <w:t xml:space="preserve">Archivage WORM immuable</w:t>
      </w:r>
    </w:p>
    <w:p>
      <w:pPr>
        <w:pStyle w:val="ListParagraph"/>
        <w:numPr>
          <w:ilvl w:val="0"/>
          <w:numId w:val="3"/>
        </w:numPr>
        <w:spacing w:after="60" w:before="60"/>
      </w:pPr>
      <w:r>
        <w:rPr>
          <w:rFonts w:ascii="Arial" w:cs="Arial" w:eastAsia="Arial" w:hAnsi="Arial"/>
          <w:color w:val="222222"/>
          <w:sz w:val="22"/>
          <w:szCs w:val="22"/>
        </w:rPr>
        <w:t xml:space="preserve">Transfert sécurisé vers LAN (Pull Only) avec vérification intégrité</w:t>
      </w:r>
    </w:p>
    <w:p>
      <w:pPr>
        <w:pStyle w:val="ListParagraph"/>
        <w:numPr>
          <w:ilvl w:val="0"/>
          <w:numId w:val="3"/>
        </w:numPr>
        <w:spacing w:after="60" w:before="60"/>
      </w:pPr>
      <w:r>
        <w:rPr>
          <w:rFonts w:ascii="Arial" w:cs="Arial" w:eastAsia="Arial" w:hAnsi="Arial"/>
          <w:color w:val="222222"/>
          <w:sz w:val="22"/>
          <w:szCs w:val="22"/>
        </w:rPr>
        <w:t xml:space="preserve">Accusé de réception signé au fournisseur (hash + timestamp + identifiant)</w:t>
      </w:r>
    </w:p>
    <w:p>
      <w:pPr>
        <w:pStyle w:val="Heading3"/>
        <w:spacing w:after="100" w:before="220"/>
      </w:pPr>
      <w:r>
        <w:rPr>
          <w:rFonts w:ascii="Arial" w:cs="Arial" w:eastAsia="Arial" w:hAnsi="Arial"/>
          <w:b/>
          <w:bCs/>
          <w:color w:val="2E75B6"/>
          <w:sz w:val="24"/>
          <w:szCs w:val="24"/>
        </w:rPr>
        <w:t xml:space="preserve">Composants Clés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500"/>
      </w:tblGrid>
      <w:tr>
        <w:trPr>
          <w:tblHeader/>
        </w:trPr>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Composant</w:t>
            </w:r>
          </w:p>
        </w:tc>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Technologie</w:t>
            </w:r>
          </w:p>
        </w:tc>
        <w:tc>
          <w:tcPr>
            <w:tcW w:type="dxa" w:w="3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Upload API sécurisée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REST HTTPS + mTLS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Réception des fichiers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File Type Detection</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libmagic / magic bytes</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Identification du type réel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Quarantine Storage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MinIO ou NAS chiffré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Isolation avant analyse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Antivirus</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ClamAV + moteur commercial</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Scan multi-moteur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Sandbox dynamique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VM isolée (Cuckoo / équivalent)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Analyse comportementale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PKI &amp; HSM</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EJBCA + YubiHSM / Thales</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Signature et horodatage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WORM Storage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NAS WORM / S3 avec Object Lock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Archivage immuable</w:t>
            </w:r>
          </w:p>
        </w:tc>
      </w:tr>
    </w:tbl>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8 — Horodatage &amp; Preuve Légale</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Garantir la valeur probante de chaque opération dans Procura en assurant un horodatage fiable, une preuve d'intégrité des documents et une non-répudiation conforme aux exigences réglementaires.</w:t>
      </w:r>
    </w:p>
    <w:p>
      <w:pPr>
        <w:pStyle w:val="Heading3"/>
        <w:spacing w:after="100" w:before="220"/>
      </w:pPr>
      <w:r>
        <w:rPr>
          <w:rFonts w:ascii="Arial" w:cs="Arial" w:eastAsia="Arial" w:hAnsi="Arial"/>
          <w:b/>
          <w:bCs/>
          <w:color w:val="2E75B6"/>
          <w:sz w:val="24"/>
          <w:szCs w:val="24"/>
        </w:rPr>
        <w:t xml:space="preserve">Flux de Génération des Preuves</w:t>
      </w:r>
    </w:p>
    <w:p>
      <w:pPr>
        <w:pStyle w:val="ListParagraph"/>
        <w:numPr>
          <w:ilvl w:val="0"/>
          <w:numId w:val="3"/>
        </w:numPr>
        <w:spacing w:after="60" w:before="60"/>
      </w:pPr>
      <w:r>
        <w:rPr>
          <w:rFonts w:ascii="Arial" w:cs="Arial" w:eastAsia="Arial" w:hAnsi="Arial"/>
          <w:color w:val="222222"/>
          <w:sz w:val="22"/>
          <w:szCs w:val="22"/>
        </w:rPr>
        <w:t xml:space="preserve">Réception d'un événement critique (dépôt fournisseur, validation RFQ, ouverture des plis, PV, export)</w:t>
      </w:r>
    </w:p>
    <w:p>
      <w:pPr>
        <w:pStyle w:val="ListParagraph"/>
        <w:numPr>
          <w:ilvl w:val="0"/>
          <w:numId w:val="3"/>
        </w:numPr>
        <w:spacing w:after="60" w:before="60"/>
      </w:pPr>
      <w:r>
        <w:rPr>
          <w:rFonts w:ascii="Arial" w:cs="Arial" w:eastAsia="Arial" w:hAnsi="Arial"/>
          <w:color w:val="222222"/>
          <w:sz w:val="22"/>
          <w:szCs w:val="22"/>
        </w:rPr>
        <w:t xml:space="preserve">Calcul d'empreinte SHA-256 du document + génération UUID</w:t>
      </w:r>
    </w:p>
    <w:p>
      <w:pPr>
        <w:pStyle w:val="ListParagraph"/>
        <w:numPr>
          <w:ilvl w:val="0"/>
          <w:numId w:val="3"/>
        </w:numPr>
        <w:spacing w:after="60" w:before="60"/>
      </w:pPr>
      <w:r>
        <w:rPr>
          <w:rFonts w:ascii="Arial" w:cs="Arial" w:eastAsia="Arial" w:hAnsi="Arial"/>
          <w:color w:val="222222"/>
          <w:sz w:val="22"/>
          <w:szCs w:val="22"/>
        </w:rPr>
        <w:t xml:space="preserve">Horodatage RFC 3161 synchronisé via NTP (précision milliseconde)</w:t>
      </w:r>
    </w:p>
    <w:p>
      <w:pPr>
        <w:pStyle w:val="ListParagraph"/>
        <w:numPr>
          <w:ilvl w:val="0"/>
          <w:numId w:val="3"/>
        </w:numPr>
        <w:spacing w:after="60" w:before="60"/>
      </w:pPr>
      <w:r>
        <w:rPr>
          <w:rFonts w:ascii="Arial" w:cs="Arial" w:eastAsia="Arial" w:hAnsi="Arial"/>
          <w:color w:val="222222"/>
          <w:sz w:val="22"/>
          <w:szCs w:val="22"/>
        </w:rPr>
        <w:t xml:space="preserve">Signature via PKI / HSM avec association du certificat</w:t>
      </w:r>
    </w:p>
    <w:p>
      <w:pPr>
        <w:pStyle w:val="ListParagraph"/>
        <w:numPr>
          <w:ilvl w:val="0"/>
          <w:numId w:val="3"/>
        </w:numPr>
        <w:spacing w:after="60" w:before="60"/>
      </w:pPr>
      <w:r>
        <w:rPr>
          <w:rFonts w:ascii="Arial" w:cs="Arial" w:eastAsia="Arial" w:hAnsi="Arial"/>
          <w:color w:val="222222"/>
          <w:sz w:val="22"/>
          <w:szCs w:val="22"/>
        </w:rPr>
        <w:t xml:space="preserve">Génération d'une preuve complète : UUID, hash, timestamp, signature, identifiant document</w:t>
      </w:r>
    </w:p>
    <w:p>
      <w:pPr>
        <w:pStyle w:val="ListParagraph"/>
        <w:numPr>
          <w:ilvl w:val="0"/>
          <w:numId w:val="3"/>
        </w:numPr>
        <w:spacing w:after="60" w:before="60"/>
      </w:pPr>
      <w:r>
        <w:rPr>
          <w:rFonts w:ascii="Arial" w:cs="Arial" w:eastAsia="Arial" w:hAnsi="Arial"/>
          <w:color w:val="222222"/>
          <w:sz w:val="22"/>
          <w:szCs w:val="22"/>
        </w:rPr>
        <w:t xml:space="preserve">Archivage WORM de la preuve</w:t>
      </w:r>
    </w:p>
    <w:p>
      <w:pPr>
        <w:pStyle w:val="ListParagraph"/>
        <w:numPr>
          <w:ilvl w:val="0"/>
          <w:numId w:val="3"/>
        </w:numPr>
        <w:spacing w:after="60" w:before="60"/>
      </w:pPr>
      <w:r>
        <w:rPr>
          <w:rFonts w:ascii="Arial" w:cs="Arial" w:eastAsia="Arial" w:hAnsi="Arial"/>
          <w:color w:val="222222"/>
          <w:sz w:val="22"/>
          <w:szCs w:val="22"/>
        </w:rPr>
        <w:t xml:space="preserve">Consultation possible par les modules autorisés : vérification intégrité, authenticité, date</w:t>
      </w:r>
    </w:p>
    <w:p>
      <w:pPr>
        <w:pStyle w:val="Heading3"/>
        <w:spacing w:after="100" w:before="220"/>
      </w:pPr>
      <w:r>
        <w:rPr>
          <w:rFonts w:ascii="Arial" w:cs="Arial" w:eastAsia="Arial" w:hAnsi="Arial"/>
          <w:b/>
          <w:bCs/>
          <w:color w:val="2E75B6"/>
          <w:sz w:val="24"/>
          <w:szCs w:val="24"/>
        </w:rPr>
        <w:t xml:space="preserve">Infrastructure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rPr>
          <w:tblHeader/>
        </w:trPr>
        <w:tc>
          <w:tcPr>
            <w:tcW w:type="dxa" w:w="3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Composant</w:t>
            </w:r>
          </w:p>
        </w:tc>
        <w:tc>
          <w:tcPr>
            <w:tcW w:type="dxa" w:w="5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HSM (Hardware Security Module)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Signature numérique sécurisée des preuves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PKI interne</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Gestion des certificats de signature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RFC 3161 Timestamp Server</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Horodatage légal certifié</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NTP sécurisé</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Synchronisation temporelle précise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SHA-256 Engine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Calcul des empreintes cryptographiques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WORM Storage</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Archivage immuable des preuves</w:t>
            </w:r>
          </w:p>
        </w:tc>
      </w:tr>
    </w:tbl>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9 — Gestion des Deadlines &amp; Verrouillage</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Piloter automatiquement toutes les échéances des consultations afin de garantir le respect strict des délais, d'empêcher toute modification après expiration et d'assurer une équité parfaite entre les fournisseurs.</w:t>
      </w:r>
    </w:p>
    <w:p>
      <w:pPr>
        <w:pStyle w:val="Heading3"/>
        <w:spacing w:after="100" w:before="220"/>
      </w:pPr>
      <w:r>
        <w:rPr>
          <w:rFonts w:ascii="Arial" w:cs="Arial" w:eastAsia="Arial" w:hAnsi="Arial"/>
          <w:b/>
          <w:bCs/>
          <w:color w:val="2E75B6"/>
          <w:sz w:val="24"/>
          <w:szCs w:val="24"/>
        </w:rPr>
        <w:t xml:space="preserve">Flux</w:t>
      </w:r>
    </w:p>
    <w:p>
      <w:pPr>
        <w:pStyle w:val="ListParagraph"/>
        <w:numPr>
          <w:ilvl w:val="0"/>
          <w:numId w:val="3"/>
        </w:numPr>
        <w:spacing w:after="60" w:before="60"/>
      </w:pPr>
      <w:r>
        <w:rPr>
          <w:rFonts w:ascii="Arial" w:cs="Arial" w:eastAsia="Arial" w:hAnsi="Arial"/>
          <w:color w:val="222222"/>
          <w:sz w:val="22"/>
          <w:szCs w:val="22"/>
        </w:rPr>
        <w:t xml:space="preserve">Création des échéances lors de la publication de la RFQ (début, fin, fuseau horaire)</w:t>
      </w:r>
    </w:p>
    <w:p>
      <w:pPr>
        <w:pStyle w:val="ListParagraph"/>
        <w:numPr>
          <w:ilvl w:val="0"/>
          <w:numId w:val="3"/>
        </w:numPr>
        <w:spacing w:after="60" w:before="60"/>
      </w:pPr>
      <w:r>
        <w:rPr>
          <w:rFonts w:ascii="Arial" w:cs="Arial" w:eastAsia="Arial" w:hAnsi="Arial"/>
          <w:color w:val="222222"/>
          <w:sz w:val="22"/>
          <w:szCs w:val="22"/>
        </w:rPr>
        <w:t xml:space="preserve">Activation automatique du timer à la publication</w:t>
      </w:r>
    </w:p>
    <w:p>
      <w:pPr>
        <w:pStyle w:val="ListParagraph"/>
        <w:numPr>
          <w:ilvl w:val="0"/>
          <w:numId w:val="3"/>
        </w:numPr>
        <w:spacing w:after="60" w:before="60"/>
      </w:pPr>
      <w:r>
        <w:rPr>
          <w:rFonts w:ascii="Arial" w:cs="Arial" w:eastAsia="Arial" w:hAnsi="Arial"/>
          <w:color w:val="222222"/>
          <w:sz w:val="22"/>
          <w:szCs w:val="22"/>
        </w:rPr>
        <w:t xml:space="preserve">Suivi en temps réel : calcul permanent du temps restant, alertes automatiques</w:t>
      </w:r>
    </w:p>
    <w:p>
      <w:pPr>
        <w:pStyle w:val="ListParagraph"/>
        <w:numPr>
          <w:ilvl w:val="0"/>
          <w:numId w:val="3"/>
        </w:numPr>
        <w:spacing w:after="60" w:before="60"/>
      </w:pPr>
      <w:r>
        <w:rPr>
          <w:rFonts w:ascii="Arial" w:cs="Arial" w:eastAsia="Arial" w:hAnsi="Arial"/>
          <w:color w:val="222222"/>
          <w:sz w:val="22"/>
          <w:szCs w:val="22"/>
        </w:rPr>
        <w:t xml:space="preserve">À expiration : verrouillage immédiat du portail, arrêt des uploads et des modifications</w:t>
      </w:r>
    </w:p>
    <w:p>
      <w:pPr>
        <w:pStyle w:val="ListParagraph"/>
        <w:numPr>
          <w:ilvl w:val="0"/>
          <w:numId w:val="3"/>
        </w:numPr>
        <w:spacing w:after="60" w:before="60"/>
      </w:pPr>
      <w:r>
        <w:rPr>
          <w:rFonts w:ascii="Arial" w:cs="Arial" w:eastAsia="Arial" w:hAnsi="Arial"/>
          <w:color w:val="222222"/>
          <w:sz w:val="22"/>
          <w:szCs w:val="22"/>
        </w:rPr>
        <w:t xml:space="preserve">Gestion des exceptions : prolongation ou annulation possible uniquement par administrateur autorisé avec journalisation</w:t>
      </w:r>
    </w:p>
    <w:p>
      <w:pPr>
        <w:pStyle w:val="Heading3"/>
        <w:spacing w:after="100" w:before="220"/>
      </w:pPr>
      <w:r>
        <w:rPr>
          <w:rFonts w:ascii="Arial" w:cs="Arial" w:eastAsia="Arial" w:hAnsi="Arial"/>
          <w:b/>
          <w:bCs/>
          <w:color w:val="2E75B6"/>
          <w:sz w:val="24"/>
          <w:szCs w:val="24"/>
        </w:rPr>
        <w:t xml:space="preserve">Contrôles</w:t>
      </w:r>
    </w:p>
    <w:p>
      <w:pPr>
        <w:pStyle w:val="ListParagraph"/>
        <w:numPr>
          <w:ilvl w:val="0"/>
          <w:numId w:val="2"/>
        </w:numPr>
        <w:spacing w:after="60" w:before="60"/>
      </w:pPr>
      <w:r>
        <w:rPr>
          <w:rFonts w:ascii="Arial" w:cs="Arial" w:eastAsia="Arial" w:hAnsi="Arial"/>
          <w:color w:val="222222"/>
          <w:sz w:val="22"/>
          <w:szCs w:val="22"/>
        </w:rPr>
        <w:t xml:space="preserve">Horloge synchronisée via NTP — validation serveur uniquement (pas de confiance client)</w:t>
      </w:r>
    </w:p>
    <w:p>
      <w:pPr>
        <w:pStyle w:val="ListParagraph"/>
        <w:numPr>
          <w:ilvl w:val="0"/>
          <w:numId w:val="2"/>
        </w:numPr>
        <w:spacing w:after="60" w:before="60"/>
      </w:pPr>
      <w:r>
        <w:rPr>
          <w:rFonts w:ascii="Arial" w:cs="Arial" w:eastAsia="Arial" w:hAnsi="Arial"/>
          <w:color w:val="222222"/>
          <w:sz w:val="22"/>
          <w:szCs w:val="22"/>
        </w:rPr>
        <w:t xml:space="preserve">Verrouillage automatique sans intervention humaine</w:t>
      </w:r>
    </w:p>
    <w:p>
      <w:pPr>
        <w:pStyle w:val="ListParagraph"/>
        <w:numPr>
          <w:ilvl w:val="0"/>
          <w:numId w:val="2"/>
        </w:numPr>
        <w:spacing w:after="60" w:before="60"/>
      </w:pPr>
      <w:r>
        <w:rPr>
          <w:rFonts w:ascii="Arial" w:cs="Arial" w:eastAsia="Arial" w:hAnsi="Arial"/>
          <w:color w:val="222222"/>
          <w:sz w:val="22"/>
          <w:szCs w:val="22"/>
        </w:rPr>
        <w:t xml:space="preserve">Aucun dépôt tardif accepté — rejet automatique après deadline</w:t>
      </w:r>
    </w:p>
    <w:p>
      <w:pPr>
        <w:pStyle w:val="ListParagraph"/>
        <w:numPr>
          <w:ilvl w:val="0"/>
          <w:numId w:val="2"/>
        </w:numPr>
        <w:spacing w:after="60" w:before="60"/>
      </w:pPr>
      <w:r>
        <w:rPr>
          <w:rFonts w:ascii="Arial" w:cs="Arial" w:eastAsia="Arial" w:hAnsi="Arial"/>
          <w:color w:val="222222"/>
          <w:sz w:val="22"/>
          <w:szCs w:val="22"/>
        </w:rPr>
        <w:t xml:space="preserve">Toute modification d'une échéance publiée est journalisée et traçable</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10 — Audit &amp; Traçabilité</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Garantir une traçabilité exhaustive et inviolable de l'ensemble des opérations réalisées dans Procura afin de répondre aux exigences d'audit, de conformité et de gouvernance.</w:t>
      </w:r>
    </w:p>
    <w:p>
      <w:pPr>
        <w:pStyle w:val="Heading3"/>
        <w:spacing w:after="100" w:before="220"/>
      </w:pPr>
      <w:r>
        <w:rPr>
          <w:rFonts w:ascii="Arial" w:cs="Arial" w:eastAsia="Arial" w:hAnsi="Arial"/>
          <w:b/>
          <w:bCs/>
          <w:color w:val="2E75B6"/>
          <w:sz w:val="24"/>
          <w:szCs w:val="24"/>
        </w:rPr>
        <w:t xml:space="preserve">Flux d'Audit</w:t>
      </w:r>
    </w:p>
    <w:p>
      <w:pPr>
        <w:pStyle w:val="ListParagraph"/>
        <w:numPr>
          <w:ilvl w:val="0"/>
          <w:numId w:val="3"/>
        </w:numPr>
        <w:spacing w:after="60" w:before="60"/>
      </w:pPr>
      <w:r>
        <w:rPr>
          <w:rFonts w:ascii="Arial" w:cs="Arial" w:eastAsia="Arial" w:hAnsi="Arial"/>
          <w:color w:val="222222"/>
          <w:sz w:val="22"/>
          <w:szCs w:val="22"/>
        </w:rPr>
        <w:t xml:space="preserve">Chaque action métier génère automatiquement un événement d'audit</w:t>
      </w:r>
    </w:p>
    <w:p>
      <w:pPr>
        <w:pStyle w:val="ListParagraph"/>
        <w:numPr>
          <w:ilvl w:val="0"/>
          <w:numId w:val="3"/>
        </w:numPr>
        <w:spacing w:after="60" w:before="60"/>
      </w:pPr>
      <w:r>
        <w:rPr>
          <w:rFonts w:ascii="Arial" w:cs="Arial" w:eastAsia="Arial" w:hAnsi="Arial"/>
          <w:color w:val="222222"/>
          <w:sz w:val="22"/>
          <w:szCs w:val="22"/>
        </w:rPr>
        <w:t xml:space="preserve">Collecte : utilisateur, action, module, date, IP, session</w:t>
      </w:r>
    </w:p>
    <w:p>
      <w:pPr>
        <w:pStyle w:val="ListParagraph"/>
        <w:numPr>
          <w:ilvl w:val="0"/>
          <w:numId w:val="3"/>
        </w:numPr>
        <w:spacing w:after="60" w:before="60"/>
      </w:pPr>
      <w:r>
        <w:rPr>
          <w:rFonts w:ascii="Arial" w:cs="Arial" w:eastAsia="Arial" w:hAnsi="Arial"/>
          <w:color w:val="222222"/>
          <w:sz w:val="22"/>
          <w:szCs w:val="22"/>
        </w:rPr>
        <w:t xml:space="preserve">Signature des logs (hash)</w:t>
      </w:r>
    </w:p>
    <w:p>
      <w:pPr>
        <w:pStyle w:val="ListParagraph"/>
        <w:numPr>
          <w:ilvl w:val="0"/>
          <w:numId w:val="3"/>
        </w:numPr>
        <w:spacing w:after="60" w:before="60"/>
      </w:pPr>
      <w:r>
        <w:rPr>
          <w:rFonts w:ascii="Arial" w:cs="Arial" w:eastAsia="Arial" w:hAnsi="Arial"/>
          <w:color w:val="222222"/>
          <w:sz w:val="22"/>
          <w:szCs w:val="22"/>
        </w:rPr>
        <w:t xml:space="preserve">Archivage sécurisé immuable</w:t>
      </w:r>
    </w:p>
    <w:p>
      <w:pPr>
        <w:pStyle w:val="ListParagraph"/>
        <w:numPr>
          <w:ilvl w:val="0"/>
          <w:numId w:val="3"/>
        </w:numPr>
        <w:spacing w:after="60" w:before="60"/>
      </w:pPr>
      <w:r>
        <w:rPr>
          <w:rFonts w:ascii="Arial" w:cs="Arial" w:eastAsia="Arial" w:hAnsi="Arial"/>
          <w:color w:val="222222"/>
          <w:sz w:val="22"/>
          <w:szCs w:val="22"/>
        </w:rPr>
        <w:t xml:space="preserve">Consultation multi-critères : utilisateur, RFQ, fournisseur, période, module</w:t>
      </w:r>
    </w:p>
    <w:p>
      <w:pPr>
        <w:pStyle w:val="ListParagraph"/>
        <w:numPr>
          <w:ilvl w:val="0"/>
          <w:numId w:val="3"/>
        </w:numPr>
        <w:spacing w:after="60" w:before="60"/>
      </w:pPr>
      <w:r>
        <w:rPr>
          <w:rFonts w:ascii="Arial" w:cs="Arial" w:eastAsia="Arial" w:hAnsi="Arial"/>
          <w:color w:val="222222"/>
          <w:sz w:val="22"/>
          <w:szCs w:val="22"/>
        </w:rPr>
        <w:t xml:space="preserve">Export des journaux d'audit en PDF, CSV, JSON</w:t>
      </w:r>
    </w:p>
    <w:p>
      <w:pPr>
        <w:pStyle w:val="Heading3"/>
        <w:spacing w:after="100" w:before="220"/>
      </w:pPr>
      <w:r>
        <w:rPr>
          <w:rFonts w:ascii="Arial" w:cs="Arial" w:eastAsia="Arial" w:hAnsi="Arial"/>
          <w:b/>
          <w:bCs/>
          <w:color w:val="2E75B6"/>
          <w:sz w:val="24"/>
          <w:szCs w:val="24"/>
        </w:rPr>
        <w:t xml:space="preserve">Composants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rPr>
          <w:tblHeader/>
        </w:trPr>
        <w:tc>
          <w:tcPr>
            <w:tcW w:type="dxa" w:w="3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Composant</w:t>
            </w:r>
          </w:p>
        </w:tc>
        <w:tc>
          <w:tcPr>
            <w:tcW w:type="dxa" w:w="5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Audit Engine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Collecte et traitement des événements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Log Aggregator</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Centralisation des journaux de tous les modules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Elasticsearch / OpenSearch</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Indexation et recherche des journaux</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Wazuh</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Détection d'anomalies et alertes SIEM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Kibana</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Visualisation et tableaux de bord d'audit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WORM Storage</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Conservation immuable des journaux</w:t>
            </w:r>
          </w:p>
        </w:tc>
      </w:tr>
    </w:tbl>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11 — Ouverture des Plis Numérique</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Permettre à la Commission d'Ouverture des Plis de procéder à l'ouverture officielle des offres déposées dans Procura, en respectant strictement les procédures existantes. Le module ne remplace pas la commission physique ; il fournit un environnement numérique sécurisé pour l'ouverture simultanée et la journalisation complète.</w:t>
      </w:r>
    </w:p>
    <w:p>
      <w:pPr>
        <w:pStyle w:val="Heading3"/>
        <w:spacing w:after="100" w:before="220"/>
      </w:pPr>
      <w:r>
        <w:rPr>
          <w:rFonts w:ascii="Arial" w:cs="Arial" w:eastAsia="Arial" w:hAnsi="Arial"/>
          <w:b/>
          <w:bCs/>
          <w:color w:val="2E75B6"/>
          <w:sz w:val="24"/>
          <w:szCs w:val="24"/>
        </w:rPr>
        <w:t xml:space="preserve">Flux d'Ouverture</w:t>
      </w:r>
    </w:p>
    <w:p>
      <w:pPr>
        <w:pStyle w:val="ListParagraph"/>
        <w:numPr>
          <w:ilvl w:val="0"/>
          <w:numId w:val="3"/>
        </w:numPr>
        <w:spacing w:after="60" w:before="60"/>
      </w:pPr>
      <w:r>
        <w:rPr>
          <w:rFonts w:ascii="Arial" w:cs="Arial" w:eastAsia="Arial" w:hAnsi="Arial"/>
          <w:color w:val="222222"/>
          <w:sz w:val="22"/>
          <w:szCs w:val="22"/>
        </w:rPr>
        <w:t xml:space="preserve">Vérification automatique des conditions d'ouverture (date limite dépassée, état RFQ, absence de prolongation active)</w:t>
      </w:r>
    </w:p>
    <w:p>
      <w:pPr>
        <w:pStyle w:val="ListParagraph"/>
        <w:numPr>
          <w:ilvl w:val="0"/>
          <w:numId w:val="3"/>
        </w:numPr>
        <w:spacing w:after="60" w:before="60"/>
      </w:pPr>
      <w:r>
        <w:rPr>
          <w:rFonts w:ascii="Arial" w:cs="Arial" w:eastAsia="Arial" w:hAnsi="Arial"/>
          <w:color w:val="222222"/>
          <w:sz w:val="22"/>
          <w:szCs w:val="22"/>
        </w:rPr>
        <w:t xml:space="preserve">Authentification des membres de la commission avec vérification des rôles (RBAC + MFA)</w:t>
      </w:r>
    </w:p>
    <w:p>
      <w:pPr>
        <w:pStyle w:val="ListParagraph"/>
        <w:numPr>
          <w:ilvl w:val="0"/>
          <w:numId w:val="3"/>
        </w:numPr>
        <w:spacing w:after="60" w:before="60"/>
      </w:pPr>
      <w:r>
        <w:rPr>
          <w:rFonts w:ascii="Arial" w:cs="Arial" w:eastAsia="Arial" w:hAnsi="Arial"/>
          <w:color w:val="222222"/>
          <w:sz w:val="22"/>
          <w:szCs w:val="22"/>
        </w:rPr>
        <w:t xml:space="preserve">Le président de commission initie l'ouverture officielle</w:t>
      </w:r>
    </w:p>
    <w:p>
      <w:pPr>
        <w:pStyle w:val="ListParagraph"/>
        <w:numPr>
          <w:ilvl w:val="0"/>
          <w:numId w:val="3"/>
        </w:numPr>
        <w:spacing w:after="60" w:before="60"/>
      </w:pPr>
      <w:r>
        <w:rPr>
          <w:rFonts w:ascii="Arial" w:cs="Arial" w:eastAsia="Arial" w:hAnsi="Arial"/>
          <w:color w:val="222222"/>
          <w:sz w:val="22"/>
          <w:szCs w:val="22"/>
        </w:rPr>
        <w:t xml:space="preserve">Déverrouillage contrôlé : suppression du verrou logique, documents consultables en lecture seule</w:t>
      </w:r>
    </w:p>
    <w:p>
      <w:pPr>
        <w:pStyle w:val="ListParagraph"/>
        <w:numPr>
          <w:ilvl w:val="0"/>
          <w:numId w:val="3"/>
        </w:numPr>
        <w:spacing w:after="60" w:before="60"/>
      </w:pPr>
      <w:r>
        <w:rPr>
          <w:rFonts w:ascii="Arial" w:cs="Arial" w:eastAsia="Arial" w:hAnsi="Arial"/>
          <w:color w:val="222222"/>
          <w:sz w:val="22"/>
          <w:szCs w:val="22"/>
        </w:rPr>
        <w:t xml:space="preserve">Consultation simultanée par tous les membres autorisés</w:t>
      </w:r>
    </w:p>
    <w:p>
      <w:pPr>
        <w:pStyle w:val="ListParagraph"/>
        <w:numPr>
          <w:ilvl w:val="0"/>
          <w:numId w:val="3"/>
        </w:numPr>
        <w:spacing w:after="60" w:before="60"/>
      </w:pPr>
      <w:r>
        <w:rPr>
          <w:rFonts w:ascii="Arial" w:cs="Arial" w:eastAsia="Arial" w:hAnsi="Arial"/>
          <w:color w:val="222222"/>
          <w:sz w:val="22"/>
          <w:szCs w:val="22"/>
        </w:rPr>
        <w:t xml:space="preserve">Contrôle des documents : vérification signatures, horodatages, intégrité</w:t>
      </w:r>
    </w:p>
    <w:p>
      <w:pPr>
        <w:pStyle w:val="ListParagraph"/>
        <w:numPr>
          <w:ilvl w:val="0"/>
          <w:numId w:val="3"/>
        </w:numPr>
        <w:spacing w:after="60" w:before="60"/>
      </w:pPr>
      <w:r>
        <w:rPr>
          <w:rFonts w:ascii="Arial" w:cs="Arial" w:eastAsia="Arial" w:hAnsi="Arial"/>
          <w:color w:val="222222"/>
          <w:sz w:val="22"/>
          <w:szCs w:val="22"/>
        </w:rPr>
        <w:t xml:space="preserve">Clôture de la séance et archivage de la session</w:t>
      </w:r>
    </w:p>
    <w:p>
      <w:pPr>
        <w:pStyle w:val="Heading3"/>
        <w:spacing w:after="100" w:before="220"/>
      </w:pPr>
      <w:r>
        <w:rPr>
          <w:rFonts w:ascii="Arial" w:cs="Arial" w:eastAsia="Arial" w:hAnsi="Arial"/>
          <w:b/>
          <w:bCs/>
          <w:color w:val="2E75B6"/>
          <w:sz w:val="24"/>
          <w:szCs w:val="24"/>
        </w:rPr>
        <w:t xml:space="preserve">Contrôles de Sécurité</w:t>
      </w:r>
    </w:p>
    <w:p>
      <w:pPr>
        <w:pStyle w:val="ListParagraph"/>
        <w:numPr>
          <w:ilvl w:val="0"/>
          <w:numId w:val="2"/>
        </w:numPr>
        <w:spacing w:after="60" w:before="60"/>
      </w:pPr>
      <w:r>
        <w:rPr>
          <w:rFonts w:ascii="Arial" w:cs="Arial" w:eastAsia="Arial" w:hAnsi="Arial"/>
          <w:color w:val="222222"/>
          <w:sz w:val="22"/>
          <w:szCs w:val="22"/>
        </w:rPr>
        <w:t xml:space="preserve">Ouverture impossible avant la deadline — contrôle automatique strict</w:t>
      </w:r>
    </w:p>
    <w:p>
      <w:pPr>
        <w:pStyle w:val="ListParagraph"/>
        <w:numPr>
          <w:ilvl w:val="0"/>
          <w:numId w:val="2"/>
        </w:numPr>
        <w:spacing w:after="60" w:before="60"/>
      </w:pPr>
      <w:r>
        <w:rPr>
          <w:rFonts w:ascii="Arial" w:cs="Arial" w:eastAsia="Arial" w:hAnsi="Arial"/>
          <w:color w:val="222222"/>
          <w:sz w:val="22"/>
          <w:szCs w:val="22"/>
        </w:rPr>
        <w:t xml:space="preserve">Lecture seule uniquement — aucune modification possible</w:t>
      </w:r>
    </w:p>
    <w:p>
      <w:pPr>
        <w:pStyle w:val="ListParagraph"/>
        <w:numPr>
          <w:ilvl w:val="0"/>
          <w:numId w:val="2"/>
        </w:numPr>
        <w:spacing w:after="60" w:before="60"/>
      </w:pPr>
      <w:r>
        <w:rPr>
          <w:rFonts w:ascii="Arial" w:cs="Arial" w:eastAsia="Arial" w:hAnsi="Arial"/>
          <w:color w:val="222222"/>
          <w:sz w:val="22"/>
          <w:szCs w:val="22"/>
        </w:rPr>
        <w:t xml:space="preserve">Déverrouillage unique — non réversible sans traçabilité</w:t>
      </w:r>
    </w:p>
    <w:p>
      <w:pPr>
        <w:pStyle w:val="ListParagraph"/>
        <w:numPr>
          <w:ilvl w:val="0"/>
          <w:numId w:val="2"/>
        </w:numPr>
        <w:spacing w:after="60" w:before="60"/>
      </w:pPr>
      <w:r>
        <w:rPr>
          <w:rFonts w:ascii="Arial" w:cs="Arial" w:eastAsia="Arial" w:hAnsi="Arial"/>
          <w:color w:val="222222"/>
          <w:sz w:val="22"/>
          <w:szCs w:val="22"/>
        </w:rPr>
        <w:t xml:space="preserve">Vérification des signatures et horodatages de chaque offre</w:t>
      </w:r>
    </w:p>
    <w:p>
      <w:pPr>
        <w:pStyle w:val="ListParagraph"/>
        <w:numPr>
          <w:ilvl w:val="0"/>
          <w:numId w:val="2"/>
        </w:numPr>
        <w:spacing w:after="60" w:before="60"/>
      </w:pPr>
      <w:r>
        <w:rPr>
          <w:rFonts w:ascii="Arial" w:cs="Arial" w:eastAsia="Arial" w:hAnsi="Arial"/>
          <w:color w:val="222222"/>
          <w:sz w:val="22"/>
          <w:szCs w:val="22"/>
        </w:rPr>
        <w:t xml:space="preserve">Journalisation complète de la séance d'ouverture</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12 — Commission d'Ouverture</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Fournir un espace numérique permettant à la Commission d'Ouverture d'enregistrer officiellement les décisions, de produire le Procès-Verbal numérique et de conserver l'ensemble des décisions dans Procura. Le module n'automatise jamais la décision.</w:t>
      </w:r>
    </w:p>
    <w:p>
      <w:pPr>
        <w:pStyle w:val="Heading3"/>
        <w:spacing w:after="100" w:before="220"/>
      </w:pPr>
      <w:r>
        <w:rPr>
          <w:rFonts w:ascii="Arial" w:cs="Arial" w:eastAsia="Arial" w:hAnsi="Arial"/>
          <w:b/>
          <w:bCs/>
          <w:color w:val="2E75B6"/>
          <w:sz w:val="24"/>
          <w:szCs w:val="24"/>
        </w:rPr>
        <w:t xml:space="preserve">Flux</w:t>
      </w:r>
    </w:p>
    <w:p>
      <w:pPr>
        <w:pStyle w:val="ListParagraph"/>
        <w:numPr>
          <w:ilvl w:val="0"/>
          <w:numId w:val="3"/>
        </w:numPr>
        <w:spacing w:after="60" w:before="60"/>
      </w:pPr>
      <w:r>
        <w:rPr>
          <w:rFonts w:ascii="Arial" w:cs="Arial" w:eastAsia="Arial" w:hAnsi="Arial"/>
          <w:color w:val="222222"/>
          <w:sz w:val="22"/>
          <w:szCs w:val="22"/>
        </w:rPr>
        <w:t xml:space="preserve">Création automatique de la séance après ouverture des plis</w:t>
      </w:r>
    </w:p>
    <w:p>
      <w:pPr>
        <w:pStyle w:val="ListParagraph"/>
        <w:numPr>
          <w:ilvl w:val="0"/>
          <w:numId w:val="3"/>
        </w:numPr>
        <w:spacing w:after="60" w:before="60"/>
      </w:pPr>
      <w:r>
        <w:rPr>
          <w:rFonts w:ascii="Arial" w:cs="Arial" w:eastAsia="Arial" w:hAnsi="Arial"/>
          <w:color w:val="222222"/>
          <w:sz w:val="22"/>
          <w:szCs w:val="22"/>
        </w:rPr>
        <w:t xml:space="preserve">Saisie des observations générales et de conformité administrative</w:t>
      </w:r>
    </w:p>
    <w:p>
      <w:pPr>
        <w:pStyle w:val="ListParagraph"/>
        <w:numPr>
          <w:ilvl w:val="0"/>
          <w:numId w:val="3"/>
        </w:numPr>
        <w:spacing w:after="60" w:before="60"/>
      </w:pPr>
      <w:r>
        <w:rPr>
          <w:rFonts w:ascii="Arial" w:cs="Arial" w:eastAsia="Arial" w:hAnsi="Arial"/>
          <w:color w:val="222222"/>
          <w:sz w:val="22"/>
          <w:szCs w:val="22"/>
        </w:rPr>
        <w:t xml:space="preserve">Enregistrement des décisions : offre retenue, offres rejetées, motifs, observations</w:t>
      </w:r>
    </w:p>
    <w:p>
      <w:pPr>
        <w:pStyle w:val="ListParagraph"/>
        <w:numPr>
          <w:ilvl w:val="0"/>
          <w:numId w:val="3"/>
        </w:numPr>
        <w:spacing w:after="60" w:before="60"/>
      </w:pPr>
      <w:r>
        <w:rPr>
          <w:rFonts w:ascii="Arial" w:cs="Arial" w:eastAsia="Arial" w:hAnsi="Arial"/>
          <w:color w:val="222222"/>
          <w:sz w:val="22"/>
          <w:szCs w:val="22"/>
        </w:rPr>
        <w:t xml:space="preserve">Validation interne et confirmation du président</w:t>
      </w:r>
    </w:p>
    <w:p>
      <w:pPr>
        <w:pStyle w:val="ListParagraph"/>
        <w:numPr>
          <w:ilvl w:val="0"/>
          <w:numId w:val="3"/>
        </w:numPr>
        <w:spacing w:after="60" w:before="60"/>
      </w:pPr>
      <w:r>
        <w:rPr>
          <w:rFonts w:ascii="Arial" w:cs="Arial" w:eastAsia="Arial" w:hAnsi="Arial"/>
          <w:color w:val="222222"/>
          <w:sz w:val="22"/>
          <w:szCs w:val="22"/>
        </w:rPr>
        <w:t xml:space="preserve">Génération automatique du PV numérique en PDF (numérotation, format officiel)</w:t>
      </w:r>
    </w:p>
    <w:p>
      <w:pPr>
        <w:pStyle w:val="ListParagraph"/>
        <w:numPr>
          <w:ilvl w:val="0"/>
          <w:numId w:val="3"/>
        </w:numPr>
        <w:spacing w:after="60" w:before="60"/>
      </w:pPr>
      <w:r>
        <w:rPr>
          <w:rFonts w:ascii="Arial" w:cs="Arial" w:eastAsia="Arial" w:hAnsi="Arial"/>
          <w:color w:val="222222"/>
          <w:sz w:val="22"/>
          <w:szCs w:val="22"/>
        </w:rPr>
        <w:t xml:space="preserve">Signature électronique optionnelle + horodatage</w:t>
      </w:r>
    </w:p>
    <w:p>
      <w:pPr>
        <w:pStyle w:val="ListParagraph"/>
        <w:numPr>
          <w:ilvl w:val="0"/>
          <w:numId w:val="3"/>
        </w:numPr>
        <w:spacing w:after="60" w:before="60"/>
      </w:pPr>
      <w:r>
        <w:rPr>
          <w:rFonts w:ascii="Arial" w:cs="Arial" w:eastAsia="Arial" w:hAnsi="Arial"/>
          <w:color w:val="222222"/>
          <w:sz w:val="22"/>
          <w:szCs w:val="22"/>
        </w:rPr>
        <w:t xml:space="preserve">Archivage du PV associé à la RFQ</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13 — Analyse &amp; Structuration des Offres</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Permettre aux membres de la commission de consulter, organiser et comparer les informations essentielles des offres reçues. Le module assiste la lecture et la comparaison mais ne réalise jamais le choix automatique du fournisseur.</w:t>
      </w:r>
    </w:p>
    <w:p>
      <w:pPr>
        <w:pStyle w:val="Heading3"/>
        <w:spacing w:after="100" w:before="220"/>
      </w:pPr>
      <w:r>
        <w:rPr>
          <w:rFonts w:ascii="Arial" w:cs="Arial" w:eastAsia="Arial" w:hAnsi="Arial"/>
          <w:b/>
          <w:bCs/>
          <w:color w:val="2E75B6"/>
          <w:sz w:val="24"/>
          <w:szCs w:val="24"/>
        </w:rPr>
        <w:t xml:space="preserve">Flux d'Analyse</w:t>
      </w:r>
    </w:p>
    <w:p>
      <w:pPr>
        <w:pStyle w:val="ListParagraph"/>
        <w:numPr>
          <w:ilvl w:val="0"/>
          <w:numId w:val="3"/>
        </w:numPr>
        <w:spacing w:after="60" w:before="60"/>
      </w:pPr>
      <w:r>
        <w:rPr>
          <w:rFonts w:ascii="Arial" w:cs="Arial" w:eastAsia="Arial" w:hAnsi="Arial"/>
          <w:color w:val="222222"/>
          <w:sz w:val="22"/>
          <w:szCs w:val="22"/>
        </w:rPr>
        <w:t xml:space="preserve">Chargement des offres validées avec vérification d'intégrité</w:t>
      </w:r>
    </w:p>
    <w:p>
      <w:pPr>
        <w:pStyle w:val="ListParagraph"/>
        <w:numPr>
          <w:ilvl w:val="0"/>
          <w:numId w:val="3"/>
        </w:numPr>
        <w:spacing w:after="60" w:before="60"/>
      </w:pPr>
      <w:r>
        <w:rPr>
          <w:rFonts w:ascii="Arial" w:cs="Arial" w:eastAsia="Arial" w:hAnsi="Arial"/>
          <w:color w:val="222222"/>
          <w:sz w:val="22"/>
          <w:szCs w:val="22"/>
        </w:rPr>
        <w:t xml:space="preserve">Extraction : fournisseurs, articles, quantités, prix, délais, références</w:t>
      </w:r>
    </w:p>
    <w:p>
      <w:pPr>
        <w:pStyle w:val="ListParagraph"/>
        <w:numPr>
          <w:ilvl w:val="0"/>
          <w:numId w:val="3"/>
        </w:numPr>
        <w:spacing w:after="60" w:before="60"/>
      </w:pPr>
      <w:r>
        <w:rPr>
          <w:rFonts w:ascii="Arial" w:cs="Arial" w:eastAsia="Arial" w:hAnsi="Arial"/>
          <w:color w:val="222222"/>
          <w:sz w:val="22"/>
          <w:szCs w:val="22"/>
        </w:rPr>
        <w:t xml:space="preserve">Structuration : uniformisation des formats, normalisation, modèle commun</w:t>
      </w:r>
    </w:p>
    <w:p>
      <w:pPr>
        <w:pStyle w:val="ListParagraph"/>
        <w:numPr>
          <w:ilvl w:val="0"/>
          <w:numId w:val="3"/>
        </w:numPr>
        <w:spacing w:after="60" w:before="60"/>
      </w:pPr>
      <w:r>
        <w:rPr>
          <w:rFonts w:ascii="Arial" w:cs="Arial" w:eastAsia="Arial" w:hAnsi="Arial"/>
          <w:color w:val="222222"/>
          <w:sz w:val="22"/>
          <w:szCs w:val="22"/>
        </w:rPr>
        <w:t xml:space="preserve">Comparaison : par fournisseur, par article, par prix, par quantités, par délais</w:t>
      </w:r>
    </w:p>
    <w:p>
      <w:pPr>
        <w:pStyle w:val="ListParagraph"/>
        <w:numPr>
          <w:ilvl w:val="0"/>
          <w:numId w:val="3"/>
        </w:numPr>
        <w:spacing w:after="60" w:before="60"/>
      </w:pPr>
      <w:r>
        <w:rPr>
          <w:rFonts w:ascii="Arial" w:cs="Arial" w:eastAsia="Arial" w:hAnsi="Arial"/>
          <w:color w:val="222222"/>
          <w:sz w:val="22"/>
          <w:szCs w:val="22"/>
        </w:rPr>
        <w:t xml:space="preserve">Génération des tableaux comparatifs : synthétique, détaillé, vue fournisseur, vue article</w:t>
      </w:r>
    </w:p>
    <w:p>
      <w:pPr>
        <w:pStyle w:val="ListParagraph"/>
        <w:numPr>
          <w:ilvl w:val="0"/>
          <w:numId w:val="3"/>
        </w:numPr>
        <w:spacing w:after="60" w:before="60"/>
      </w:pPr>
      <w:r>
        <w:rPr>
          <w:rFonts w:ascii="Arial" w:cs="Arial" w:eastAsia="Arial" w:hAnsi="Arial"/>
          <w:color w:val="222222"/>
          <w:sz w:val="22"/>
          <w:szCs w:val="22"/>
        </w:rPr>
        <w:t xml:space="preserve">Export : PDF, Excel, CSV — transmission à la commission</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14 — Génération Output Final</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Consolider l'ensemble des informations validées par la Commission d'Ouverture afin de produire un jeu de données unique, cohérent et exploitable, destiné à être transmis au système ERP. Ce module constitue la dernière étape métier de Procura.</w:t>
      </w:r>
    </w:p>
    <w:p>
      <w:pPr>
        <w:pStyle w:val="Heading3"/>
        <w:spacing w:after="100" w:before="220"/>
      </w:pPr>
      <w:r>
        <w:rPr>
          <w:rFonts w:ascii="Arial" w:cs="Arial" w:eastAsia="Arial" w:hAnsi="Arial"/>
          <w:b/>
          <w:bCs/>
          <w:color w:val="2E75B6"/>
          <w:sz w:val="24"/>
          <w:szCs w:val="24"/>
        </w:rPr>
        <w:t xml:space="preserve">Flux de Génération</w:t>
      </w:r>
    </w:p>
    <w:p>
      <w:pPr>
        <w:pStyle w:val="ListParagraph"/>
        <w:numPr>
          <w:ilvl w:val="0"/>
          <w:numId w:val="3"/>
        </w:numPr>
        <w:spacing w:after="60" w:before="60"/>
      </w:pPr>
      <w:r>
        <w:rPr>
          <w:rFonts w:ascii="Arial" w:cs="Arial" w:eastAsia="Arial" w:hAnsi="Arial"/>
          <w:color w:val="222222"/>
          <w:sz w:val="22"/>
          <w:szCs w:val="22"/>
        </w:rPr>
        <w:t xml:space="preserve">Chargement des données validées : PV de Commission, offres retenues, informations RFQ</w:t>
      </w:r>
    </w:p>
    <w:p>
      <w:pPr>
        <w:pStyle w:val="ListParagraph"/>
        <w:numPr>
          <w:ilvl w:val="0"/>
          <w:numId w:val="3"/>
        </w:numPr>
        <w:spacing w:after="60" w:before="60"/>
      </w:pPr>
      <w:r>
        <w:rPr>
          <w:rFonts w:ascii="Arial" w:cs="Arial" w:eastAsia="Arial" w:hAnsi="Arial"/>
          <w:color w:val="222222"/>
          <w:sz w:val="22"/>
          <w:szCs w:val="22"/>
        </w:rPr>
        <w:t xml:space="preserve">Consolidation : RFQ ID, fournisseur retenu, articles, quantités, prix, devise, délais, conditions particulières, références documentaires</w:t>
      </w:r>
    </w:p>
    <w:p>
      <w:pPr>
        <w:pStyle w:val="ListParagraph"/>
        <w:numPr>
          <w:ilvl w:val="0"/>
          <w:numId w:val="3"/>
        </w:numPr>
        <w:spacing w:after="60" w:before="60"/>
      </w:pPr>
      <w:r>
        <w:rPr>
          <w:rFonts w:ascii="Arial" w:cs="Arial" w:eastAsia="Arial" w:hAnsi="Arial"/>
          <w:color w:val="222222"/>
          <w:sz w:val="22"/>
          <w:szCs w:val="22"/>
        </w:rPr>
        <w:t xml:space="preserve">Contrôle de cohérence : champs obligatoires, montants, quantités, unicité fournisseur</w:t>
      </w:r>
    </w:p>
    <w:p>
      <w:pPr>
        <w:pStyle w:val="ListParagraph"/>
        <w:numPr>
          <w:ilvl w:val="0"/>
          <w:numId w:val="3"/>
        </w:numPr>
        <w:spacing w:after="60" w:before="60"/>
      </w:pPr>
      <w:r>
        <w:rPr>
          <w:rFonts w:ascii="Arial" w:cs="Arial" w:eastAsia="Arial" w:hAnsi="Arial"/>
          <w:color w:val="222222"/>
          <w:sz w:val="22"/>
          <w:szCs w:val="22"/>
        </w:rPr>
        <w:t xml:space="preserve">Normalisation : UTF-8, formats numériques, monétaires, dates/heures, nomenclature standard</w:t>
      </w:r>
    </w:p>
    <w:p>
      <w:pPr>
        <w:pStyle w:val="ListParagraph"/>
        <w:numPr>
          <w:ilvl w:val="0"/>
          <w:numId w:val="3"/>
        </w:numPr>
        <w:spacing w:after="60" w:before="60"/>
      </w:pPr>
      <w:r>
        <w:rPr>
          <w:rFonts w:ascii="Arial" w:cs="Arial" w:eastAsia="Arial" w:hAnsi="Arial"/>
          <w:color w:val="222222"/>
          <w:sz w:val="22"/>
          <w:szCs w:val="22"/>
        </w:rPr>
        <w:t xml:space="preserve">Génération du fichier output : JSON, XML, CSV avec métadonnées techniques</w:t>
      </w:r>
    </w:p>
    <w:p>
      <w:pPr>
        <w:pStyle w:val="ListParagraph"/>
        <w:numPr>
          <w:ilvl w:val="0"/>
          <w:numId w:val="3"/>
        </w:numPr>
        <w:spacing w:after="60" w:before="60"/>
      </w:pPr>
      <w:r>
        <w:rPr>
          <w:rFonts w:ascii="Arial" w:cs="Arial" w:eastAsia="Arial" w:hAnsi="Arial"/>
          <w:color w:val="222222"/>
          <w:sz w:val="22"/>
          <w:szCs w:val="22"/>
        </w:rPr>
        <w:t xml:space="preserve">Validation finale : intégrité, hash SHA-256, identifiant unique d'export</w:t>
      </w:r>
    </w:p>
    <w:p>
      <w:pPr>
        <w:pStyle w:val="ListParagraph"/>
        <w:numPr>
          <w:ilvl w:val="0"/>
          <w:numId w:val="3"/>
        </w:numPr>
        <w:spacing w:after="60" w:before="60"/>
      </w:pPr>
      <w:r>
        <w:rPr>
          <w:rFonts w:ascii="Arial" w:cs="Arial" w:eastAsia="Arial" w:hAnsi="Arial"/>
          <w:color w:val="222222"/>
          <w:sz w:val="22"/>
          <w:szCs w:val="22"/>
        </w:rPr>
        <w:t xml:space="preserve">Stockage sécurisé et mise à disposition pour l'intégration ERP</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15 — Intégration ERP (Sortie)</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Assurer le transfert sécurisé des données finales vers le système ERP de l'organisation afin de permettre la poursuite automatique du processus d'approvisionnement. Ce module constitue le point de passage entre Procura et l'écosystème informatique de l'entreprise.</w:t>
      </w:r>
    </w:p>
    <w:p>
      <w:pPr>
        <w:pStyle w:val="Heading3"/>
        <w:spacing w:after="100" w:before="220"/>
      </w:pPr>
      <w:r>
        <w:rPr>
          <w:rFonts w:ascii="Arial" w:cs="Arial" w:eastAsia="Arial" w:hAnsi="Arial"/>
          <w:b/>
          <w:bCs/>
          <w:color w:val="2E75B6"/>
          <w:sz w:val="24"/>
          <w:szCs w:val="24"/>
        </w:rPr>
        <w:t xml:space="preserve">Modes d'Intégration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000"/>
      </w:tblGrid>
      <w:tr>
        <w:trPr>
          <w:tblHeader/>
        </w:trPr>
        <w:tc>
          <w:tcPr>
            <w:tcW w:type="dxa" w:w="18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w:t>
            </w:r>
          </w:p>
        </w:tc>
        <w:tc>
          <w:tcPr>
            <w:tcW w:type="dxa" w:w="22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Protocole</w:t>
            </w:r>
          </w:p>
        </w:tc>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ERP Cibles</w:t>
            </w:r>
          </w:p>
        </w:tc>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API REST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HTTPS + OAuth2 / mTLS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SAP, Oracle, Dynamics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Temps réel</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API SOAP</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HTTPS + WS-Security</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SAP ECC, anciens ERP</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Compatibilité legacy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SFTP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SFTP + clés SSH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Sage, ERP propriétaires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Transfert fichier sécurisé</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Watch Folder</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Dossier surveillé chiffré</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ERP sur site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Import automatique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ESB Middleware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API ESB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Architectures complexes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Bus d'intégration</w:t>
            </w:r>
          </w:p>
        </w:tc>
      </w:tr>
    </w:tbl>
    <w:p>
      <w:pPr>
        <w:pStyle w:val="Heading3"/>
        <w:spacing w:after="100" w:before="220"/>
      </w:pPr>
      <w:r>
        <w:rPr>
          <w:rFonts w:ascii="Arial" w:cs="Arial" w:eastAsia="Arial" w:hAnsi="Arial"/>
          <w:b/>
          <w:bCs/>
          <w:color w:val="2E75B6"/>
          <w:sz w:val="24"/>
          <w:szCs w:val="24"/>
        </w:rPr>
        <w:t xml:space="preserve">Formats de Sortie</w:t>
      </w:r>
    </w:p>
    <w:p>
      <w:pPr>
        <w:pStyle w:val="ListParagraph"/>
        <w:numPr>
          <w:ilvl w:val="0"/>
          <w:numId w:val="2"/>
        </w:numPr>
        <w:spacing w:after="60" w:before="60"/>
      </w:pPr>
      <w:r>
        <w:rPr>
          <w:rFonts w:ascii="Arial" w:cs="Arial" w:eastAsia="Arial" w:hAnsi="Arial"/>
          <w:color w:val="222222"/>
          <w:sz w:val="22"/>
          <w:szCs w:val="22"/>
        </w:rPr>
        <w:t xml:space="preserve">CSV : format universel, compatible avec tous les ERP</w:t>
      </w:r>
    </w:p>
    <w:p>
      <w:pPr>
        <w:pStyle w:val="ListParagraph"/>
        <w:numPr>
          <w:ilvl w:val="0"/>
          <w:numId w:val="2"/>
        </w:numPr>
        <w:spacing w:after="60" w:before="60"/>
      </w:pPr>
      <w:r>
        <w:rPr>
          <w:rFonts w:ascii="Arial" w:cs="Arial" w:eastAsia="Arial" w:hAnsi="Arial"/>
          <w:color w:val="222222"/>
          <w:sz w:val="22"/>
          <w:szCs w:val="22"/>
        </w:rPr>
        <w:t xml:space="preserve">XML : SAP IDoc, Oracle XML Gateway</w:t>
      </w:r>
    </w:p>
    <w:p>
      <w:pPr>
        <w:pStyle w:val="ListParagraph"/>
        <w:numPr>
          <w:ilvl w:val="0"/>
          <w:numId w:val="2"/>
        </w:numPr>
        <w:spacing w:after="60" w:before="60"/>
      </w:pPr>
      <w:r>
        <w:rPr>
          <w:rFonts w:ascii="Arial" w:cs="Arial" w:eastAsia="Arial" w:hAnsi="Arial"/>
          <w:color w:val="222222"/>
          <w:sz w:val="22"/>
          <w:szCs w:val="22"/>
        </w:rPr>
        <w:t xml:space="preserve">JSON : API REST modernes</w:t>
      </w:r>
    </w:p>
    <w:p>
      <w:pPr>
        <w:pStyle w:val="ListParagraph"/>
        <w:numPr>
          <w:ilvl w:val="0"/>
          <w:numId w:val="2"/>
        </w:numPr>
        <w:spacing w:after="60" w:before="60"/>
      </w:pPr>
      <w:r>
        <w:rPr>
          <w:rFonts w:ascii="Arial" w:cs="Arial" w:eastAsia="Arial" w:hAnsi="Arial"/>
          <w:color w:val="222222"/>
          <w:sz w:val="22"/>
          <w:szCs w:val="22"/>
        </w:rPr>
        <w:t xml:space="preserve">Formats propriétaires : selon connecteur ERP client</w:t>
      </w:r>
    </w:p>
    <w:p>
      <w:pPr>
        <w:pStyle w:val="Heading3"/>
        <w:spacing w:after="100" w:before="220"/>
      </w:pPr>
      <w:r>
        <w:rPr>
          <w:rFonts w:ascii="Arial" w:cs="Arial" w:eastAsia="Arial" w:hAnsi="Arial"/>
          <w:b/>
          <w:bCs/>
          <w:color w:val="2E75B6"/>
          <w:sz w:val="24"/>
          <w:szCs w:val="24"/>
        </w:rPr>
        <w:t xml:space="preserve">Contrôles</w:t>
      </w:r>
    </w:p>
    <w:p>
      <w:pPr>
        <w:pStyle w:val="ListParagraph"/>
        <w:numPr>
          <w:ilvl w:val="0"/>
          <w:numId w:val="2"/>
        </w:numPr>
        <w:spacing w:after="60" w:before="60"/>
      </w:pPr>
      <w:r>
        <w:rPr>
          <w:rFonts w:ascii="Arial" w:cs="Arial" w:eastAsia="Arial" w:hAnsi="Arial"/>
          <w:color w:val="222222"/>
          <w:sz w:val="22"/>
          <w:szCs w:val="22"/>
        </w:rPr>
        <w:t xml:space="preserve">Validation complète des données avant toute transmission</w:t>
      </w:r>
    </w:p>
    <w:p>
      <w:pPr>
        <w:pStyle w:val="ListParagraph"/>
        <w:numPr>
          <w:ilvl w:val="0"/>
          <w:numId w:val="2"/>
        </w:numPr>
        <w:spacing w:after="60" w:before="60"/>
      </w:pPr>
      <w:r>
        <w:rPr>
          <w:rFonts w:ascii="Arial" w:cs="Arial" w:eastAsia="Arial" w:hAnsi="Arial"/>
          <w:color w:val="222222"/>
          <w:sz w:val="22"/>
          <w:szCs w:val="22"/>
        </w:rPr>
        <w:t xml:space="preserve">Vérification de l'accusé de réception ERP</w:t>
      </w:r>
    </w:p>
    <w:p>
      <w:pPr>
        <w:pStyle w:val="ListParagraph"/>
        <w:numPr>
          <w:ilvl w:val="0"/>
          <w:numId w:val="2"/>
        </w:numPr>
        <w:spacing w:after="60" w:before="60"/>
      </w:pPr>
      <w:r>
        <w:rPr>
          <w:rFonts w:ascii="Arial" w:cs="Arial" w:eastAsia="Arial" w:hAnsi="Arial"/>
          <w:color w:val="222222"/>
          <w:sz w:val="22"/>
          <w:szCs w:val="22"/>
        </w:rPr>
        <w:t xml:space="preserve">Retry automatique en cas d'échec temporaire</w:t>
      </w:r>
    </w:p>
    <w:p>
      <w:pPr>
        <w:pStyle w:val="ListParagraph"/>
        <w:numPr>
          <w:ilvl w:val="0"/>
          <w:numId w:val="2"/>
        </w:numPr>
        <w:spacing w:after="60" w:before="60"/>
      </w:pPr>
      <w:r>
        <w:rPr>
          <w:rFonts w:ascii="Arial" w:cs="Arial" w:eastAsia="Arial" w:hAnsi="Arial"/>
          <w:color w:val="222222"/>
          <w:sz w:val="22"/>
          <w:szCs w:val="22"/>
        </w:rPr>
        <w:t xml:space="preserve">File d'attente persistante si ERP indisponible</w:t>
      </w:r>
    </w:p>
    <w:p>
      <w:pPr>
        <w:pStyle w:val="ListParagraph"/>
        <w:numPr>
          <w:ilvl w:val="0"/>
          <w:numId w:val="2"/>
        </w:numPr>
        <w:spacing w:after="60" w:before="60"/>
      </w:pPr>
      <w:r>
        <w:rPr>
          <w:rFonts w:ascii="Arial" w:cs="Arial" w:eastAsia="Arial" w:hAnsi="Arial"/>
          <w:color w:val="222222"/>
          <w:sz w:val="22"/>
          <w:szCs w:val="22"/>
        </w:rPr>
        <w:t xml:space="preserve">Journalisation complète de chaque transmission</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16 — Communication Collaborative (Hors-ERP)</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Permettre aux collaborateurs et aux fournisseurs concernés d'échanger de manière structurée, centralisée et sécurisée après la décision de la Commission, via un système de ticketing — sans messagerie instantanée ni email dispersé.</w:t>
      </w:r>
    </w:p>
    <w:p>
      <w:pPr>
        <w:pStyle w:val="Heading3"/>
        <w:spacing w:after="100" w:before="220"/>
      </w:pPr>
      <w:r>
        <w:rPr>
          <w:rFonts w:ascii="Arial" w:cs="Arial" w:eastAsia="Arial" w:hAnsi="Arial"/>
          <w:b/>
          <w:bCs/>
          <w:color w:val="2E75B6"/>
          <w:sz w:val="24"/>
          <w:szCs w:val="24"/>
        </w:rPr>
        <w:t xml:space="preserve">Fonctionnement</w:t>
      </w:r>
    </w:p>
    <w:p>
      <w:pPr>
        <w:pStyle w:val="ListParagraph"/>
        <w:numPr>
          <w:ilvl w:val="0"/>
          <w:numId w:val="3"/>
        </w:numPr>
        <w:spacing w:after="60" w:before="60"/>
      </w:pPr>
      <w:r>
        <w:rPr>
          <w:rFonts w:ascii="Arial" w:cs="Arial" w:eastAsia="Arial" w:hAnsi="Arial"/>
          <w:color w:val="222222"/>
          <w:sz w:val="22"/>
          <w:szCs w:val="22"/>
        </w:rPr>
        <w:t xml:space="preserve">Création d'un ticket lié à une RFQ ou à un fournisseur</w:t>
      </w:r>
    </w:p>
    <w:p>
      <w:pPr>
        <w:pStyle w:val="ListParagraph"/>
        <w:numPr>
          <w:ilvl w:val="0"/>
          <w:numId w:val="3"/>
        </w:numPr>
        <w:spacing w:after="60" w:before="60"/>
      </w:pPr>
      <w:r>
        <w:rPr>
          <w:rFonts w:ascii="Arial" w:cs="Arial" w:eastAsia="Arial" w:hAnsi="Arial"/>
          <w:color w:val="222222"/>
          <w:sz w:val="22"/>
          <w:szCs w:val="22"/>
        </w:rPr>
        <w:t xml:space="preserve">Catégorisation : question administrative, demande documentaire, clarification technique, livraison documentaire</w:t>
      </w:r>
    </w:p>
    <w:p>
      <w:pPr>
        <w:pStyle w:val="ListParagraph"/>
        <w:numPr>
          <w:ilvl w:val="0"/>
          <w:numId w:val="3"/>
        </w:numPr>
        <w:spacing w:after="60" w:before="60"/>
      </w:pPr>
      <w:r>
        <w:rPr>
          <w:rFonts w:ascii="Arial" w:cs="Arial" w:eastAsia="Arial" w:hAnsi="Arial"/>
          <w:color w:val="222222"/>
          <w:sz w:val="22"/>
          <w:szCs w:val="22"/>
        </w:rPr>
        <w:t xml:space="preserve">Attribution : acheteur, gestionnaire RFQ, administrateur, fournisseur</w:t>
      </w:r>
    </w:p>
    <w:p>
      <w:pPr>
        <w:pStyle w:val="ListParagraph"/>
        <w:numPr>
          <w:ilvl w:val="0"/>
          <w:numId w:val="3"/>
        </w:numPr>
        <w:spacing w:after="60" w:before="60"/>
      </w:pPr>
      <w:r>
        <w:rPr>
          <w:rFonts w:ascii="Arial" w:cs="Arial" w:eastAsia="Arial" w:hAnsi="Arial"/>
          <w:color w:val="222222"/>
          <w:sz w:val="22"/>
          <w:szCs w:val="22"/>
        </w:rPr>
        <w:t xml:space="preserve">Échanges : chaque réponse horodatée et signée, définitive après publication</w:t>
      </w:r>
    </w:p>
    <w:p>
      <w:pPr>
        <w:pStyle w:val="ListParagraph"/>
        <w:numPr>
          <w:ilvl w:val="0"/>
          <w:numId w:val="3"/>
        </w:numPr>
        <w:spacing w:after="60" w:before="60"/>
      </w:pPr>
      <w:r>
        <w:rPr>
          <w:rFonts w:ascii="Arial" w:cs="Arial" w:eastAsia="Arial" w:hAnsi="Arial"/>
          <w:color w:val="222222"/>
          <w:sz w:val="22"/>
          <w:szCs w:val="22"/>
        </w:rPr>
        <w:t xml:space="preserve">Gestion des pièces jointes via le processus sécurisé de dépôt Procura</w:t>
      </w:r>
    </w:p>
    <w:p>
      <w:pPr>
        <w:pStyle w:val="ListParagraph"/>
        <w:numPr>
          <w:ilvl w:val="0"/>
          <w:numId w:val="3"/>
        </w:numPr>
        <w:spacing w:after="60" w:before="60"/>
      </w:pPr>
      <w:r>
        <w:rPr>
          <w:rFonts w:ascii="Arial" w:cs="Arial" w:eastAsia="Arial" w:hAnsi="Arial"/>
          <w:color w:val="222222"/>
          <w:sz w:val="22"/>
          <w:szCs w:val="22"/>
        </w:rPr>
        <w:t xml:space="preserve">Suivi du statut : Ouvert / En attente fournisseur / En attente société / Résolu / Fermé</w:t>
      </w:r>
    </w:p>
    <w:p>
      <w:pPr>
        <w:pStyle w:val="ListParagraph"/>
        <w:numPr>
          <w:ilvl w:val="0"/>
          <w:numId w:val="3"/>
        </w:numPr>
        <w:spacing w:after="60" w:before="60"/>
      </w:pPr>
      <w:r>
        <w:rPr>
          <w:rFonts w:ascii="Arial" w:cs="Arial" w:eastAsia="Arial" w:hAnsi="Arial"/>
          <w:color w:val="222222"/>
          <w:sz w:val="22"/>
          <w:szCs w:val="22"/>
        </w:rPr>
        <w:t xml:space="preserve">Clôture définitive et archivage complet</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17 — Notifications &amp; Messagerie Système</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Centraliser l'ensemble des notifications émises par Procura. Ce module est transversal : tous les autres modules déclenchent leurs notifications via ce service centralisé, sans logique d'envoi directe.</w:t>
      </w:r>
    </w:p>
    <w:p>
      <w:pPr>
        <w:pStyle w:val="Heading3"/>
        <w:spacing w:after="100" w:before="220"/>
      </w:pPr>
      <w:r>
        <w:rPr>
          <w:rFonts w:ascii="Arial" w:cs="Arial" w:eastAsia="Arial" w:hAnsi="Arial"/>
          <w:b/>
          <w:bCs/>
          <w:color w:val="2E75B6"/>
          <w:sz w:val="24"/>
          <w:szCs w:val="24"/>
        </w:rPr>
        <w:t xml:space="preserve">Événements Déclencheurs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500"/>
      </w:tblGrid>
      <w:tr>
        <w:trPr>
          <w:tblHeader/>
        </w:trPr>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Événement</w:t>
            </w:r>
          </w:p>
        </w:tc>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Destinataires</w:t>
            </w:r>
          </w:p>
        </w:tc>
        <w:tc>
          <w:tcPr>
            <w:tcW w:type="dxa" w:w="3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 publiée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Fournisseurs sélectionnés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Email + Notification Procura</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Deadline approchante (J-2, J-1)</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Fournisseurs n'ayant pas déposé</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Offre déposée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Acheteur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Notification Procura</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Besoin validé / refusé</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Demandeur</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Email + Notification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Ouverture des plis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Membres commission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Email + Notification</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Export ERP réalisé</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Acheteur, Admin</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Notification Procura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Ticket créé / répondu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Destinataires du ticket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Email + Notification</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Alerte sécurité</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Administrateurs, SOC</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Email + Alerte système</w:t>
            </w:r>
          </w:p>
        </w:tc>
      </w:tr>
    </w:tbl>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18 — Administration &amp; Paramétrage</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Permettre aux administrateurs de configurer, superviser et maintenir Procura sans modifier le code de l'application. Toute la configuration est centralisée, versionnée et modifiable sans redéploiement.</w:t>
      </w:r>
    </w:p>
    <w:p>
      <w:pPr>
        <w:pStyle w:val="Heading3"/>
        <w:spacing w:after="100" w:before="220"/>
      </w:pPr>
      <w:r>
        <w:rPr>
          <w:rFonts w:ascii="Arial" w:cs="Arial" w:eastAsia="Arial" w:hAnsi="Arial"/>
          <w:b/>
          <w:bCs/>
          <w:color w:val="2E75B6"/>
          <w:sz w:val="24"/>
          <w:szCs w:val="24"/>
        </w:rPr>
        <w:t xml:space="preserve">Périmètre de Configuration</w:t>
      </w:r>
    </w:p>
    <w:p>
      <w:pPr>
        <w:pStyle w:val="ListParagraph"/>
        <w:numPr>
          <w:ilvl w:val="0"/>
          <w:numId w:val="2"/>
        </w:numPr>
        <w:spacing w:after="60" w:before="60"/>
      </w:pPr>
      <w:r>
        <w:rPr>
          <w:rFonts w:ascii="Arial" w:cs="Arial" w:eastAsia="Arial" w:hAnsi="Arial"/>
          <w:color w:val="222222"/>
          <w:sz w:val="22"/>
          <w:szCs w:val="22"/>
        </w:rPr>
        <w:t xml:space="preserve">Workflows : étapes d'approbation, circuits RFQ, règles de transition</w:t>
      </w:r>
    </w:p>
    <w:p>
      <w:pPr>
        <w:pStyle w:val="ListParagraph"/>
        <w:numPr>
          <w:ilvl w:val="0"/>
          <w:numId w:val="2"/>
        </w:numPr>
        <w:spacing w:after="60" w:before="60"/>
      </w:pPr>
      <w:r>
        <w:rPr>
          <w:rFonts w:ascii="Arial" w:cs="Arial" w:eastAsia="Arial" w:hAnsi="Arial"/>
          <w:color w:val="222222"/>
          <w:sz w:val="22"/>
          <w:szCs w:val="22"/>
        </w:rPr>
        <w:t xml:space="preserve">Délais : délais fournisseurs, délais internes, prolongations autorisées</w:t>
      </w:r>
    </w:p>
    <w:p>
      <w:pPr>
        <w:pStyle w:val="ListParagraph"/>
        <w:numPr>
          <w:ilvl w:val="0"/>
          <w:numId w:val="2"/>
        </w:numPr>
        <w:spacing w:after="60" w:before="60"/>
      </w:pPr>
      <w:r>
        <w:rPr>
          <w:rFonts w:ascii="Arial" w:cs="Arial" w:eastAsia="Arial" w:hAnsi="Arial"/>
          <w:color w:val="222222"/>
          <w:sz w:val="22"/>
          <w:szCs w:val="22"/>
        </w:rPr>
        <w:t xml:space="preserve">Rôles : profils utilisateurs, permissions, délégations, héritages</w:t>
      </w:r>
    </w:p>
    <w:p>
      <w:pPr>
        <w:pStyle w:val="ListParagraph"/>
        <w:numPr>
          <w:ilvl w:val="0"/>
          <w:numId w:val="2"/>
        </w:numPr>
        <w:spacing w:after="60" w:before="60"/>
      </w:pPr>
      <w:r>
        <w:rPr>
          <w:rFonts w:ascii="Arial" w:cs="Arial" w:eastAsia="Arial" w:hAnsi="Arial"/>
          <w:color w:val="222222"/>
          <w:sz w:val="22"/>
          <w:szCs w:val="22"/>
        </w:rPr>
        <w:t xml:space="preserve">Paramètres système : langues, fuseaux horaires, formats de dates et monétaires</w:t>
      </w:r>
    </w:p>
    <w:p>
      <w:pPr>
        <w:pStyle w:val="ListParagraph"/>
        <w:numPr>
          <w:ilvl w:val="0"/>
          <w:numId w:val="2"/>
        </w:numPr>
        <w:spacing w:after="60" w:before="60"/>
      </w:pPr>
      <w:r>
        <w:rPr>
          <w:rFonts w:ascii="Arial" w:cs="Arial" w:eastAsia="Arial" w:hAnsi="Arial"/>
          <w:color w:val="222222"/>
          <w:sz w:val="22"/>
          <w:szCs w:val="22"/>
        </w:rPr>
        <w:t xml:space="preserve">Communication : templates emails, notifications, logos, identité graphique</w:t>
      </w:r>
    </w:p>
    <w:p>
      <w:pPr>
        <w:pStyle w:val="ListParagraph"/>
        <w:numPr>
          <w:ilvl w:val="0"/>
          <w:numId w:val="2"/>
        </w:numPr>
        <w:spacing w:after="60" w:before="60"/>
      </w:pPr>
      <w:r>
        <w:rPr>
          <w:rFonts w:ascii="Arial" w:cs="Arial" w:eastAsia="Arial" w:hAnsi="Arial"/>
          <w:color w:val="222222"/>
          <w:sz w:val="22"/>
          <w:szCs w:val="22"/>
        </w:rPr>
        <w:t xml:space="preserve">Supervision : état des services, santé plateforme, ressources, licences</w:t>
      </w:r>
    </w:p>
    <w:p>
      <w:pPr>
        <w:pStyle w:val="Heading3"/>
        <w:spacing w:after="100" w:before="220"/>
      </w:pPr>
      <w:r>
        <w:rPr>
          <w:rFonts w:ascii="Arial" w:cs="Arial" w:eastAsia="Arial" w:hAnsi="Arial"/>
          <w:b/>
          <w:bCs/>
          <w:color w:val="2E75B6"/>
          <w:sz w:val="24"/>
          <w:szCs w:val="24"/>
        </w:rPr>
        <w:t xml:space="preserve">Sécurité Administration</w:t>
      </w:r>
    </w:p>
    <w:p>
      <w:pPr>
        <w:pStyle w:val="ListParagraph"/>
        <w:numPr>
          <w:ilvl w:val="0"/>
          <w:numId w:val="2"/>
        </w:numPr>
        <w:spacing w:after="60" w:before="60"/>
      </w:pPr>
      <w:r>
        <w:rPr>
          <w:rFonts w:ascii="Arial" w:cs="Arial" w:eastAsia="Arial" w:hAnsi="Arial"/>
          <w:color w:val="222222"/>
          <w:sz w:val="22"/>
          <w:szCs w:val="22"/>
        </w:rPr>
        <w:t xml:space="preserve">MFA obligatoire pour les administrateurs</w:t>
      </w:r>
    </w:p>
    <w:p>
      <w:pPr>
        <w:pStyle w:val="ListParagraph"/>
        <w:numPr>
          <w:ilvl w:val="0"/>
          <w:numId w:val="2"/>
        </w:numPr>
        <w:spacing w:after="60" w:before="60"/>
      </w:pPr>
      <w:r>
        <w:rPr>
          <w:rFonts w:ascii="Arial" w:cs="Arial" w:eastAsia="Arial" w:hAnsi="Arial"/>
          <w:color w:val="222222"/>
          <w:sz w:val="22"/>
          <w:szCs w:val="22"/>
        </w:rPr>
        <w:t xml:space="preserve">RBAC strict — accès administration séparé des accès métier</w:t>
      </w:r>
    </w:p>
    <w:p>
      <w:pPr>
        <w:pStyle w:val="ListParagraph"/>
        <w:numPr>
          <w:ilvl w:val="0"/>
          <w:numId w:val="2"/>
        </w:numPr>
        <w:spacing w:after="60" w:before="60"/>
      </w:pPr>
      <w:r>
        <w:rPr>
          <w:rFonts w:ascii="Arial" w:cs="Arial" w:eastAsia="Arial" w:hAnsi="Arial"/>
          <w:color w:val="222222"/>
          <w:sz w:val="22"/>
          <w:szCs w:val="22"/>
        </w:rPr>
        <w:t xml:space="preserve">Versionnement de toute modification de paramètre</w:t>
      </w:r>
    </w:p>
    <w:p>
      <w:pPr>
        <w:pStyle w:val="ListParagraph"/>
        <w:numPr>
          <w:ilvl w:val="0"/>
          <w:numId w:val="2"/>
        </w:numPr>
        <w:spacing w:after="60" w:before="60"/>
      </w:pPr>
      <w:r>
        <w:rPr>
          <w:rFonts w:ascii="Arial" w:cs="Arial" w:eastAsia="Arial" w:hAnsi="Arial"/>
          <w:color w:val="222222"/>
          <w:sz w:val="22"/>
          <w:szCs w:val="22"/>
        </w:rPr>
        <w:t xml:space="preserve">Double validation pour les paramètres critiques</w:t>
      </w:r>
    </w:p>
    <w:p>
      <w:pPr>
        <w:pStyle w:val="ListParagraph"/>
        <w:numPr>
          <w:ilvl w:val="0"/>
          <w:numId w:val="2"/>
        </w:numPr>
        <w:spacing w:after="60" w:before="60"/>
      </w:pPr>
      <w:r>
        <w:rPr>
          <w:rFonts w:ascii="Arial" w:cs="Arial" w:eastAsia="Arial" w:hAnsi="Arial"/>
          <w:color w:val="222222"/>
          <w:sz w:val="22"/>
          <w:szCs w:val="22"/>
        </w:rPr>
        <w:t xml:space="preserve">Chiffrement des secrets via Vault</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19 — Sécurité Globale</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Assurer la protection globale de la plateforme Procura contre les menaces internes et externes, en garantissant la confidentialité, l'intégrité et la disponibilité des données. La sécurité est intégrée by design à chaque composant.</w:t>
      </w:r>
    </w:p>
    <w:p>
      <w:pPr>
        <w:pStyle w:val="Heading3"/>
        <w:spacing w:after="100" w:before="220"/>
      </w:pPr>
      <w:r>
        <w:rPr>
          <w:rFonts w:ascii="Arial" w:cs="Arial" w:eastAsia="Arial" w:hAnsi="Arial"/>
          <w:b/>
          <w:bCs/>
          <w:color w:val="2E75B6"/>
          <w:sz w:val="24"/>
          <w:szCs w:val="24"/>
        </w:rPr>
        <w:t xml:space="preserve">Principes Fondateurs</w:t>
      </w:r>
    </w:p>
    <w:p>
      <w:pPr>
        <w:pStyle w:val="ListParagraph"/>
        <w:numPr>
          <w:ilvl w:val="0"/>
          <w:numId w:val="2"/>
        </w:numPr>
        <w:spacing w:after="60" w:before="60"/>
      </w:pPr>
      <w:r>
        <w:rPr>
          <w:rFonts w:ascii="Arial" w:cs="Arial" w:eastAsia="Arial" w:hAnsi="Arial"/>
          <w:color w:val="222222"/>
          <w:sz w:val="22"/>
          <w:szCs w:val="22"/>
        </w:rPr>
        <w:t xml:space="preserve">Security by Design : la sécurité est intégrée dès la conception</w:t>
      </w:r>
    </w:p>
    <w:p>
      <w:pPr>
        <w:pStyle w:val="ListParagraph"/>
        <w:numPr>
          <w:ilvl w:val="0"/>
          <w:numId w:val="2"/>
        </w:numPr>
        <w:spacing w:after="60" w:before="60"/>
      </w:pPr>
      <w:r>
        <w:rPr>
          <w:rFonts w:ascii="Arial" w:cs="Arial" w:eastAsia="Arial" w:hAnsi="Arial"/>
          <w:color w:val="222222"/>
          <w:sz w:val="22"/>
          <w:szCs w:val="22"/>
        </w:rPr>
        <w:t xml:space="preserve">Zero Trust : aucun composant n'est implicitement fiable</w:t>
      </w:r>
    </w:p>
    <w:p>
      <w:pPr>
        <w:pStyle w:val="ListParagraph"/>
        <w:numPr>
          <w:ilvl w:val="0"/>
          <w:numId w:val="2"/>
        </w:numPr>
        <w:spacing w:after="60" w:before="60"/>
      </w:pPr>
      <w:r>
        <w:rPr>
          <w:rFonts w:ascii="Arial" w:cs="Arial" w:eastAsia="Arial" w:hAnsi="Arial"/>
          <w:color w:val="222222"/>
          <w:sz w:val="22"/>
          <w:szCs w:val="22"/>
        </w:rPr>
        <w:t xml:space="preserve">Défense en Profondeur : plusieurs couches de contrôle</w:t>
      </w:r>
    </w:p>
    <w:p>
      <w:pPr>
        <w:pStyle w:val="ListParagraph"/>
        <w:numPr>
          <w:ilvl w:val="0"/>
          <w:numId w:val="2"/>
        </w:numPr>
        <w:spacing w:after="60" w:before="60"/>
      </w:pPr>
      <w:r>
        <w:rPr>
          <w:rFonts w:ascii="Arial" w:cs="Arial" w:eastAsia="Arial" w:hAnsi="Arial"/>
          <w:color w:val="222222"/>
          <w:sz w:val="22"/>
          <w:szCs w:val="22"/>
        </w:rPr>
        <w:t xml:space="preserve">Least Privilege : chaque composant et utilisateur a le minimum de droits nécessaires</w:t>
      </w:r>
    </w:p>
    <w:p>
      <w:pPr>
        <w:pStyle w:val="Heading3"/>
        <w:spacing w:after="100" w:before="220"/>
      </w:pPr>
      <w:r>
        <w:rPr>
          <w:rFonts w:ascii="Arial" w:cs="Arial" w:eastAsia="Arial" w:hAnsi="Arial"/>
          <w:b/>
          <w:bCs/>
          <w:color w:val="2E75B6"/>
          <w:sz w:val="24"/>
          <w:szCs w:val="24"/>
        </w:rPr>
        <w:t xml:space="preserve">Mesures de Sécurité Transversales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500"/>
      </w:tblGrid>
      <w:tr>
        <w:trPr>
          <w:tblHeader/>
        </w:trPr>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Domaine</w:t>
            </w:r>
          </w:p>
        </w:tc>
        <w:tc>
          <w:tcPr>
            <w:tcW w:type="dxa" w:w="3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Mesure</w:t>
            </w:r>
          </w:p>
        </w:tc>
        <w:tc>
          <w:tcPr>
            <w:tcW w:type="dxa" w:w="3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Technologie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Communications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TLS 1.3 + HTTPS uniquement + HSTS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Nginx + Let's Encrypt / PKI interne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Authentification</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LDAP / AD / MFA / Sessions sécurisées</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Keycloak / AD + TOTP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Contrôle d'accès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RBAC + vérification de chaque requête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RBAC Engine Procura</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Protection applicative</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OWASP Top 10 : XSS, CSRF, SQLi, SSRF</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ModSecurity / WAF + validation entrées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Protection réseau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VLAN + DMZ + Firewall + Reverse Proxy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Palo Alto / pfSense + Nginx</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Chiffrement données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AES-256 au repos, TLS en transit</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PostgreSQL + MinIO chiffrés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Gestion des clés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PKI + HSM + rotation + révocation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EJBCA + YubiHSM / Thales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Surveillance</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SIEM + IDS + alertes SOC</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Wazuh + ELK + Grafana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Scan vulnérabilités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Scan régulier + correctifs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OpenVAS / Nessus</w:t>
            </w:r>
          </w:p>
        </w:tc>
      </w:tr>
    </w:tbl>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20 — Archivage &amp; Conservation Légale</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Garantir la conservation, l'intégrité et la disponibilité des documents, preuves et journaux générés par Procura pendant toute leur durée légale de conservation.</w:t>
      </w:r>
    </w:p>
    <w:p>
      <w:pPr>
        <w:pStyle w:val="Heading3"/>
        <w:spacing w:after="100" w:before="220"/>
      </w:pPr>
      <w:r>
        <w:rPr>
          <w:rFonts w:ascii="Arial" w:cs="Arial" w:eastAsia="Arial" w:hAnsi="Arial"/>
          <w:b/>
          <w:bCs/>
          <w:color w:val="2E75B6"/>
          <w:sz w:val="24"/>
          <w:szCs w:val="24"/>
        </w:rPr>
        <w:t xml:space="preserve">Politique d'Archivage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3700"/>
      </w:tblGrid>
      <w:tr>
        <w:trPr>
          <w:tblHeader/>
        </w:trPr>
        <w:tc>
          <w:tcPr>
            <w:tcW w:type="dxa" w:w="3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 de Document</w:t>
            </w:r>
          </w:p>
        </w:tc>
        <w:tc>
          <w:tcPr>
            <w:tcW w:type="dxa" w:w="18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Durée Minimale</w:t>
            </w:r>
          </w:p>
        </w:tc>
        <w:tc>
          <w:tcPr>
            <w:tcW w:type="dxa" w:w="37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Format de Conservation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Offres fournisseurs scellées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10 ans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WORM chiffré + copie redondante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Procès-Verbaux de commission</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10 ans</w:t>
            </w:r>
          </w:p>
        </w:tc>
        <w:tc>
          <w:tcPr>
            <w:tcW w:type="dxa" w:w="3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PDF signé + WORM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Journaux d'audit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10 ans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Elasticsearch + WORM</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Exports finaux ERP</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10 ans</w:t>
            </w:r>
          </w:p>
        </w:tc>
        <w:tc>
          <w:tcPr>
            <w:tcW w:type="dxa" w:w="3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JSON / XML / CSV + WORM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Preuves d'horodatage (RFC 3161)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10 ans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Archive signée + WORM</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Expressions de besoin validées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5 ans</w:t>
            </w:r>
          </w:p>
        </w:tc>
        <w:tc>
          <w:tcPr>
            <w:tcW w:type="dxa" w:w="3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Tickets de communication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5 ans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Base de données chiffrée + WORM</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Logs système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3 ans</w:t>
            </w:r>
          </w:p>
        </w:tc>
        <w:tc>
          <w:tcPr>
            <w:tcW w:type="dxa" w:w="3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Elasticsearch + WORM</w:t>
            </w:r>
          </w:p>
        </w:tc>
      </w:tr>
    </w:tbl>
    <w:p>
      <w:pPr>
        <w:pStyle w:val="Heading3"/>
        <w:spacing w:after="100" w:before="220"/>
      </w:pPr>
      <w:r>
        <w:rPr>
          <w:rFonts w:ascii="Arial" w:cs="Arial" w:eastAsia="Arial" w:hAnsi="Arial"/>
          <w:b/>
          <w:bCs/>
          <w:color w:val="2E75B6"/>
          <w:sz w:val="24"/>
          <w:szCs w:val="24"/>
        </w:rPr>
        <w:t xml:space="preserve">Composants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rPr>
          <w:tblHeader/>
        </w:trPr>
        <w:tc>
          <w:tcPr>
            <w:tcW w:type="dxa" w:w="3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Composant</w:t>
            </w:r>
          </w:p>
        </w:tc>
        <w:tc>
          <w:tcPr>
            <w:tcW w:type="dxa" w:w="5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Archive Manager</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Orchestration de l'archivage de tous les modules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WORM Storage (NAS / MinIO Object Lock)</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Stockage immuable — Write Once Read Many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Index Engine (Elasticsearch)</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Indexation et recherche multi-critères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Metadata Database (PostgreSQL)</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Gestion des métadonnées d'archivage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Backup Manager</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Sauvegardes redondantes des archives</w:t>
            </w:r>
          </w:p>
        </w:tc>
      </w:tr>
    </w:tbl>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21 — Monitoring &amp; Exploitation</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Assurer la supervision continue, l'exploitation opérationnelle et la disponibilité de Procura afin de garantir un fonctionnement optimal, une détection rapide des incidents et une continuité de service.</w:t>
      </w:r>
    </w:p>
    <w:p>
      <w:pPr>
        <w:pStyle w:val="Heading3"/>
        <w:spacing w:after="100" w:before="220"/>
      </w:pPr>
      <w:r>
        <w:rPr>
          <w:rFonts w:ascii="Arial" w:cs="Arial" w:eastAsia="Arial" w:hAnsi="Arial"/>
          <w:b/>
          <w:bCs/>
          <w:color w:val="2E75B6"/>
          <w:sz w:val="24"/>
          <w:szCs w:val="24"/>
        </w:rPr>
        <w:t xml:space="preserve">Indicateurs Supervisés</w:t>
      </w:r>
    </w:p>
    <w:p>
      <w:pPr>
        <w:pStyle w:val="ListParagraph"/>
        <w:numPr>
          <w:ilvl w:val="0"/>
          <w:numId w:val="2"/>
        </w:numPr>
        <w:spacing w:after="60" w:before="60"/>
      </w:pPr>
      <w:r>
        <w:rPr>
          <w:rFonts w:ascii="Arial" w:cs="Arial" w:eastAsia="Arial" w:hAnsi="Arial"/>
          <w:color w:val="222222"/>
          <w:sz w:val="22"/>
          <w:szCs w:val="22"/>
        </w:rPr>
        <w:t xml:space="preserve">Disponibilité des services Procura (application, API, base de données, DMZ)</w:t>
      </w:r>
    </w:p>
    <w:p>
      <w:pPr>
        <w:pStyle w:val="ListParagraph"/>
        <w:numPr>
          <w:ilvl w:val="0"/>
          <w:numId w:val="2"/>
        </w:numPr>
        <w:spacing w:after="60" w:before="60"/>
      </w:pPr>
      <w:r>
        <w:rPr>
          <w:rFonts w:ascii="Arial" w:cs="Arial" w:eastAsia="Arial" w:hAnsi="Arial"/>
          <w:color w:val="222222"/>
          <w:sz w:val="22"/>
          <w:szCs w:val="22"/>
        </w:rPr>
        <w:t xml:space="preserve">Utilisation CPU, mémoire, stockage, bande passante</w:t>
      </w:r>
    </w:p>
    <w:p>
      <w:pPr>
        <w:pStyle w:val="ListParagraph"/>
        <w:numPr>
          <w:ilvl w:val="0"/>
          <w:numId w:val="2"/>
        </w:numPr>
        <w:spacing w:after="60" w:before="60"/>
      </w:pPr>
      <w:r>
        <w:rPr>
          <w:rFonts w:ascii="Arial" w:cs="Arial" w:eastAsia="Arial" w:hAnsi="Arial"/>
          <w:color w:val="222222"/>
          <w:sz w:val="22"/>
          <w:szCs w:val="22"/>
        </w:rPr>
        <w:t xml:space="preserve">Temps de réponse des API et des pages</w:t>
      </w:r>
    </w:p>
    <w:p>
      <w:pPr>
        <w:pStyle w:val="ListParagraph"/>
        <w:numPr>
          <w:ilvl w:val="0"/>
          <w:numId w:val="2"/>
        </w:numPr>
        <w:spacing w:after="60" w:before="60"/>
      </w:pPr>
      <w:r>
        <w:rPr>
          <w:rFonts w:ascii="Arial" w:cs="Arial" w:eastAsia="Arial" w:hAnsi="Arial"/>
          <w:color w:val="222222"/>
          <w:sz w:val="22"/>
          <w:szCs w:val="22"/>
        </w:rPr>
        <w:t xml:space="preserve">État des connecteurs ERP</w:t>
      </w:r>
    </w:p>
    <w:p>
      <w:pPr>
        <w:pStyle w:val="ListParagraph"/>
        <w:numPr>
          <w:ilvl w:val="0"/>
          <w:numId w:val="2"/>
        </w:numPr>
        <w:spacing w:after="60" w:before="60"/>
      </w:pPr>
      <w:r>
        <w:rPr>
          <w:rFonts w:ascii="Arial" w:cs="Arial" w:eastAsia="Arial" w:hAnsi="Arial"/>
          <w:color w:val="222222"/>
          <w:sz w:val="22"/>
          <w:szCs w:val="22"/>
        </w:rPr>
        <w:t xml:space="preserve">État des services d'authentification</w:t>
      </w:r>
    </w:p>
    <w:p>
      <w:pPr>
        <w:pStyle w:val="ListParagraph"/>
        <w:numPr>
          <w:ilvl w:val="0"/>
          <w:numId w:val="2"/>
        </w:numPr>
        <w:spacing w:after="60" w:before="60"/>
      </w:pPr>
      <w:r>
        <w:rPr>
          <w:rFonts w:ascii="Arial" w:cs="Arial" w:eastAsia="Arial" w:hAnsi="Arial"/>
          <w:color w:val="222222"/>
          <w:sz w:val="22"/>
          <w:szCs w:val="22"/>
        </w:rPr>
        <w:t xml:space="preserve">Réussite des sauvegardes automatiques</w:t>
      </w:r>
    </w:p>
    <w:p>
      <w:pPr>
        <w:pStyle w:val="ListParagraph"/>
        <w:numPr>
          <w:ilvl w:val="0"/>
          <w:numId w:val="2"/>
        </w:numPr>
        <w:spacing w:after="60" w:before="60"/>
      </w:pPr>
      <w:r>
        <w:rPr>
          <w:rFonts w:ascii="Arial" w:cs="Arial" w:eastAsia="Arial" w:hAnsi="Arial"/>
          <w:color w:val="222222"/>
          <w:sz w:val="22"/>
          <w:szCs w:val="22"/>
        </w:rPr>
        <w:t xml:space="preserve">File d'attente des messages (RabbitMQ)</w:t>
      </w:r>
    </w:p>
    <w:p>
      <w:pPr>
        <w:pStyle w:val="Heading3"/>
        <w:spacing w:after="100" w:before="220"/>
      </w:pPr>
      <w:r>
        <w:rPr>
          <w:rFonts w:ascii="Arial" w:cs="Arial" w:eastAsia="Arial" w:hAnsi="Arial"/>
          <w:b/>
          <w:bCs/>
          <w:color w:val="2E75B6"/>
          <w:sz w:val="24"/>
          <w:szCs w:val="24"/>
        </w:rPr>
        <w:t xml:space="preserve">Stack Technique Monitoring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rPr>
          <w:tblHeader/>
        </w:trPr>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Outil</w:t>
            </w:r>
          </w:p>
        </w:tc>
        <w:tc>
          <w:tcPr>
            <w:tcW w:type="dxa" w:w="6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Prometheus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Collecte des métriques en temps réel</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Grafana</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Tableaux de bord de supervision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Node Exporter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Métriques système des serveurs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Blackbox Exporter</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Supervision réseau et disponibilité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Alertmanager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Gestion des alertes (email, SMS, webhook)</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ELK Stack / OpenSearch</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Centralisation et analyse des logs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Backup Manager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Vérification automatique des sauvegardes</w:t>
            </w:r>
          </w:p>
        </w:tc>
      </w:tr>
    </w:tbl>
    <w:p>
      <w:pPr>
        <w:pStyle w:val="Heading3"/>
        <w:spacing w:after="100" w:before="220"/>
      </w:pPr>
      <w:r>
        <w:rPr>
          <w:rFonts w:ascii="Arial" w:cs="Arial" w:eastAsia="Arial" w:hAnsi="Arial"/>
          <w:b/>
          <w:bCs/>
          <w:color w:val="2E75B6"/>
          <w:sz w:val="24"/>
          <w:szCs w:val="24"/>
        </w:rPr>
        <w:t xml:space="preserve">Plan de Reprise d'Activité (PRA)</w:t>
      </w:r>
    </w:p>
    <w:p>
      <w:pPr>
        <w:pStyle w:val="ListParagraph"/>
        <w:numPr>
          <w:ilvl w:val="0"/>
          <w:numId w:val="2"/>
        </w:numPr>
        <w:spacing w:after="60" w:before="60"/>
      </w:pPr>
      <w:r>
        <w:rPr>
          <w:rFonts w:ascii="Arial" w:cs="Arial" w:eastAsia="Arial" w:hAnsi="Arial"/>
          <w:color w:val="222222"/>
          <w:sz w:val="22"/>
          <w:szCs w:val="22"/>
        </w:rPr>
        <w:t xml:space="preserve">Panne serveur → bascule vers serveur secondaire (si haute disponibilité configurée)</w:t>
      </w:r>
    </w:p>
    <w:p>
      <w:pPr>
        <w:pStyle w:val="ListParagraph"/>
        <w:numPr>
          <w:ilvl w:val="0"/>
          <w:numId w:val="2"/>
        </w:numPr>
        <w:spacing w:after="60" w:before="60"/>
      </w:pPr>
      <w:r>
        <w:rPr>
          <w:rFonts w:ascii="Arial" w:cs="Arial" w:eastAsia="Arial" w:hAnsi="Arial"/>
          <w:color w:val="222222"/>
          <w:sz w:val="22"/>
          <w:szCs w:val="22"/>
        </w:rPr>
        <w:t xml:space="preserve">Défaillance base de données → restauration depuis sauvegarde vérifiée</w:t>
      </w:r>
    </w:p>
    <w:p>
      <w:pPr>
        <w:pStyle w:val="ListParagraph"/>
        <w:numPr>
          <w:ilvl w:val="0"/>
          <w:numId w:val="2"/>
        </w:numPr>
        <w:spacing w:after="60" w:before="60"/>
      </w:pPr>
      <w:r>
        <w:rPr>
          <w:rFonts w:ascii="Arial" w:cs="Arial" w:eastAsia="Arial" w:hAnsi="Arial"/>
          <w:color w:val="222222"/>
          <w:sz w:val="22"/>
          <w:szCs w:val="22"/>
        </w:rPr>
        <w:t xml:space="preserve">Coupure réseau → bascule selon architecture client</w:t>
      </w:r>
    </w:p>
    <w:p>
      <w:pPr>
        <w:pStyle w:val="ListParagraph"/>
        <w:numPr>
          <w:ilvl w:val="0"/>
          <w:numId w:val="2"/>
        </w:numPr>
        <w:spacing w:after="60" w:before="60"/>
      </w:pPr>
      <w:r>
        <w:rPr>
          <w:rFonts w:ascii="Arial" w:cs="Arial" w:eastAsia="Arial" w:hAnsi="Arial"/>
          <w:color w:val="222222"/>
          <w:sz w:val="22"/>
          <w:szCs w:val="22"/>
        </w:rPr>
        <w:t xml:space="preserve">Indisponibilité ERP → mise en file d'attente des synchronisations</w:t>
      </w:r>
    </w:p>
    <w:p>
      <w:pPr>
        <w:pStyle w:val="ListParagraph"/>
        <w:numPr>
          <w:ilvl w:val="0"/>
          <w:numId w:val="2"/>
        </w:numPr>
        <w:spacing w:after="60" w:before="60"/>
      </w:pPr>
      <w:r>
        <w:rPr>
          <w:rFonts w:ascii="Arial" w:cs="Arial" w:eastAsia="Arial" w:hAnsi="Arial"/>
          <w:color w:val="222222"/>
          <w:sz w:val="22"/>
          <w:szCs w:val="22"/>
        </w:rPr>
        <w:t xml:space="preserve">Saturation ressources → alerte monitoring + montée en capacité</w:t>
      </w:r>
    </w:p>
    <w:p>
      <w:pPr>
        <w:pStyle w:val="ListParagraph"/>
        <w:numPr>
          <w:ilvl w:val="0"/>
          <w:numId w:val="2"/>
        </w:numPr>
        <w:spacing w:after="60" w:before="60"/>
      </w:pPr>
      <w:r>
        <w:rPr>
          <w:rFonts w:ascii="Arial" w:cs="Arial" w:eastAsia="Arial" w:hAnsi="Arial"/>
          <w:color w:val="222222"/>
          <w:sz w:val="22"/>
          <w:szCs w:val="22"/>
        </w:rPr>
        <w:t xml:space="preserve">Incident critique → activation du PRA + analyse post-incident</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Module 22 — Documentation &amp; Support</w:t>
      </w:r>
    </w:p>
    <w:p>
      <w:pPr>
        <w:pStyle w:val="Heading3"/>
        <w:spacing w:after="100" w:before="220"/>
      </w:pPr>
      <w:r>
        <w:rPr>
          <w:rFonts w:ascii="Arial" w:cs="Arial" w:eastAsia="Arial" w:hAnsi="Arial"/>
          <w:b/>
          <w:bCs/>
          <w:color w:val="2E75B6"/>
          <w:sz w:val="24"/>
          <w:szCs w:val="24"/>
        </w:rPr>
        <w:t xml:space="preserve">Objectif</w:t>
      </w:r>
    </w:p>
    <w:p>
      <w:pPr>
        <w:spacing w:after="80" w:before="80"/>
        <w:jc w:val="left"/>
      </w:pPr>
      <w:r>
        <w:rPr>
          <w:rFonts w:ascii="Arial" w:cs="Arial" w:eastAsia="Arial" w:hAnsi="Arial"/>
          <w:b w:val="false"/>
          <w:bCs w:val="false"/>
          <w:i w:val="false"/>
          <w:iCs w:val="false"/>
          <w:color w:val="222222"/>
          <w:sz w:val="22"/>
          <w:szCs w:val="22"/>
        </w:rPr>
        <w:t xml:space="preserve">Mettre à disposition l'ensemble de la documentation fonctionnelle et technique de Procura ainsi que les outils nécessaires au support des utilisateurs, des administrateurs et des équipes d'exploitation.</w:t>
      </w:r>
    </w:p>
    <w:p>
      <w:pPr>
        <w:pStyle w:val="Heading3"/>
        <w:spacing w:after="100" w:before="220"/>
      </w:pPr>
      <w:r>
        <w:rPr>
          <w:rFonts w:ascii="Arial" w:cs="Arial" w:eastAsia="Arial" w:hAnsi="Arial"/>
          <w:b/>
          <w:bCs/>
          <w:color w:val="2E75B6"/>
          <w:sz w:val="24"/>
          <w:szCs w:val="24"/>
        </w:rPr>
        <w:t xml:space="preserve">Types de Documentation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500"/>
      </w:tblGrid>
      <w:tr>
        <w:trPr>
          <w:tblHeader/>
        </w:trPr>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3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Contenu</w:t>
            </w:r>
          </w:p>
        </w:tc>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Audience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Documentation Technique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Architecture, déploiement, API, sécurité, intégration ERP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DSI, Développeurs, Administrateurs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Documentation Utilisateur</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Guides par profil : demandeur, acheteur, commission, admin</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Utilisateurs internes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Documentation Fournisseur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Accès portail, dépôt offres, suivi, tickets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Fournisseurs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Base de Connaissances</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FAQ, procédures, bonnes pratiques, notes de version</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Tous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Documentation API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Endpoints, authentification, formats, exemples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Développeurs ERP</w:t>
            </w:r>
          </w:p>
        </w:tc>
      </w:tr>
    </w:tbl>
    <w:p>
      <w:pPr>
        <w:pStyle w:val="Heading3"/>
        <w:spacing w:after="100" w:before="220"/>
      </w:pPr>
      <w:r>
        <w:rPr>
          <w:rFonts w:ascii="Arial" w:cs="Arial" w:eastAsia="Arial" w:hAnsi="Arial"/>
          <w:b/>
          <w:bCs/>
          <w:color w:val="2E75B6"/>
          <w:sz w:val="24"/>
          <w:szCs w:val="24"/>
        </w:rPr>
        <w:t xml:space="preserve">Gestion du Support</w:t>
      </w:r>
    </w:p>
    <w:p>
      <w:pPr>
        <w:pStyle w:val="ListParagraph"/>
        <w:numPr>
          <w:ilvl w:val="0"/>
          <w:numId w:val="2"/>
        </w:numPr>
        <w:spacing w:after="60" w:before="60"/>
      </w:pPr>
      <w:r>
        <w:rPr>
          <w:rFonts w:ascii="Arial" w:cs="Arial" w:eastAsia="Arial" w:hAnsi="Arial"/>
          <w:color w:val="222222"/>
          <w:sz w:val="22"/>
          <w:szCs w:val="22"/>
        </w:rPr>
        <w:t xml:space="preserve">Système de ticketing dédié avec numérotation, catégorie, priorité et statut</w:t>
      </w:r>
    </w:p>
    <w:p>
      <w:pPr>
        <w:pStyle w:val="ListParagraph"/>
        <w:numPr>
          <w:ilvl w:val="0"/>
          <w:numId w:val="2"/>
        </w:numPr>
        <w:spacing w:after="60" w:before="60"/>
      </w:pPr>
      <w:r>
        <w:rPr>
          <w:rFonts w:ascii="Arial" w:cs="Arial" w:eastAsia="Arial" w:hAnsi="Arial"/>
          <w:color w:val="222222"/>
          <w:sz w:val="22"/>
          <w:szCs w:val="22"/>
        </w:rPr>
        <w:t xml:space="preserve">Traçabilité complète : ouverture, diagnostic, résolution, clôture, historique</w:t>
      </w:r>
    </w:p>
    <w:p>
      <w:pPr>
        <w:pStyle w:val="ListParagraph"/>
        <w:numPr>
          <w:ilvl w:val="0"/>
          <w:numId w:val="2"/>
        </w:numPr>
        <w:spacing w:after="60" w:before="60"/>
      </w:pPr>
      <w:r>
        <w:rPr>
          <w:rFonts w:ascii="Arial" w:cs="Arial" w:eastAsia="Arial" w:hAnsi="Arial"/>
          <w:color w:val="222222"/>
          <w:sz w:val="22"/>
          <w:szCs w:val="22"/>
        </w:rPr>
        <w:t xml:space="preserve">Capitalisation : enrichissement de la base documentaire après chaque résolution</w:t>
      </w:r>
    </w:p>
    <w:p>
      <w:pPr>
        <w:pStyle w:val="ListParagraph"/>
        <w:numPr>
          <w:ilvl w:val="0"/>
          <w:numId w:val="2"/>
        </w:numPr>
        <w:spacing w:after="60" w:before="60"/>
      </w:pPr>
      <w:r>
        <w:rPr>
          <w:rFonts w:ascii="Arial" w:cs="Arial" w:eastAsia="Arial" w:hAnsi="Arial"/>
          <w:color w:val="222222"/>
          <w:sz w:val="22"/>
          <w:szCs w:val="22"/>
        </w:rPr>
        <w:t xml:space="preserve">Amélioration continue : analyse des incidents récurrents et temps moyen de résolution</w:t>
      </w:r>
    </w:p>
    <w:p>
      <w:r>
        <w:br w:type="page"/>
      </w:r>
    </w:p>
    <w:p>
      <w:pPr>
        <w:pStyle w:val="Heading1"/>
        <w:pBdr>
          <w:bottom w:val="single" w:color="00B0F0" w:sz="6" w:space="1"/>
        </w:pBdr>
        <w:shd w:fill="1B3A6B" w:val="clear"/>
        <w:spacing w:after="200" w:before="400"/>
      </w:pPr>
      <w:r>
        <w:rPr>
          <w:rFonts w:ascii="Arial" w:cs="Arial" w:eastAsia="Arial" w:hAnsi="Arial"/>
          <w:b/>
          <w:bCs/>
          <w:color w:val="FFFFFF"/>
          <w:sz w:val="36"/>
          <w:szCs w:val="36"/>
        </w:rPr>
        <w:t xml:space="preserve">PARTIE V — DONNÉES</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19. Modèle de Données</w:t>
      </w:r>
    </w:p>
    <w:p>
      <w:pPr>
        <w:pStyle w:val="Heading3"/>
        <w:spacing w:after="100" w:before="220"/>
      </w:pPr>
      <w:r>
        <w:rPr>
          <w:rFonts w:ascii="Arial" w:cs="Arial" w:eastAsia="Arial" w:hAnsi="Arial"/>
          <w:b/>
          <w:bCs/>
          <w:color w:val="2E75B6"/>
          <w:sz w:val="24"/>
          <w:szCs w:val="24"/>
        </w:rPr>
        <w:t xml:space="preserve">19.1 Entités Principales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500"/>
      </w:tblGrid>
      <w:tr>
        <w:trPr>
          <w:tblHeader/>
        </w:trPr>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Entité</w:t>
            </w:r>
          </w:p>
        </w:tc>
        <w:tc>
          <w:tcPr>
            <w:tcW w:type="dxa" w:w="3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3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Relations Clés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Utilisateurs internes de Procura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roles, sessions, audit_logs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roles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Rôles et permissions RBAC</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users, permissions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permissions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Permissions granulaires par 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roles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departments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Départements de l'organisation</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users, need_requests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need_requests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Expressions de besoins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users, departments, rfqs, documents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need_versions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Versions historisées d'un besoin</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need_requests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Consultations (Request for Quotation)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need_requests, suppliers, documents, submissions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rfq_documents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Documents joints à une RFQ</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suppliers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Fournisseurs (lus depuis ERP)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rfq_suppliers, submissions, tickets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rfq_suppliers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Association RFQ ↔ Fournisseur</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rfqs, suppliers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invitations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Invitations envoyées aux fournisseurs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rfqs, suppliers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submissions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Offres déposées par les fournisseurs</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rfqs, suppliers, submission_files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submission_files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Fichiers des offres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submissions, security_scans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security_scans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Résultats d'analyse sécurité des fichiers</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submission_files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timestamps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Preuves d'horodatage RFC 3161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submissions, rfqs, pvs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deadlines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Échéances des RFQ</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commission_sessions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Séances d'ouverture des plis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rfqs, users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commission_decisions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Décisions de la commission</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commission_sessions, suppliers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pvs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Procès-Verbaux numériques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commission_sessions, rfqs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final_outputs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Données finales exportées vers l'ERP</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rfqs, pvs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erp_exports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Historique des transmissions ERP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final_outputs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tickets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Tickets de communication post-décision</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rfqs, suppliers, 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ticket_messages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Messages des tickets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tickets, users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ticket_attachments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Pièces jointes des tickets</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ticket_messages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audit_logs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Journal d'audit global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users, rfqs, tous les modules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notifications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Notifications envoyées</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users, suppliers,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system_config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Configuration de la plateforme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paramètres, workflows, délais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archive_items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Éléments archivés légalement</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tous les documents et preuves</w:t>
            </w:r>
          </w:p>
        </w:tc>
      </w:tr>
    </w:tbl>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20. Dictionnaire de Données (Entités Clés)</w:t>
      </w:r>
    </w:p>
    <w:p>
      <w:pPr>
        <w:pStyle w:val="Heading3"/>
        <w:spacing w:after="100" w:before="220"/>
      </w:pPr>
      <w:r>
        <w:rPr>
          <w:rFonts w:ascii="Arial" w:cs="Arial" w:eastAsia="Arial" w:hAnsi="Arial"/>
          <w:b/>
          <w:bCs/>
          <w:color w:val="2E75B6"/>
          <w:sz w:val="24"/>
          <w:szCs w:val="24"/>
        </w:rPr>
        <w:t xml:space="preserve">20.1 Table : rfqs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700"/>
        <w:gridCol w:w="2500"/>
      </w:tblGrid>
      <w:tr>
        <w:trPr>
          <w:tblHeader/>
        </w:trPr>
        <w:tc>
          <w:tcPr>
            <w:tcW w:type="dxa" w:w="18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w:t>
            </w:r>
          </w:p>
        </w:tc>
        <w:tc>
          <w:tcPr>
            <w:tcW w:type="dxa" w:w="1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7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Contraintes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UUID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Identifiant unique de la RFQ</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 NOT NULL</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rfq_number</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VARCHAR(50)</w:t>
            </w:r>
          </w:p>
        </w:tc>
        <w:tc>
          <w:tcPr>
            <w:tcW w:type="dxa" w:w="2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Numéro de consultation</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UNIQUE, NOT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need_request_id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UUID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Besoin d'origine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 need_requests</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title</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VARCHAR(255)</w:t>
            </w:r>
          </w:p>
        </w:tc>
        <w:tc>
          <w:tcPr>
            <w:tcW w:type="dxa" w:w="2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Intitulé de la RFQ</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description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Description fonctionnelle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status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w:t>
            </w:r>
          </w:p>
        </w:tc>
        <w:tc>
          <w:tcPr>
            <w:tcW w:type="dxa" w:w="2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DRAFT / PUBLISHED / OPEN / CLOSED / AWARDED</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publication_date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TIMESTAMPTZ</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 de publication officielle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deadline_date</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TIMESTAMPTZ</w:t>
            </w:r>
          </w:p>
        </w:tc>
        <w:tc>
          <w:tcPr>
            <w:tcW w:type="dxa" w:w="2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 et heure limite de dépôt</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timezone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VARCHAR(50)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Fuseau horaire de référence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 NULL</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hash_sha256</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VARCHAR(64)</w:t>
            </w:r>
          </w:p>
        </w:tc>
        <w:tc>
          <w:tcPr>
            <w:tcW w:type="dxa" w:w="2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Empreinte SHA-256 de la RFQ scellée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UNIQUE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hsm_signature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Signature numérique HSM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timestamp_rfc3161</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BYTEA</w:t>
            </w:r>
          </w:p>
        </w:tc>
        <w:tc>
          <w:tcPr>
            <w:tcW w:type="dxa" w:w="2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Jeton d'horodatage RFC 3161</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created_by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UUID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Acheteur créateur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 users</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created_at</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TIMESTAMPTZ</w:t>
            </w:r>
          </w:p>
        </w:tc>
        <w:tc>
          <w:tcPr>
            <w:tcW w:type="dxa" w:w="2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 de création</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 NULL, DEFAULT NOW()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updated_at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TIMESTAMPTZ</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 de dernière modification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is_locked</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w:t>
            </w:r>
          </w:p>
        </w:tc>
        <w:tc>
          <w:tcPr>
            <w:tcW w:type="dxa" w:w="2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 verrouillée après publication</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DEFAULT FALSE</w:t>
            </w:r>
          </w:p>
        </w:tc>
      </w:tr>
    </w:tbl>
    <w:p>
      <w:pPr>
        <w:pStyle w:val="Heading3"/>
        <w:spacing w:after="100" w:before="220"/>
      </w:pPr>
      <w:r>
        <w:rPr>
          <w:rFonts w:ascii="Arial" w:cs="Arial" w:eastAsia="Arial" w:hAnsi="Arial"/>
          <w:b/>
          <w:bCs/>
          <w:color w:val="2E75B6"/>
          <w:sz w:val="24"/>
          <w:szCs w:val="24"/>
        </w:rPr>
        <w:t xml:space="preserve">20.2 Table : submissions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700"/>
        <w:gridCol w:w="2500"/>
      </w:tblGrid>
      <w:tr>
        <w:trPr>
          <w:tblHeader/>
        </w:trPr>
        <w:tc>
          <w:tcPr>
            <w:tcW w:type="dxa" w:w="18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w:t>
            </w:r>
          </w:p>
        </w:tc>
        <w:tc>
          <w:tcPr>
            <w:tcW w:type="dxa" w:w="1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7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Contraintes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submission_id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UUID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Identifiant unique du dépôt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 NOT NULL</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rfq_id</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UUID</w:t>
            </w:r>
          </w:p>
        </w:tc>
        <w:tc>
          <w:tcPr>
            <w:tcW w:type="dxa" w:w="2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 concernée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FK → rfqs, NOT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supplier_id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VARCHAR(100)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Identifiant fournisseur (ERP)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 NULL</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submission_timestamp</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TIMESTAMPTZ</w:t>
            </w:r>
          </w:p>
        </w:tc>
        <w:tc>
          <w:tcPr>
            <w:tcW w:type="dxa" w:w="2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Horodatage précis du dépôt</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ENUM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RECEIVED / SCANNED / SEALED / OPENED / REJECTED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 NULL</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job_id</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UUID</w:t>
            </w:r>
          </w:p>
        </w:tc>
        <w:tc>
          <w:tcPr>
            <w:tcW w:type="dxa" w:w="2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Identifiant de traitement DMZ</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UNIQUE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ip_source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Adresse IP source du dépôt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hash_sha256</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VARCHAR(64)</w:t>
            </w:r>
          </w:p>
        </w:tc>
        <w:tc>
          <w:tcPr>
            <w:tcW w:type="dxa" w:w="2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Empreinte SHA-256 de l'offre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hsm_signature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TEXT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Signature HSM de l'offre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timestamp_rfc3161</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BYTEA</w:t>
            </w:r>
          </w:p>
        </w:tc>
        <w:tc>
          <w:tcPr>
            <w:tcW w:type="dxa" w:w="2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Jeton d'horodatage RFC 3161</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is_sealed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BOOLEAN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Offre scellée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DEFAULT FALSE</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seal_timestamp</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TIMESTAMPTZ</w:t>
            </w:r>
          </w:p>
        </w:tc>
        <w:tc>
          <w:tcPr>
            <w:tcW w:type="dxa" w:w="2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 de scellage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opened_at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TIMESTAMPTZ</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 d'ouverture officielle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created_at</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TIMESTAMPTZ</w:t>
            </w:r>
          </w:p>
        </w:tc>
        <w:tc>
          <w:tcPr>
            <w:tcW w:type="dxa" w:w="2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Date de création</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 NULL, DEFAULT NOW()</w:t>
            </w:r>
          </w:p>
        </w:tc>
      </w:tr>
    </w:tbl>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21. Gestion Documentaire</w:t>
      </w:r>
    </w:p>
    <w:p>
      <w:pPr>
        <w:pStyle w:val="Heading3"/>
        <w:spacing w:after="100" w:before="220"/>
      </w:pPr>
      <w:r>
        <w:rPr>
          <w:rFonts w:ascii="Arial" w:cs="Arial" w:eastAsia="Arial" w:hAnsi="Arial"/>
          <w:b/>
          <w:bCs/>
          <w:color w:val="2E75B6"/>
          <w:sz w:val="24"/>
          <w:szCs w:val="24"/>
        </w:rPr>
        <w:t xml:space="preserve">21.1 Types de Documents Gérés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2200"/>
      </w:tblGrid>
      <w:tr>
        <w:trPr>
          <w:tblHeader/>
        </w:trPr>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 de Document</w:t>
            </w:r>
          </w:p>
        </w:tc>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 Source</w:t>
            </w:r>
          </w:p>
        </w:tc>
        <w:tc>
          <w:tcPr>
            <w:tcW w:type="dxa" w:w="18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Format</w:t>
            </w:r>
          </w:p>
        </w:tc>
        <w:tc>
          <w:tcPr>
            <w:tcW w:type="dxa" w:w="22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Zone de Stockage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Cahier des charges RFQ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Module 5 — RFQ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PDF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 — Object Storage chiffré</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Offres fournisseurs</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Module 7 — Dépôt</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PDF, CSV, JPEG, PNG</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DMZ → LAN (après scellage)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Procès-Verbaux (PV)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Module 12 — Commission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PDF signé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 — WORM</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Expressions de besoin</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Module 3 — Besoin</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Structuré en base</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 — PostgreSQL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Outputs finaux ERP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Module 14 — Output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JSON, XML, CSV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 — Object Storage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Preuves d'horodatage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Module 8 — Horodatage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Binaire RFC 3161</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 — WORM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Journaux d'audit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Module 10 — Audit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JSON structuré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 — Elasticsearch + WORM</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Pièces jointes tickets</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Module 16 — Tickets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PDF, images</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 — Object Storage chiffré</w:t>
            </w:r>
          </w:p>
        </w:tc>
      </w:tr>
    </w:tbl>
    <w:p>
      <w:pPr>
        <w:pStyle w:val="Heading3"/>
        <w:spacing w:after="100" w:before="220"/>
      </w:pPr>
      <w:r>
        <w:rPr>
          <w:rFonts w:ascii="Arial" w:cs="Arial" w:eastAsia="Arial" w:hAnsi="Arial"/>
          <w:b/>
          <w:bCs/>
          <w:color w:val="2E75B6"/>
          <w:sz w:val="24"/>
          <w:szCs w:val="24"/>
        </w:rPr>
        <w:t xml:space="preserve">21.2 Politique de Versioning</w:t>
      </w:r>
    </w:p>
    <w:p>
      <w:pPr>
        <w:pStyle w:val="ListParagraph"/>
        <w:numPr>
          <w:ilvl w:val="0"/>
          <w:numId w:val="2"/>
        </w:numPr>
        <w:spacing w:after="60" w:before="60"/>
      </w:pPr>
      <w:r>
        <w:rPr>
          <w:rFonts w:ascii="Arial" w:cs="Arial" w:eastAsia="Arial" w:hAnsi="Arial"/>
          <w:color w:val="222222"/>
          <w:sz w:val="22"/>
          <w:szCs w:val="22"/>
        </w:rPr>
        <w:t xml:space="preserve">Chaque document généré par Procura est versionné avec un numéro de version incrémental</w:t>
      </w:r>
    </w:p>
    <w:p>
      <w:pPr>
        <w:pStyle w:val="ListParagraph"/>
        <w:numPr>
          <w:ilvl w:val="0"/>
          <w:numId w:val="2"/>
        </w:numPr>
        <w:spacing w:after="60" w:before="60"/>
      </w:pPr>
      <w:r>
        <w:rPr>
          <w:rFonts w:ascii="Arial" w:cs="Arial" w:eastAsia="Arial" w:hAnsi="Arial"/>
          <w:color w:val="222222"/>
          <w:sz w:val="22"/>
          <w:szCs w:val="22"/>
        </w:rPr>
        <w:t xml:space="preserve">Aucune version ne peut être supprimée — uniquement archivée</w:t>
      </w:r>
    </w:p>
    <w:p>
      <w:pPr>
        <w:pStyle w:val="ListParagraph"/>
        <w:numPr>
          <w:ilvl w:val="0"/>
          <w:numId w:val="2"/>
        </w:numPr>
        <w:spacing w:after="60" w:before="60"/>
      </w:pPr>
      <w:r>
        <w:rPr>
          <w:rFonts w:ascii="Arial" w:cs="Arial" w:eastAsia="Arial" w:hAnsi="Arial"/>
          <w:color w:val="222222"/>
          <w:sz w:val="22"/>
          <w:szCs w:val="22"/>
        </w:rPr>
        <w:t xml:space="preserve">La version active est clairement identifiée</w:t>
      </w:r>
    </w:p>
    <w:p>
      <w:pPr>
        <w:pStyle w:val="ListParagraph"/>
        <w:numPr>
          <w:ilvl w:val="0"/>
          <w:numId w:val="2"/>
        </w:numPr>
        <w:spacing w:after="60" w:before="60"/>
      </w:pPr>
      <w:r>
        <w:rPr>
          <w:rFonts w:ascii="Arial" w:cs="Arial" w:eastAsia="Arial" w:hAnsi="Arial"/>
          <w:color w:val="222222"/>
          <w:sz w:val="22"/>
          <w:szCs w:val="22"/>
        </w:rPr>
        <w:t xml:space="preserve">L'historique complet des versions est consultable par les rôles autorisés</w:t>
      </w:r>
    </w:p>
    <w:p>
      <w:r>
        <w:br w:type="page"/>
      </w:r>
    </w:p>
    <w:p>
      <w:pPr>
        <w:pStyle w:val="Heading1"/>
        <w:pBdr>
          <w:bottom w:val="single" w:color="00B0F0" w:sz="6" w:space="1"/>
        </w:pBdr>
        <w:shd w:fill="1B3A6B" w:val="clear"/>
        <w:spacing w:after="200" w:before="400"/>
      </w:pPr>
      <w:r>
        <w:rPr>
          <w:rFonts w:ascii="Arial" w:cs="Arial" w:eastAsia="Arial" w:hAnsi="Arial"/>
          <w:b/>
          <w:bCs/>
          <w:color w:val="FFFFFF"/>
          <w:sz w:val="36"/>
          <w:szCs w:val="36"/>
        </w:rPr>
        <w:t xml:space="preserve">PARTIE VI — INTERFACES</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22. Interface Utilisateur Interne</w:t>
      </w:r>
    </w:p>
    <w:p>
      <w:pPr>
        <w:pStyle w:val="Heading3"/>
        <w:spacing w:after="100" w:before="220"/>
      </w:pPr>
      <w:r>
        <w:rPr>
          <w:rFonts w:ascii="Arial" w:cs="Arial" w:eastAsia="Arial" w:hAnsi="Arial"/>
          <w:b/>
          <w:bCs/>
          <w:color w:val="2E75B6"/>
          <w:sz w:val="24"/>
          <w:szCs w:val="24"/>
        </w:rPr>
        <w:t xml:space="preserve">22.1 Principes UX</w:t>
      </w:r>
    </w:p>
    <w:p>
      <w:pPr>
        <w:spacing w:after="80" w:before="80"/>
        <w:jc w:val="left"/>
      </w:pPr>
      <w:r>
        <w:rPr>
          <w:rFonts w:ascii="Arial" w:cs="Arial" w:eastAsia="Arial" w:hAnsi="Arial"/>
          <w:b w:val="false"/>
          <w:bCs w:val="false"/>
          <w:i w:val="false"/>
          <w:iCs w:val="false"/>
          <w:color w:val="222222"/>
          <w:sz w:val="22"/>
          <w:szCs w:val="22"/>
        </w:rPr>
        <w:t xml:space="preserve">L'interface utilisateur de Procura est conçue pour être simple, intuitive et adaptée à des utilisateurs métiers non nécessairement techniques. Elle respecte les principes suivants :</w:t>
      </w:r>
    </w:p>
    <w:p>
      <w:pPr>
        <w:pStyle w:val="ListParagraph"/>
        <w:numPr>
          <w:ilvl w:val="0"/>
          <w:numId w:val="2"/>
        </w:numPr>
        <w:spacing w:after="60" w:before="60"/>
      </w:pPr>
      <w:r>
        <w:rPr>
          <w:rFonts w:ascii="Arial" w:cs="Arial" w:eastAsia="Arial" w:hAnsi="Arial"/>
          <w:color w:val="222222"/>
          <w:sz w:val="22"/>
          <w:szCs w:val="22"/>
        </w:rPr>
        <w:t xml:space="preserve">Navigation claire et hiérarchisée par module et par rôle</w:t>
      </w:r>
    </w:p>
    <w:p>
      <w:pPr>
        <w:pStyle w:val="ListParagraph"/>
        <w:numPr>
          <w:ilvl w:val="0"/>
          <w:numId w:val="2"/>
        </w:numPr>
        <w:spacing w:after="60" w:before="60"/>
      </w:pPr>
      <w:r>
        <w:rPr>
          <w:rFonts w:ascii="Arial" w:cs="Arial" w:eastAsia="Arial" w:hAnsi="Arial"/>
          <w:color w:val="222222"/>
          <w:sz w:val="22"/>
          <w:szCs w:val="22"/>
        </w:rPr>
        <w:t xml:space="preserve">Tableau de bord personnalisé selon le profil de l'utilisateur</w:t>
      </w:r>
    </w:p>
    <w:p>
      <w:pPr>
        <w:pStyle w:val="ListParagraph"/>
        <w:numPr>
          <w:ilvl w:val="0"/>
          <w:numId w:val="2"/>
        </w:numPr>
        <w:spacing w:after="60" w:before="60"/>
      </w:pPr>
      <w:r>
        <w:rPr>
          <w:rFonts w:ascii="Arial" w:cs="Arial" w:eastAsia="Arial" w:hAnsi="Arial"/>
          <w:color w:val="222222"/>
          <w:sz w:val="22"/>
          <w:szCs w:val="22"/>
        </w:rPr>
        <w:t xml:space="preserve">Formulaires guidés avec aide contextuelle et validation en temps réel</w:t>
      </w:r>
    </w:p>
    <w:p>
      <w:pPr>
        <w:pStyle w:val="ListParagraph"/>
        <w:numPr>
          <w:ilvl w:val="0"/>
          <w:numId w:val="2"/>
        </w:numPr>
        <w:spacing w:after="60" w:before="60"/>
      </w:pPr>
      <w:r>
        <w:rPr>
          <w:rFonts w:ascii="Arial" w:cs="Arial" w:eastAsia="Arial" w:hAnsi="Arial"/>
          <w:color w:val="222222"/>
          <w:sz w:val="22"/>
          <w:szCs w:val="22"/>
        </w:rPr>
        <w:t xml:space="preserve">Feedback immédiat sur chaque action (succès, erreur, confirmation)</w:t>
      </w:r>
    </w:p>
    <w:p>
      <w:pPr>
        <w:pStyle w:val="ListParagraph"/>
        <w:numPr>
          <w:ilvl w:val="0"/>
          <w:numId w:val="2"/>
        </w:numPr>
        <w:spacing w:after="60" w:before="60"/>
      </w:pPr>
      <w:r>
        <w:rPr>
          <w:rFonts w:ascii="Arial" w:cs="Arial" w:eastAsia="Arial" w:hAnsi="Arial"/>
          <w:color w:val="222222"/>
          <w:sz w:val="22"/>
          <w:szCs w:val="22"/>
        </w:rPr>
        <w:t xml:space="preserve">Design responsive adapté aux écrans desktop et tablette</w:t>
      </w:r>
    </w:p>
    <w:p>
      <w:pPr>
        <w:pStyle w:val="ListParagraph"/>
        <w:numPr>
          <w:ilvl w:val="0"/>
          <w:numId w:val="2"/>
        </w:numPr>
        <w:spacing w:after="60" w:before="60"/>
      </w:pPr>
      <w:r>
        <w:rPr>
          <w:rFonts w:ascii="Arial" w:cs="Arial" w:eastAsia="Arial" w:hAnsi="Arial"/>
          <w:color w:val="222222"/>
          <w:sz w:val="22"/>
          <w:szCs w:val="22"/>
        </w:rPr>
        <w:t xml:space="preserve">Accessibilité : compatibilité WCAG 2.1 niveau AA</w:t>
      </w:r>
    </w:p>
    <w:p>
      <w:pPr>
        <w:pStyle w:val="ListParagraph"/>
        <w:numPr>
          <w:ilvl w:val="0"/>
          <w:numId w:val="2"/>
        </w:numPr>
        <w:spacing w:after="60" w:before="60"/>
      </w:pPr>
      <w:r>
        <w:rPr>
          <w:rFonts w:ascii="Arial" w:cs="Arial" w:eastAsia="Arial" w:hAnsi="Arial"/>
          <w:color w:val="222222"/>
          <w:sz w:val="22"/>
          <w:szCs w:val="22"/>
        </w:rPr>
        <w:t xml:space="preserve">Multilinguisme : français (primaire), arabe et anglais</w:t>
      </w:r>
    </w:p>
    <w:p>
      <w:pPr>
        <w:pStyle w:val="Heading3"/>
        <w:spacing w:after="100" w:before="220"/>
      </w:pPr>
      <w:r>
        <w:rPr>
          <w:rFonts w:ascii="Arial" w:cs="Arial" w:eastAsia="Arial" w:hAnsi="Arial"/>
          <w:b/>
          <w:bCs/>
          <w:color w:val="2E75B6"/>
          <w:sz w:val="24"/>
          <w:szCs w:val="24"/>
        </w:rPr>
        <w:t xml:space="preserve">22.2 Pages Principales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000"/>
      </w:tblGrid>
      <w:tr>
        <w:trPr>
          <w:tblHeader/>
        </w:trPr>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Page / Module</w:t>
            </w:r>
          </w:p>
        </w:tc>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 concerné</w:t>
            </w:r>
          </w:p>
        </w:tc>
        <w:tc>
          <w:tcPr>
            <w:tcW w:type="dxa" w:w="4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Fonctionnalités Clés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Tableau de bord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Tous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Résumé des actions en attente, alertes, accès rapides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Expression du Besoin</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Demandeur, Acheteur</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Formulaire de création, workflow de validation, historique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Acheteur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CRUD RFQ, sélection fournisseurs, scellage, publication</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Suivi des Invitations</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Acheteur</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État des invitations : envoyé / consulté / répondu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Ouverture des Plis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Commission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Interface d'ouverture, consultation offres, déverrouillage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Module Commission</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Commission</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Saisie décisions, génération PV, signature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Analyse des Offres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Commission, Acheteur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Tableaux comparatifs, export</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Output &amp; Export ERP</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Acheteur, Admin</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Génération output, transmission ERP, suivi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Ticketing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Acheteur, Fournisseur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Création tickets, échanges, pièces jointes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Administration</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Admin</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Gestion utilisateurs, workflows, paramètres, supervision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Audit &amp; 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Auditeur, Admin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Consultation journaux, export preuves</w:t>
            </w:r>
          </w:p>
        </w:tc>
      </w:tr>
    </w:tbl>
    <w:p>
      <w:pPr>
        <w:pStyle w:val="Heading3"/>
        <w:spacing w:after="100" w:before="220"/>
      </w:pPr>
      <w:r>
        <w:rPr>
          <w:rFonts w:ascii="Arial" w:cs="Arial" w:eastAsia="Arial" w:hAnsi="Arial"/>
          <w:b/>
          <w:bCs/>
          <w:color w:val="2E75B6"/>
          <w:sz w:val="24"/>
          <w:szCs w:val="24"/>
        </w:rPr>
        <w:t xml:space="preserve">22.3 Composants UI</w:t>
      </w:r>
    </w:p>
    <w:p>
      <w:pPr>
        <w:pStyle w:val="ListParagraph"/>
        <w:numPr>
          <w:ilvl w:val="0"/>
          <w:numId w:val="2"/>
        </w:numPr>
        <w:spacing w:after="60" w:before="60"/>
      </w:pPr>
      <w:r>
        <w:rPr>
          <w:rFonts w:ascii="Arial" w:cs="Arial" w:eastAsia="Arial" w:hAnsi="Arial"/>
          <w:color w:val="222222"/>
          <w:sz w:val="22"/>
          <w:szCs w:val="22"/>
        </w:rPr>
        <w:t xml:space="preserve">Framework frontend : React.js avec TypeScript</w:t>
      </w:r>
    </w:p>
    <w:p>
      <w:pPr>
        <w:pStyle w:val="ListParagraph"/>
        <w:numPr>
          <w:ilvl w:val="0"/>
          <w:numId w:val="2"/>
        </w:numPr>
        <w:spacing w:after="60" w:before="60"/>
      </w:pPr>
      <w:r>
        <w:rPr>
          <w:rFonts w:ascii="Arial" w:cs="Arial" w:eastAsia="Arial" w:hAnsi="Arial"/>
          <w:color w:val="222222"/>
          <w:sz w:val="22"/>
          <w:szCs w:val="22"/>
        </w:rPr>
        <w:t xml:space="preserve">Design system : composants standardisés (formulaires, tableaux, modales, notifications)</w:t>
      </w:r>
    </w:p>
    <w:p>
      <w:pPr>
        <w:pStyle w:val="ListParagraph"/>
        <w:numPr>
          <w:ilvl w:val="0"/>
          <w:numId w:val="2"/>
        </w:numPr>
        <w:spacing w:after="60" w:before="60"/>
      </w:pPr>
      <w:r>
        <w:rPr>
          <w:rFonts w:ascii="Arial" w:cs="Arial" w:eastAsia="Arial" w:hAnsi="Arial"/>
          <w:color w:val="222222"/>
          <w:sz w:val="22"/>
          <w:szCs w:val="22"/>
        </w:rPr>
        <w:t xml:space="preserve">State management : Redux / Context API</w:t>
      </w:r>
    </w:p>
    <w:p>
      <w:pPr>
        <w:pStyle w:val="ListParagraph"/>
        <w:numPr>
          <w:ilvl w:val="0"/>
          <w:numId w:val="2"/>
        </w:numPr>
        <w:spacing w:after="60" w:before="60"/>
      </w:pPr>
      <w:r>
        <w:rPr>
          <w:rFonts w:ascii="Arial" w:cs="Arial" w:eastAsia="Arial" w:hAnsi="Arial"/>
          <w:color w:val="222222"/>
          <w:sz w:val="22"/>
          <w:szCs w:val="22"/>
        </w:rPr>
        <w:t xml:space="preserve">Communication API : Axios avec intercepteurs d'authentification</w:t>
      </w:r>
    </w:p>
    <w:p>
      <w:pPr>
        <w:pStyle w:val="ListParagraph"/>
        <w:numPr>
          <w:ilvl w:val="0"/>
          <w:numId w:val="2"/>
        </w:numPr>
        <w:spacing w:after="60" w:before="60"/>
      </w:pPr>
      <w:r>
        <w:rPr>
          <w:rFonts w:ascii="Arial" w:cs="Arial" w:eastAsia="Arial" w:hAnsi="Arial"/>
          <w:color w:val="222222"/>
          <w:sz w:val="22"/>
          <w:szCs w:val="22"/>
        </w:rPr>
        <w:t xml:space="preserve">Gestion des droits front : affichage conditionnel selon le rôle RBAC</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23. Portail Fournisseur</w:t>
      </w:r>
    </w:p>
    <w:p>
      <w:pPr>
        <w:pStyle w:val="Heading3"/>
        <w:spacing w:after="100" w:before="220"/>
      </w:pPr>
      <w:r>
        <w:rPr>
          <w:rFonts w:ascii="Arial" w:cs="Arial" w:eastAsia="Arial" w:hAnsi="Arial"/>
          <w:b/>
          <w:bCs/>
          <w:color w:val="2E75B6"/>
          <w:sz w:val="24"/>
          <w:szCs w:val="24"/>
        </w:rPr>
        <w:t xml:space="preserve">23.1 Parcours Fournisseur Complet</w:t>
      </w:r>
    </w:p>
    <w:p>
      <w:pPr>
        <w:pStyle w:val="ListParagraph"/>
        <w:numPr>
          <w:ilvl w:val="0"/>
          <w:numId w:val="3"/>
        </w:numPr>
        <w:spacing w:after="60" w:before="60"/>
      </w:pPr>
      <w:r>
        <w:rPr>
          <w:rFonts w:ascii="Arial" w:cs="Arial" w:eastAsia="Arial" w:hAnsi="Arial"/>
          <w:color w:val="222222"/>
          <w:sz w:val="22"/>
          <w:szCs w:val="22"/>
        </w:rPr>
        <w:t xml:space="preserve">Réception de l'invitation par email avec lien sécurisé et traçable</w:t>
      </w:r>
    </w:p>
    <w:p>
      <w:pPr>
        <w:pStyle w:val="ListParagraph"/>
        <w:numPr>
          <w:ilvl w:val="0"/>
          <w:numId w:val="3"/>
        </w:numPr>
        <w:spacing w:after="60" w:before="60"/>
      </w:pPr>
      <w:r>
        <w:rPr>
          <w:rFonts w:ascii="Arial" w:cs="Arial" w:eastAsia="Arial" w:hAnsi="Arial"/>
          <w:color w:val="222222"/>
          <w:sz w:val="22"/>
          <w:szCs w:val="22"/>
        </w:rPr>
        <w:t xml:space="preserve">Accès au portail via navigateur web (Chrome, Firefox, Edge)</w:t>
      </w:r>
    </w:p>
    <w:p>
      <w:pPr>
        <w:pStyle w:val="ListParagraph"/>
        <w:numPr>
          <w:ilvl w:val="0"/>
          <w:numId w:val="3"/>
        </w:numPr>
        <w:spacing w:after="60" w:before="60"/>
      </w:pPr>
      <w:r>
        <w:rPr>
          <w:rFonts w:ascii="Arial" w:cs="Arial" w:eastAsia="Arial" w:hAnsi="Arial"/>
          <w:color w:val="222222"/>
          <w:sz w:val="22"/>
          <w:szCs w:val="22"/>
        </w:rPr>
        <w:t xml:space="preserve">Authentification : identifiants + MFA ou certificat client</w:t>
      </w:r>
    </w:p>
    <w:p>
      <w:pPr>
        <w:pStyle w:val="ListParagraph"/>
        <w:numPr>
          <w:ilvl w:val="0"/>
          <w:numId w:val="3"/>
        </w:numPr>
        <w:spacing w:after="60" w:before="60"/>
      </w:pPr>
      <w:r>
        <w:rPr>
          <w:rFonts w:ascii="Arial" w:cs="Arial" w:eastAsia="Arial" w:hAnsi="Arial"/>
          <w:color w:val="222222"/>
          <w:sz w:val="22"/>
          <w:szCs w:val="22"/>
        </w:rPr>
        <w:t xml:space="preserve">Tableau de bord : RFQ auxquelles le fournisseur est invité, statuts, délais</w:t>
      </w:r>
    </w:p>
    <w:p>
      <w:pPr>
        <w:pStyle w:val="ListParagraph"/>
        <w:numPr>
          <w:ilvl w:val="0"/>
          <w:numId w:val="3"/>
        </w:numPr>
        <w:spacing w:after="60" w:before="60"/>
      </w:pPr>
      <w:r>
        <w:rPr>
          <w:rFonts w:ascii="Arial" w:cs="Arial" w:eastAsia="Arial" w:hAnsi="Arial"/>
          <w:color w:val="222222"/>
          <w:sz w:val="22"/>
          <w:szCs w:val="22"/>
        </w:rPr>
        <w:t xml:space="preserve">Consultation et téléchargement des documents de la RFQ</w:t>
      </w:r>
    </w:p>
    <w:p>
      <w:pPr>
        <w:pStyle w:val="ListParagraph"/>
        <w:numPr>
          <w:ilvl w:val="0"/>
          <w:numId w:val="3"/>
        </w:numPr>
        <w:spacing w:after="60" w:before="60"/>
      </w:pPr>
      <w:r>
        <w:rPr>
          <w:rFonts w:ascii="Arial" w:cs="Arial" w:eastAsia="Arial" w:hAnsi="Arial"/>
          <w:color w:val="222222"/>
          <w:sz w:val="22"/>
          <w:szCs w:val="22"/>
        </w:rPr>
        <w:t xml:space="preserve">Dépôt de l'offre : sélection du fichier, validation checklist, confirmation</w:t>
      </w:r>
    </w:p>
    <w:p>
      <w:pPr>
        <w:pStyle w:val="ListParagraph"/>
        <w:numPr>
          <w:ilvl w:val="0"/>
          <w:numId w:val="3"/>
        </w:numPr>
        <w:spacing w:after="60" w:before="60"/>
      </w:pPr>
      <w:r>
        <w:rPr>
          <w:rFonts w:ascii="Arial" w:cs="Arial" w:eastAsia="Arial" w:hAnsi="Arial"/>
          <w:color w:val="222222"/>
          <w:sz w:val="22"/>
          <w:szCs w:val="22"/>
        </w:rPr>
        <w:t xml:space="preserve">Accusé de réception instantané avec horodatage et identifiant de dépôt</w:t>
      </w:r>
    </w:p>
    <w:p>
      <w:pPr>
        <w:pStyle w:val="ListParagraph"/>
        <w:numPr>
          <w:ilvl w:val="0"/>
          <w:numId w:val="3"/>
        </w:numPr>
        <w:spacing w:after="60" w:before="60"/>
      </w:pPr>
      <w:r>
        <w:rPr>
          <w:rFonts w:ascii="Arial" w:cs="Arial" w:eastAsia="Arial" w:hAnsi="Arial"/>
          <w:color w:val="222222"/>
          <w:sz w:val="22"/>
          <w:szCs w:val="22"/>
        </w:rPr>
        <w:t xml:space="preserve">Suivi de statut en temps réel</w:t>
      </w:r>
    </w:p>
    <w:p>
      <w:pPr>
        <w:pStyle w:val="ListParagraph"/>
        <w:numPr>
          <w:ilvl w:val="0"/>
          <w:numId w:val="3"/>
        </w:numPr>
        <w:spacing w:after="60" w:before="60"/>
      </w:pPr>
      <w:r>
        <w:rPr>
          <w:rFonts w:ascii="Arial" w:cs="Arial" w:eastAsia="Arial" w:hAnsi="Arial"/>
          <w:color w:val="222222"/>
          <w:sz w:val="22"/>
          <w:szCs w:val="22"/>
        </w:rPr>
        <w:t xml:space="preserve">Après décision : accès au module de ticketing post-attribution</w:t>
      </w:r>
    </w:p>
    <w:p>
      <w:pPr>
        <w:pStyle w:val="Heading3"/>
        <w:spacing w:after="100" w:before="220"/>
      </w:pPr>
      <w:r>
        <w:rPr>
          <w:rFonts w:ascii="Arial" w:cs="Arial" w:eastAsia="Arial" w:hAnsi="Arial"/>
          <w:b/>
          <w:bCs/>
          <w:color w:val="2E75B6"/>
          <w:sz w:val="24"/>
          <w:szCs w:val="24"/>
        </w:rPr>
        <w:t xml:space="preserve">23.2 Contraintes de Conception</w:t>
      </w:r>
    </w:p>
    <w:p>
      <w:pPr>
        <w:pStyle w:val="ListParagraph"/>
        <w:numPr>
          <w:ilvl w:val="0"/>
          <w:numId w:val="2"/>
        </w:numPr>
        <w:spacing w:after="60" w:before="60"/>
      </w:pPr>
      <w:r>
        <w:rPr>
          <w:rFonts w:ascii="Arial" w:cs="Arial" w:eastAsia="Arial" w:hAnsi="Arial"/>
          <w:color w:val="222222"/>
          <w:sz w:val="22"/>
          <w:szCs w:val="22"/>
        </w:rPr>
        <w:t xml:space="preserve">Interface simple et accessible, sans formation préalable</w:t>
      </w:r>
    </w:p>
    <w:p>
      <w:pPr>
        <w:pStyle w:val="ListParagraph"/>
        <w:numPr>
          <w:ilvl w:val="0"/>
          <w:numId w:val="2"/>
        </w:numPr>
        <w:spacing w:after="60" w:before="60"/>
      </w:pPr>
      <w:r>
        <w:rPr>
          <w:rFonts w:ascii="Arial" w:cs="Arial" w:eastAsia="Arial" w:hAnsi="Arial"/>
          <w:color w:val="222222"/>
          <w:sz w:val="22"/>
          <w:szCs w:val="22"/>
        </w:rPr>
        <w:t xml:space="preserve">Instructions claires sur les formats autorisés et les délais</w:t>
      </w:r>
    </w:p>
    <w:p>
      <w:pPr>
        <w:pStyle w:val="ListParagraph"/>
        <w:numPr>
          <w:ilvl w:val="0"/>
          <w:numId w:val="2"/>
        </w:numPr>
        <w:spacing w:after="60" w:before="60"/>
      </w:pPr>
      <w:r>
        <w:rPr>
          <w:rFonts w:ascii="Arial" w:cs="Arial" w:eastAsia="Arial" w:hAnsi="Arial"/>
          <w:color w:val="222222"/>
          <w:sz w:val="22"/>
          <w:szCs w:val="22"/>
        </w:rPr>
        <w:t xml:space="preserve">Assistance au dépôt : checklist de complétude avant validation</w:t>
      </w:r>
    </w:p>
    <w:p>
      <w:pPr>
        <w:pStyle w:val="ListParagraph"/>
        <w:numPr>
          <w:ilvl w:val="0"/>
          <w:numId w:val="2"/>
        </w:numPr>
        <w:spacing w:after="60" w:before="60"/>
      </w:pPr>
      <w:r>
        <w:rPr>
          <w:rFonts w:ascii="Arial" w:cs="Arial" w:eastAsia="Arial" w:hAnsi="Arial"/>
          <w:color w:val="222222"/>
          <w:sz w:val="22"/>
          <w:szCs w:val="22"/>
        </w:rPr>
        <w:t xml:space="preserve">Aucun accès aux offres des autres fournisseurs</w:t>
      </w:r>
    </w:p>
    <w:p>
      <w:pPr>
        <w:pStyle w:val="ListParagraph"/>
        <w:numPr>
          <w:ilvl w:val="0"/>
          <w:numId w:val="2"/>
        </w:numPr>
        <w:spacing w:after="60" w:before="60"/>
      </w:pPr>
      <w:r>
        <w:rPr>
          <w:rFonts w:ascii="Arial" w:cs="Arial" w:eastAsia="Arial" w:hAnsi="Arial"/>
          <w:color w:val="222222"/>
          <w:sz w:val="22"/>
          <w:szCs w:val="22"/>
        </w:rPr>
        <w:t xml:space="preserve">Déconnexion automatique après inactivité</w:t>
      </w:r>
    </w:p>
    <w:p>
      <w:pPr>
        <w:pStyle w:val="ListParagraph"/>
        <w:numPr>
          <w:ilvl w:val="0"/>
          <w:numId w:val="2"/>
        </w:numPr>
        <w:spacing w:after="60" w:before="60"/>
      </w:pPr>
      <w:r>
        <w:rPr>
          <w:rFonts w:ascii="Arial" w:cs="Arial" w:eastAsia="Arial" w:hAnsi="Arial"/>
          <w:color w:val="222222"/>
          <w:sz w:val="22"/>
          <w:szCs w:val="22"/>
        </w:rPr>
        <w:t xml:space="preserve">Compatible avec les connexions internet à faible débit</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24. Back Office Administration</w:t>
      </w:r>
    </w:p>
    <w:p>
      <w:pPr>
        <w:pStyle w:val="Heading3"/>
        <w:spacing w:after="100" w:before="220"/>
      </w:pPr>
      <w:r>
        <w:rPr>
          <w:rFonts w:ascii="Arial" w:cs="Arial" w:eastAsia="Arial" w:hAnsi="Arial"/>
          <w:b/>
          <w:bCs/>
          <w:color w:val="2E75B6"/>
          <w:sz w:val="24"/>
          <w:szCs w:val="24"/>
        </w:rPr>
        <w:t xml:space="preserve">24.1 Fonctionnalités Administration</w:t>
      </w:r>
    </w:p>
    <w:p>
      <w:pPr>
        <w:pStyle w:val="ListParagraph"/>
        <w:numPr>
          <w:ilvl w:val="0"/>
          <w:numId w:val="2"/>
        </w:numPr>
        <w:spacing w:after="60" w:before="60"/>
      </w:pPr>
      <w:r>
        <w:rPr>
          <w:rFonts w:ascii="Arial" w:cs="Arial" w:eastAsia="Arial" w:hAnsi="Arial"/>
          <w:color w:val="222222"/>
          <w:sz w:val="22"/>
          <w:szCs w:val="22"/>
        </w:rPr>
        <w:t xml:space="preserve">Gestion complète des utilisateurs : création, modification, désactivation, réinitialisation</w:t>
      </w:r>
    </w:p>
    <w:p>
      <w:pPr>
        <w:pStyle w:val="ListParagraph"/>
        <w:numPr>
          <w:ilvl w:val="0"/>
          <w:numId w:val="2"/>
        </w:numPr>
        <w:spacing w:after="60" w:before="60"/>
      </w:pPr>
      <w:r>
        <w:rPr>
          <w:rFonts w:ascii="Arial" w:cs="Arial" w:eastAsia="Arial" w:hAnsi="Arial"/>
          <w:color w:val="222222"/>
          <w:sz w:val="22"/>
          <w:szCs w:val="22"/>
        </w:rPr>
        <w:t xml:space="preserve">Configuration des workflows : étapes, valideurs, règles de transition</w:t>
      </w:r>
    </w:p>
    <w:p>
      <w:pPr>
        <w:pStyle w:val="ListParagraph"/>
        <w:numPr>
          <w:ilvl w:val="0"/>
          <w:numId w:val="2"/>
        </w:numPr>
        <w:spacing w:after="60" w:before="60"/>
      </w:pPr>
      <w:r>
        <w:rPr>
          <w:rFonts w:ascii="Arial" w:cs="Arial" w:eastAsia="Arial" w:hAnsi="Arial"/>
          <w:color w:val="222222"/>
          <w:sz w:val="22"/>
          <w:szCs w:val="22"/>
        </w:rPr>
        <w:t xml:space="preserve">Paramétrage des délais et des règles de consultation</w:t>
      </w:r>
    </w:p>
    <w:p>
      <w:pPr>
        <w:pStyle w:val="ListParagraph"/>
        <w:numPr>
          <w:ilvl w:val="0"/>
          <w:numId w:val="2"/>
        </w:numPr>
        <w:spacing w:after="60" w:before="60"/>
      </w:pPr>
      <w:r>
        <w:rPr>
          <w:rFonts w:ascii="Arial" w:cs="Arial" w:eastAsia="Arial" w:hAnsi="Arial"/>
          <w:color w:val="222222"/>
          <w:sz w:val="22"/>
          <w:szCs w:val="22"/>
        </w:rPr>
        <w:t xml:space="preserve">Gestion des templates de notification et de communication</w:t>
      </w:r>
    </w:p>
    <w:p>
      <w:pPr>
        <w:pStyle w:val="ListParagraph"/>
        <w:numPr>
          <w:ilvl w:val="0"/>
          <w:numId w:val="2"/>
        </w:numPr>
        <w:spacing w:after="60" w:before="60"/>
      </w:pPr>
      <w:r>
        <w:rPr>
          <w:rFonts w:ascii="Arial" w:cs="Arial" w:eastAsia="Arial" w:hAnsi="Arial"/>
          <w:color w:val="222222"/>
          <w:sz w:val="22"/>
          <w:szCs w:val="22"/>
        </w:rPr>
        <w:t xml:space="preserve">Supervision en temps réel : état des services, métriques, alertes</w:t>
      </w:r>
    </w:p>
    <w:p>
      <w:pPr>
        <w:pStyle w:val="ListParagraph"/>
        <w:numPr>
          <w:ilvl w:val="0"/>
          <w:numId w:val="2"/>
        </w:numPr>
        <w:spacing w:after="60" w:before="60"/>
      </w:pPr>
      <w:r>
        <w:rPr>
          <w:rFonts w:ascii="Arial" w:cs="Arial" w:eastAsia="Arial" w:hAnsi="Arial"/>
          <w:color w:val="222222"/>
          <w:sz w:val="22"/>
          <w:szCs w:val="22"/>
        </w:rPr>
        <w:t xml:space="preserve">Gestion des connecteurs ERP : configuration, test, journalisation</w:t>
      </w:r>
    </w:p>
    <w:p>
      <w:pPr>
        <w:pStyle w:val="ListParagraph"/>
        <w:numPr>
          <w:ilvl w:val="0"/>
          <w:numId w:val="2"/>
        </w:numPr>
        <w:spacing w:after="60" w:before="60"/>
      </w:pPr>
      <w:r>
        <w:rPr>
          <w:rFonts w:ascii="Arial" w:cs="Arial" w:eastAsia="Arial" w:hAnsi="Arial"/>
          <w:color w:val="222222"/>
          <w:sz w:val="22"/>
          <w:szCs w:val="22"/>
        </w:rPr>
        <w:t xml:space="preserve">Administration des certificats et des clés PKI</w:t>
      </w:r>
    </w:p>
    <w:p>
      <w:pPr>
        <w:pStyle w:val="ListParagraph"/>
        <w:numPr>
          <w:ilvl w:val="0"/>
          <w:numId w:val="2"/>
        </w:numPr>
        <w:spacing w:after="60" w:before="60"/>
      </w:pPr>
      <w:r>
        <w:rPr>
          <w:rFonts w:ascii="Arial" w:cs="Arial" w:eastAsia="Arial" w:hAnsi="Arial"/>
          <w:color w:val="222222"/>
          <w:sz w:val="22"/>
          <w:szCs w:val="22"/>
        </w:rPr>
        <w:t xml:space="preserve">Export et consultation des journaux d'audit</w:t>
      </w:r>
    </w:p>
    <w:p>
      <w:r>
        <w:br w:type="page"/>
      </w:r>
    </w:p>
    <w:p>
      <w:pPr>
        <w:pStyle w:val="Heading1"/>
        <w:pBdr>
          <w:bottom w:val="single" w:color="00B0F0" w:sz="6" w:space="1"/>
        </w:pBdr>
        <w:shd w:fill="1B3A6B" w:val="clear"/>
        <w:spacing w:after="200" w:before="400"/>
      </w:pPr>
      <w:r>
        <w:rPr>
          <w:rFonts w:ascii="Arial" w:cs="Arial" w:eastAsia="Arial" w:hAnsi="Arial"/>
          <w:b/>
          <w:bCs/>
          <w:color w:val="FFFFFF"/>
          <w:sz w:val="36"/>
          <w:szCs w:val="36"/>
        </w:rPr>
        <w:t xml:space="preserve">PARTIE VII — INTÉGRATION</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25. Intégration ERP</w:t>
      </w:r>
    </w:p>
    <w:p>
      <w:pPr>
        <w:pStyle w:val="Heading3"/>
        <w:spacing w:after="100" w:before="220"/>
      </w:pPr>
      <w:r>
        <w:rPr>
          <w:rFonts w:ascii="Arial" w:cs="Arial" w:eastAsia="Arial" w:hAnsi="Arial"/>
          <w:b/>
          <w:bCs/>
          <w:color w:val="2E75B6"/>
          <w:sz w:val="24"/>
          <w:szCs w:val="24"/>
        </w:rPr>
        <w:t xml:space="preserve">25.1 ERP Supportés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2500"/>
      </w:tblGrid>
      <w:tr>
        <w:trPr>
          <w:tblHeader/>
        </w:trPr>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ERP</w:t>
            </w:r>
          </w:p>
        </w:tc>
        <w:tc>
          <w:tcPr>
            <w:tcW w:type="dxa" w:w="22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 d'Intégration</w:t>
            </w:r>
          </w:p>
        </w:tc>
        <w:tc>
          <w:tcPr>
            <w:tcW w:type="dxa" w:w="18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Format</w:t>
            </w:r>
          </w:p>
        </w:tc>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SAP ECC / S/4HANA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API REST + BAPI / IDoc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XML / JSON / IDoc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Connecteur certifié SAP</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Oracle ERP Cloud</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API REST OAuth2</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JSON</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Connecteur Oracle Integration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Sage (X3, 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SFTP / API 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CSV / XML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Import via interface Sage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Microsoft Dynamics 365</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API REST / OData</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JSON</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Connecteur Azure on-prem gateway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ERP Propriétaire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SFTP / Watch Folder /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CSV / XML / JSON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Selon spécification client</w:t>
            </w:r>
          </w:p>
        </w:tc>
      </w:tr>
    </w:tbl>
    <w:p>
      <w:pPr>
        <w:pStyle w:val="Heading3"/>
        <w:spacing w:after="100" w:before="220"/>
      </w:pPr>
      <w:r>
        <w:rPr>
          <w:rFonts w:ascii="Arial" w:cs="Arial" w:eastAsia="Arial" w:hAnsi="Arial"/>
          <w:b/>
          <w:bCs/>
          <w:color w:val="2E75B6"/>
          <w:sz w:val="24"/>
          <w:szCs w:val="24"/>
        </w:rPr>
        <w:t xml:space="preserve">25.2 Données Échangées avec l'ERP</w:t>
      </w:r>
    </w:p>
    <w:p>
      <w:pPr>
        <w:spacing w:after="80" w:before="80"/>
        <w:jc w:val="left"/>
      </w:pPr>
      <w:r>
        <w:rPr>
          <w:rFonts w:ascii="Arial" w:cs="Arial" w:eastAsia="Arial" w:hAnsi="Arial"/>
          <w:b w:val="false"/>
          <w:bCs w:val="false"/>
          <w:i w:val="false"/>
          <w:iCs w:val="false"/>
          <w:color w:val="222222"/>
          <w:sz w:val="22"/>
          <w:szCs w:val="22"/>
        </w:rPr>
        <w:t xml:space="preserve">Données lues depuis l'ERP (lecture seule) :</w:t>
      </w:r>
    </w:p>
    <w:p>
      <w:pPr>
        <w:pStyle w:val="ListParagraph"/>
        <w:numPr>
          <w:ilvl w:val="0"/>
          <w:numId w:val="2"/>
        </w:numPr>
        <w:spacing w:after="60" w:before="60"/>
      </w:pPr>
      <w:r>
        <w:rPr>
          <w:rFonts w:ascii="Arial" w:cs="Arial" w:eastAsia="Arial" w:hAnsi="Arial"/>
          <w:color w:val="222222"/>
          <w:sz w:val="22"/>
          <w:szCs w:val="22"/>
        </w:rPr>
        <w:t xml:space="preserve">Référentiel fournisseurs : identifiant, raison sociale, catégories, statut, coordonnées</w:t>
      </w:r>
    </w:p>
    <w:p>
      <w:pPr>
        <w:pStyle w:val="ListParagraph"/>
        <w:numPr>
          <w:ilvl w:val="0"/>
          <w:numId w:val="2"/>
        </w:numPr>
        <w:spacing w:after="60" w:before="60"/>
      </w:pPr>
      <w:r>
        <w:rPr>
          <w:rFonts w:ascii="Arial" w:cs="Arial" w:eastAsia="Arial" w:hAnsi="Arial"/>
          <w:color w:val="222222"/>
          <w:sz w:val="22"/>
          <w:szCs w:val="22"/>
        </w:rPr>
        <w:t xml:space="preserve">Données de référence : articles, codes produits, unités, devises</w:t>
      </w:r>
    </w:p>
    <w:p>
      <w:pPr>
        <w:spacing w:after="80" w:before="80"/>
        <w:jc w:val="left"/>
      </w:pPr>
      <w:r>
        <w:rPr>
          <w:rFonts w:ascii="Arial" w:cs="Arial" w:eastAsia="Arial" w:hAnsi="Arial"/>
          <w:b w:val="false"/>
          <w:bCs w:val="false"/>
          <w:i w:val="false"/>
          <w:iCs w:val="false"/>
          <w:color w:val="222222"/>
          <w:sz w:val="22"/>
          <w:szCs w:val="22"/>
        </w:rPr>
        <w:t xml:space="preserve">Données transmises vers l'ERP (écriture finale) :</w:t>
      </w:r>
    </w:p>
    <w:p>
      <w:pPr>
        <w:pStyle w:val="ListParagraph"/>
        <w:numPr>
          <w:ilvl w:val="0"/>
          <w:numId w:val="2"/>
        </w:numPr>
        <w:spacing w:after="60" w:before="60"/>
      </w:pPr>
      <w:r>
        <w:rPr>
          <w:rFonts w:ascii="Arial" w:cs="Arial" w:eastAsia="Arial" w:hAnsi="Arial"/>
          <w:color w:val="222222"/>
          <w:sz w:val="22"/>
          <w:szCs w:val="22"/>
        </w:rPr>
        <w:t xml:space="preserve">Fournisseur retenu : identifiant ERP, raison sociale</w:t>
      </w:r>
    </w:p>
    <w:p>
      <w:pPr>
        <w:pStyle w:val="ListParagraph"/>
        <w:numPr>
          <w:ilvl w:val="0"/>
          <w:numId w:val="2"/>
        </w:numPr>
        <w:spacing w:after="60" w:before="60"/>
      </w:pPr>
      <w:r>
        <w:rPr>
          <w:rFonts w:ascii="Arial" w:cs="Arial" w:eastAsia="Arial" w:hAnsi="Arial"/>
          <w:color w:val="222222"/>
          <w:sz w:val="22"/>
          <w:szCs w:val="22"/>
        </w:rPr>
        <w:t xml:space="preserve">Articles et lignes de commande : code article, désignation, quantité, prix unitaire, devise</w:t>
      </w:r>
    </w:p>
    <w:p>
      <w:pPr>
        <w:pStyle w:val="ListParagraph"/>
        <w:numPr>
          <w:ilvl w:val="0"/>
          <w:numId w:val="2"/>
        </w:numPr>
        <w:spacing w:after="60" w:before="60"/>
      </w:pPr>
      <w:r>
        <w:rPr>
          <w:rFonts w:ascii="Arial" w:cs="Arial" w:eastAsia="Arial" w:hAnsi="Arial"/>
          <w:color w:val="222222"/>
          <w:sz w:val="22"/>
          <w:szCs w:val="22"/>
        </w:rPr>
        <w:t xml:space="preserve">Conditions : délai de livraison, conditions particulières, date de l'attribution</w:t>
      </w:r>
    </w:p>
    <w:p>
      <w:pPr>
        <w:pStyle w:val="ListParagraph"/>
        <w:numPr>
          <w:ilvl w:val="0"/>
          <w:numId w:val="2"/>
        </w:numPr>
        <w:spacing w:after="60" w:before="60"/>
      </w:pPr>
      <w:r>
        <w:rPr>
          <w:rFonts w:ascii="Arial" w:cs="Arial" w:eastAsia="Arial" w:hAnsi="Arial"/>
          <w:color w:val="222222"/>
          <w:sz w:val="22"/>
          <w:szCs w:val="22"/>
        </w:rPr>
        <w:t xml:space="preserve">Références : RFQ ID, numéro PV, identifiant export Procura</w:t>
      </w:r>
    </w:p>
    <w:p>
      <w:pPr>
        <w:pStyle w:val="Heading3"/>
        <w:spacing w:after="100" w:before="220"/>
      </w:pPr>
      <w:r>
        <w:rPr>
          <w:rFonts w:ascii="Arial" w:cs="Arial" w:eastAsia="Arial" w:hAnsi="Arial"/>
          <w:b/>
          <w:bCs/>
          <w:color w:val="2E75B6"/>
          <w:sz w:val="24"/>
          <w:szCs w:val="24"/>
        </w:rPr>
        <w:t xml:space="preserve">25.3 Sécurité des Échanges ERP</w:t>
      </w:r>
    </w:p>
    <w:p>
      <w:pPr>
        <w:pStyle w:val="ListParagraph"/>
        <w:numPr>
          <w:ilvl w:val="0"/>
          <w:numId w:val="2"/>
        </w:numPr>
        <w:spacing w:after="60" w:before="60"/>
      </w:pPr>
      <w:r>
        <w:rPr>
          <w:rFonts w:ascii="Arial" w:cs="Arial" w:eastAsia="Arial" w:hAnsi="Arial"/>
          <w:color w:val="222222"/>
          <w:sz w:val="22"/>
          <w:szCs w:val="22"/>
        </w:rPr>
        <w:t xml:space="preserve">Canal TLS 1.3 avec authentification mutuelle (mTLS)</w:t>
      </w:r>
    </w:p>
    <w:p>
      <w:pPr>
        <w:pStyle w:val="ListParagraph"/>
        <w:numPr>
          <w:ilvl w:val="0"/>
          <w:numId w:val="2"/>
        </w:numPr>
        <w:spacing w:after="60" w:before="60"/>
      </w:pPr>
      <w:r>
        <w:rPr>
          <w:rFonts w:ascii="Arial" w:cs="Arial" w:eastAsia="Arial" w:hAnsi="Arial"/>
          <w:color w:val="222222"/>
          <w:sz w:val="22"/>
          <w:szCs w:val="22"/>
        </w:rPr>
        <w:t xml:space="preserve">API Keys ou OAuth2 selon les capacités de l'ERP</w:t>
      </w:r>
    </w:p>
    <w:p>
      <w:pPr>
        <w:pStyle w:val="ListParagraph"/>
        <w:numPr>
          <w:ilvl w:val="0"/>
          <w:numId w:val="2"/>
        </w:numPr>
        <w:spacing w:after="60" w:before="60"/>
      </w:pPr>
      <w:r>
        <w:rPr>
          <w:rFonts w:ascii="Arial" w:cs="Arial" w:eastAsia="Arial" w:hAnsi="Arial"/>
          <w:color w:val="222222"/>
          <w:sz w:val="22"/>
          <w:szCs w:val="22"/>
        </w:rPr>
        <w:t xml:space="preserve">Validation des données avant chaque transmission</w:t>
      </w:r>
    </w:p>
    <w:p>
      <w:pPr>
        <w:pStyle w:val="ListParagraph"/>
        <w:numPr>
          <w:ilvl w:val="0"/>
          <w:numId w:val="2"/>
        </w:numPr>
        <w:spacing w:after="60" w:before="60"/>
      </w:pPr>
      <w:r>
        <w:rPr>
          <w:rFonts w:ascii="Arial" w:cs="Arial" w:eastAsia="Arial" w:hAnsi="Arial"/>
          <w:color w:val="222222"/>
          <w:sz w:val="22"/>
          <w:szCs w:val="22"/>
        </w:rPr>
        <w:t xml:space="preserve">Accusé de réception de l'ERP vérifié et enregistré</w:t>
      </w:r>
    </w:p>
    <w:p>
      <w:pPr>
        <w:pStyle w:val="ListParagraph"/>
        <w:numPr>
          <w:ilvl w:val="0"/>
          <w:numId w:val="2"/>
        </w:numPr>
        <w:spacing w:after="60" w:before="60"/>
      </w:pPr>
      <w:r>
        <w:rPr>
          <w:rFonts w:ascii="Arial" w:cs="Arial" w:eastAsia="Arial" w:hAnsi="Arial"/>
          <w:color w:val="222222"/>
          <w:sz w:val="22"/>
          <w:szCs w:val="22"/>
        </w:rPr>
        <w:t xml:space="preserve">File d'attente persistante pour les cas d'indisponibilité ERP</w:t>
      </w:r>
    </w:p>
    <w:p>
      <w:pPr>
        <w:pStyle w:val="ListParagraph"/>
        <w:numPr>
          <w:ilvl w:val="0"/>
          <w:numId w:val="2"/>
        </w:numPr>
        <w:spacing w:after="60" w:before="60"/>
      </w:pPr>
      <w:r>
        <w:rPr>
          <w:rFonts w:ascii="Arial" w:cs="Arial" w:eastAsia="Arial" w:hAnsi="Arial"/>
          <w:color w:val="222222"/>
          <w:sz w:val="22"/>
          <w:szCs w:val="22"/>
        </w:rPr>
        <w:t xml:space="preserve">Journalisation complète de chaque échange (heure, résultat, durée, identifiant)</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26. Services Externes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1500"/>
      </w:tblGrid>
      <w:tr>
        <w:trPr>
          <w:tblHeader/>
        </w:trPr>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Service</w:t>
            </w:r>
          </w:p>
        </w:tc>
        <w:tc>
          <w:tcPr>
            <w:tcW w:type="dxa" w:w="18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Protocole</w:t>
            </w:r>
          </w:p>
        </w:tc>
        <w:tc>
          <w:tcPr>
            <w:tcW w:type="dxa" w:w="32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Usage</w:t>
            </w:r>
          </w:p>
        </w:tc>
        <w:tc>
          <w:tcPr>
            <w:tcW w:type="dxa" w:w="1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Criticité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SMTP interne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SMTP TLS 587 / SMTPS 465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Envoi des notifications et invitations fournisseurs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LDAP / Active Directory</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LDAPS 636</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Authentification et gestion des identités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PKI interne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API PKCS#11 / CMP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Gestion des certificats de signature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HSM</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PKCS#11 / API propriétaire</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Signature numérique des offres et preuves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CRITIQUE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SIEM (Wazuh / ELK)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Syslog /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Centralisation des événements de sécurité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NTP sécurisé</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NTP / SNTP</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Synchronisation temporelle pour l'horodatage</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DNS interne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DNS over TLS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Résolution de noms de domaine interne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MOYENNE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Serveur de sauvegarde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SSH / SFTP</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Sauvegardes chiffrées et vérifiées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w:t>
            </w:r>
          </w:p>
        </w:tc>
      </w:tr>
    </w:tbl>
    <w:p>
      <w:r>
        <w:br w:type="page"/>
      </w:r>
    </w:p>
    <w:p>
      <w:pPr>
        <w:pStyle w:val="Heading1"/>
        <w:pBdr>
          <w:bottom w:val="single" w:color="00B0F0" w:sz="6" w:space="1"/>
        </w:pBdr>
        <w:shd w:fill="1B3A6B" w:val="clear"/>
        <w:spacing w:after="200" w:before="400"/>
      </w:pPr>
      <w:r>
        <w:rPr>
          <w:rFonts w:ascii="Arial" w:cs="Arial" w:eastAsia="Arial" w:hAnsi="Arial"/>
          <w:b/>
          <w:bCs/>
          <w:color w:val="FFFFFF"/>
          <w:sz w:val="36"/>
          <w:szCs w:val="36"/>
        </w:rPr>
        <w:t xml:space="preserve">PARTIE VIII — SÉCURITÉ</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27. Politique de Sécurité</w:t>
      </w:r>
    </w:p>
    <w:p>
      <w:pPr>
        <w:pStyle w:val="Heading3"/>
        <w:spacing w:after="100" w:before="220"/>
      </w:pPr>
      <w:r>
        <w:rPr>
          <w:rFonts w:ascii="Arial" w:cs="Arial" w:eastAsia="Arial" w:hAnsi="Arial"/>
          <w:b/>
          <w:bCs/>
          <w:color w:val="2E75B6"/>
          <w:sz w:val="24"/>
          <w:szCs w:val="24"/>
        </w:rPr>
        <w:t xml:space="preserve">27.1 Authentification</w:t>
      </w:r>
    </w:p>
    <w:p>
      <w:pPr>
        <w:spacing w:after="80" w:before="80"/>
        <w:jc w:val="left"/>
      </w:pPr>
      <w:r>
        <w:rPr>
          <w:rFonts w:ascii="Arial" w:cs="Arial" w:eastAsia="Arial" w:hAnsi="Arial"/>
          <w:b w:val="false"/>
          <w:bCs w:val="false"/>
          <w:i w:val="false"/>
          <w:iCs w:val="false"/>
          <w:color w:val="222222"/>
          <w:sz w:val="22"/>
          <w:szCs w:val="22"/>
        </w:rPr>
        <w:t xml:space="preserve">Procura applique une politique d'authentification forte sur l'ensemble des accès, internes et externes :</w:t>
      </w:r>
    </w:p>
    <w:p>
      <w:pPr>
        <w:pStyle w:val="ListParagraph"/>
        <w:numPr>
          <w:ilvl w:val="0"/>
          <w:numId w:val="2"/>
        </w:numPr>
        <w:spacing w:after="60" w:before="60"/>
      </w:pPr>
      <w:r>
        <w:rPr>
          <w:rFonts w:ascii="Arial" w:cs="Arial" w:eastAsia="Arial" w:hAnsi="Arial"/>
          <w:color w:val="222222"/>
          <w:sz w:val="22"/>
          <w:szCs w:val="22"/>
        </w:rPr>
        <w:t xml:space="preserve">Authentification centralisée via Active Directory / LDAP / Keycloak</w:t>
      </w:r>
    </w:p>
    <w:p>
      <w:pPr>
        <w:pStyle w:val="ListParagraph"/>
        <w:numPr>
          <w:ilvl w:val="0"/>
          <w:numId w:val="2"/>
        </w:numPr>
        <w:spacing w:after="60" w:before="60"/>
      </w:pPr>
      <w:r>
        <w:rPr>
          <w:rFonts w:ascii="Arial" w:cs="Arial" w:eastAsia="Arial" w:hAnsi="Arial"/>
          <w:color w:val="222222"/>
          <w:sz w:val="22"/>
          <w:szCs w:val="22"/>
        </w:rPr>
        <w:t xml:space="preserve">Support SSO (SAML 2.0 / OpenID Connect) pour l'intégration avec l'IAM existant</w:t>
      </w:r>
    </w:p>
    <w:p>
      <w:pPr>
        <w:pStyle w:val="ListParagraph"/>
        <w:numPr>
          <w:ilvl w:val="0"/>
          <w:numId w:val="2"/>
        </w:numPr>
        <w:spacing w:after="60" w:before="60"/>
      </w:pPr>
      <w:r>
        <w:rPr>
          <w:rFonts w:ascii="Arial" w:cs="Arial" w:eastAsia="Arial" w:hAnsi="Arial"/>
          <w:color w:val="222222"/>
          <w:sz w:val="22"/>
          <w:szCs w:val="22"/>
        </w:rPr>
        <w:t xml:space="preserve">MFA (Multi-Factor Authentication) : optionnel ou obligatoire selon le profil (obligatoire pour les administrateurs et les membres de la commission)</w:t>
      </w:r>
    </w:p>
    <w:p>
      <w:pPr>
        <w:pStyle w:val="ListParagraph"/>
        <w:numPr>
          <w:ilvl w:val="0"/>
          <w:numId w:val="2"/>
        </w:numPr>
        <w:spacing w:after="60" w:before="60"/>
      </w:pPr>
      <w:r>
        <w:rPr>
          <w:rFonts w:ascii="Arial" w:cs="Arial" w:eastAsia="Arial" w:hAnsi="Arial"/>
          <w:color w:val="222222"/>
          <w:sz w:val="22"/>
          <w:szCs w:val="22"/>
        </w:rPr>
        <w:t xml:space="preserve">Sessions sécurisées : cookies HttpOnly et Secure, expiration automatique après inactivité</w:t>
      </w:r>
    </w:p>
    <w:p>
      <w:pPr>
        <w:pStyle w:val="ListParagraph"/>
        <w:numPr>
          <w:ilvl w:val="0"/>
          <w:numId w:val="2"/>
        </w:numPr>
        <w:spacing w:after="60" w:before="60"/>
      </w:pPr>
      <w:r>
        <w:rPr>
          <w:rFonts w:ascii="Arial" w:cs="Arial" w:eastAsia="Arial" w:hAnsi="Arial"/>
          <w:color w:val="222222"/>
          <w:sz w:val="22"/>
          <w:szCs w:val="22"/>
        </w:rPr>
        <w:t xml:space="preserve">Blocage temporaire après 5 échecs d'authentification consécutifs</w:t>
      </w:r>
    </w:p>
    <w:p>
      <w:pPr>
        <w:pStyle w:val="ListParagraph"/>
        <w:numPr>
          <w:ilvl w:val="0"/>
          <w:numId w:val="2"/>
        </w:numPr>
        <w:spacing w:after="60" w:before="60"/>
      </w:pPr>
      <w:r>
        <w:rPr>
          <w:rFonts w:ascii="Arial" w:cs="Arial" w:eastAsia="Arial" w:hAnsi="Arial"/>
          <w:color w:val="222222"/>
          <w:sz w:val="22"/>
          <w:szCs w:val="22"/>
        </w:rPr>
        <w:t xml:space="preserve">Pour les fournisseurs : compte dédié + MFA ou certificat client (mTLS)</w:t>
      </w:r>
    </w:p>
    <w:p>
      <w:pPr>
        <w:pStyle w:val="ListParagraph"/>
        <w:numPr>
          <w:ilvl w:val="0"/>
          <w:numId w:val="2"/>
        </w:numPr>
        <w:spacing w:after="60" w:before="60"/>
      </w:pPr>
      <w:r>
        <w:rPr>
          <w:rFonts w:ascii="Arial" w:cs="Arial" w:eastAsia="Arial" w:hAnsi="Arial"/>
          <w:color w:val="222222"/>
          <w:sz w:val="22"/>
          <w:szCs w:val="22"/>
        </w:rPr>
        <w:t xml:space="preserve">Journalisation de toutes les authentifications réussies et échouées</w:t>
      </w:r>
    </w:p>
    <w:p>
      <w:pPr>
        <w:pStyle w:val="Heading3"/>
        <w:spacing w:after="100" w:before="220"/>
      </w:pPr>
      <w:r>
        <w:rPr>
          <w:rFonts w:ascii="Arial" w:cs="Arial" w:eastAsia="Arial" w:hAnsi="Arial"/>
          <w:b/>
          <w:bCs/>
          <w:color w:val="2E75B6"/>
          <w:sz w:val="24"/>
          <w:szCs w:val="24"/>
        </w:rPr>
        <w:t xml:space="preserve">27.2 Autorisation</w:t>
      </w:r>
    </w:p>
    <w:p>
      <w:pPr>
        <w:spacing w:after="80" w:before="80"/>
        <w:jc w:val="left"/>
      </w:pPr>
      <w:r>
        <w:rPr>
          <w:rFonts w:ascii="Arial" w:cs="Arial" w:eastAsia="Arial" w:hAnsi="Arial"/>
          <w:b w:val="false"/>
          <w:bCs w:val="false"/>
          <w:i w:val="false"/>
          <w:iCs w:val="false"/>
          <w:color w:val="222222"/>
          <w:sz w:val="22"/>
          <w:szCs w:val="22"/>
        </w:rPr>
        <w:t xml:space="preserve">Le contrôle d'accès de Procura repose exclusivement sur le modèle RBAC (Role-Based Access Control) :</w:t>
      </w:r>
    </w:p>
    <w:p>
      <w:pPr>
        <w:pStyle w:val="ListParagraph"/>
        <w:numPr>
          <w:ilvl w:val="0"/>
          <w:numId w:val="2"/>
        </w:numPr>
        <w:spacing w:after="60" w:before="60"/>
      </w:pPr>
      <w:r>
        <w:rPr>
          <w:rFonts w:ascii="Arial" w:cs="Arial" w:eastAsia="Arial" w:hAnsi="Arial"/>
          <w:color w:val="222222"/>
          <w:sz w:val="22"/>
          <w:szCs w:val="22"/>
        </w:rPr>
        <w:t xml:space="preserve">Chaque utilisateur possède un rôle définissant précisément ses droits</w:t>
      </w:r>
    </w:p>
    <w:p>
      <w:pPr>
        <w:pStyle w:val="ListParagraph"/>
        <w:numPr>
          <w:ilvl w:val="0"/>
          <w:numId w:val="2"/>
        </w:numPr>
        <w:spacing w:after="60" w:before="60"/>
      </w:pPr>
      <w:r>
        <w:rPr>
          <w:rFonts w:ascii="Arial" w:cs="Arial" w:eastAsia="Arial" w:hAnsi="Arial"/>
          <w:color w:val="222222"/>
          <w:sz w:val="22"/>
          <w:szCs w:val="22"/>
        </w:rPr>
        <w:t xml:space="preserve">Les permissions sont vérifiées à chaque requête API (backend) et au niveau UI (frontend)</w:t>
      </w:r>
    </w:p>
    <w:p>
      <w:pPr>
        <w:pStyle w:val="ListParagraph"/>
        <w:numPr>
          <w:ilvl w:val="0"/>
          <w:numId w:val="2"/>
        </w:numPr>
        <w:spacing w:after="60" w:before="60"/>
      </w:pPr>
      <w:r>
        <w:rPr>
          <w:rFonts w:ascii="Arial" w:cs="Arial" w:eastAsia="Arial" w:hAnsi="Arial"/>
          <w:color w:val="222222"/>
          <w:sz w:val="22"/>
          <w:szCs w:val="22"/>
        </w:rPr>
        <w:t xml:space="preserve">Aucun accès implicite : tout ce qui n'est pas explicitement autorisé est refusé</w:t>
      </w:r>
    </w:p>
    <w:p>
      <w:pPr>
        <w:pStyle w:val="ListParagraph"/>
        <w:numPr>
          <w:ilvl w:val="0"/>
          <w:numId w:val="2"/>
        </w:numPr>
        <w:spacing w:after="60" w:before="60"/>
      </w:pPr>
      <w:r>
        <w:rPr>
          <w:rFonts w:ascii="Arial" w:cs="Arial" w:eastAsia="Arial" w:hAnsi="Arial"/>
          <w:color w:val="222222"/>
          <w:sz w:val="22"/>
          <w:szCs w:val="22"/>
        </w:rPr>
        <w:t xml:space="preserve">Séparation stricte des rôles : un même utilisateur ne peut pas être initiateur et valideur du même besoin</w:t>
      </w:r>
    </w:p>
    <w:p>
      <w:pPr>
        <w:pStyle w:val="ListParagraph"/>
        <w:numPr>
          <w:ilvl w:val="0"/>
          <w:numId w:val="2"/>
        </w:numPr>
        <w:spacing w:after="60" w:before="60"/>
      </w:pPr>
      <w:r>
        <w:rPr>
          <w:rFonts w:ascii="Arial" w:cs="Arial" w:eastAsia="Arial" w:hAnsi="Arial"/>
          <w:color w:val="222222"/>
          <w:sz w:val="22"/>
          <w:szCs w:val="22"/>
        </w:rPr>
        <w:t xml:space="preserve">Les fournisseurs n'ont accès qu'à leurs propres RFQ, jamais aux RFQ des autres</w:t>
      </w:r>
    </w:p>
    <w:p>
      <w:pPr>
        <w:pStyle w:val="ListParagraph"/>
        <w:numPr>
          <w:ilvl w:val="0"/>
          <w:numId w:val="2"/>
        </w:numPr>
        <w:spacing w:after="60" w:before="60"/>
      </w:pPr>
      <w:r>
        <w:rPr>
          <w:rFonts w:ascii="Arial" w:cs="Arial" w:eastAsia="Arial" w:hAnsi="Arial"/>
          <w:color w:val="222222"/>
          <w:sz w:val="22"/>
          <w:szCs w:val="22"/>
        </w:rPr>
        <w:t xml:space="preserve">Les membres de la commission n'ont accès aux offres qu'après l'ouverture officielle</w:t>
      </w:r>
    </w:p>
    <w:p>
      <w:pPr>
        <w:pStyle w:val="Heading3"/>
        <w:spacing w:after="100" w:before="220"/>
      </w:pPr>
      <w:r>
        <w:rPr>
          <w:rFonts w:ascii="Arial" w:cs="Arial" w:eastAsia="Arial" w:hAnsi="Arial"/>
          <w:b/>
          <w:bCs/>
          <w:color w:val="2E75B6"/>
          <w:sz w:val="24"/>
          <w:szCs w:val="24"/>
        </w:rPr>
        <w:t xml:space="preserve">27.3 Chiffrement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700"/>
      </w:tblGrid>
      <w:tr>
        <w:trPr>
          <w:tblHeader/>
        </w:trPr>
        <w:tc>
          <w:tcPr>
            <w:tcW w:type="dxa" w:w="28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Contexte</w:t>
            </w:r>
          </w:p>
        </w:tc>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Algorithme</w:t>
            </w:r>
          </w:p>
        </w:tc>
        <w:tc>
          <w:tcPr>
            <w:tcW w:type="dxa" w:w="37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Implémentation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Communications externes (fournisseurs → DMZ)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TLS 1.3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Nginx + certificats PKI interne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Communications internes (LAN)</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TLS 1.2/1.3 + mTLS</w:t>
            </w:r>
          </w:p>
        </w:tc>
        <w:tc>
          <w:tcPr>
            <w:tcW w:type="dxa" w:w="3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Service Mesh / API Gateway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Données au repos (base de données)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AES-256 (chiffrement tablespace)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PostgreSQL TDE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Données au repos (stockage fichiers)</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AES-256 (chiffrement objet)</w:t>
            </w:r>
          </w:p>
        </w:tc>
        <w:tc>
          <w:tcPr>
            <w:tcW w:type="dxa" w:w="3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MinIO SSE-C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Offres fournisseurs (coffre-fort)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AES-256 + clé dérivée par RFQ</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HSM + Vault</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Sauvegardes</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AES-256</w:t>
            </w:r>
          </w:p>
        </w:tc>
        <w:tc>
          <w:tcPr>
            <w:tcW w:type="dxa" w:w="3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Backup Manager + clé de sauvegarde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Secrets applicatifs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AES-256-GCM</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HashiCorp Vault</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Signature numérique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RSA-4096 / ECDSA P-384</w:t>
            </w:r>
          </w:p>
        </w:tc>
        <w:tc>
          <w:tcPr>
            <w:tcW w:type="dxa" w:w="3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HSM matériel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Empreintes documentaires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SHA-256</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Natif (Procura Core)</w:t>
            </w:r>
          </w:p>
        </w:tc>
      </w:tr>
    </w:tbl>
    <w:p>
      <w:pPr>
        <w:pStyle w:val="Heading3"/>
        <w:spacing w:after="100" w:before="220"/>
      </w:pPr>
      <w:r>
        <w:rPr>
          <w:rFonts w:ascii="Arial" w:cs="Arial" w:eastAsia="Arial" w:hAnsi="Arial"/>
          <w:b/>
          <w:bCs/>
          <w:color w:val="2E75B6"/>
          <w:sz w:val="24"/>
          <w:szCs w:val="24"/>
        </w:rPr>
        <w:t xml:space="preserve">27.4 Protection des Applications</w:t>
      </w:r>
    </w:p>
    <w:p>
      <w:pPr>
        <w:spacing w:after="80" w:before="80"/>
        <w:jc w:val="left"/>
      </w:pPr>
      <w:r>
        <w:rPr>
          <w:rFonts w:ascii="Arial" w:cs="Arial" w:eastAsia="Arial" w:hAnsi="Arial"/>
          <w:b w:val="false"/>
          <w:bCs w:val="false"/>
          <w:i w:val="false"/>
          <w:iCs w:val="false"/>
          <w:color w:val="222222"/>
          <w:sz w:val="22"/>
          <w:szCs w:val="22"/>
        </w:rPr>
        <w:t xml:space="preserve">Procura est protégé contre les vulnérabilités OWASP Top 10 :</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rPr>
          <w:tblHeader/>
        </w:trPr>
        <w:tc>
          <w:tcPr>
            <w:tcW w:type="dxa" w:w="3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Vulnérabilité OWASP</w:t>
            </w:r>
          </w:p>
        </w:tc>
        <w:tc>
          <w:tcPr>
            <w:tcW w:type="dxa" w:w="5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Mesure de Protection Procura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A01 - Broken Access Control</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RBAC strict, vérification backend de chaque requête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A02 - Cryptographic Failures</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TLS 1.3, AES-256, SHA-256, HSM pour les clés critiques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A03 - Injection (SQL, CSV, etc.)</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Requêtes paramétrées, validation stricte des entrées, ORM</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A04 - Insecure Design</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Security by Design, revues de sécurité, tests d'intrusion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A05 - Security Misconfiguration</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Hardening des serveurs, configuration vérifiée, scan de configuration</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A06 - Vulnerable Components</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Gestion des dépendances, scan SCA, correctifs réguliers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A07 - Authentication Failures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MFA, blocage brute-force, expiration de session, tokens sécurisés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A08 - Data Integrity Failures</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Hash SHA-256, signature HSM, WORM, validation des imports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A09 - Logging Failures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Journalisation complète, SIEM, logs immuables, archivage légal</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A10 - SSRF</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Validation des URLs, whitelist des domaines, isolation réseau DMZ / LAN</w:t>
            </w:r>
          </w:p>
        </w:tc>
      </w:tr>
    </w:tbl>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28. Conformité</w:t>
      </w:r>
    </w:p>
    <w:p>
      <w:pPr>
        <w:pStyle w:val="Heading3"/>
        <w:spacing w:after="100" w:before="220"/>
      </w:pPr>
      <w:r>
        <w:rPr>
          <w:rFonts w:ascii="Arial" w:cs="Arial" w:eastAsia="Arial" w:hAnsi="Arial"/>
          <w:b/>
          <w:bCs/>
          <w:color w:val="2E75B6"/>
          <w:sz w:val="24"/>
          <w:szCs w:val="24"/>
        </w:rPr>
        <w:t xml:space="preserve">28.1 Loi 23-12 (Loi sur la Cybersécurité — Algérie)</w:t>
      </w:r>
    </w:p>
    <w:p>
      <w:pPr>
        <w:pStyle w:val="ListParagraph"/>
        <w:numPr>
          <w:ilvl w:val="0"/>
          <w:numId w:val="2"/>
        </w:numPr>
        <w:spacing w:after="60" w:before="60"/>
      </w:pPr>
      <w:r>
        <w:rPr>
          <w:rFonts w:ascii="Arial" w:cs="Arial" w:eastAsia="Arial" w:hAnsi="Arial"/>
          <w:color w:val="222222"/>
          <w:sz w:val="22"/>
          <w:szCs w:val="22"/>
        </w:rPr>
        <w:t xml:space="preserve">Notification obligatoire des incidents de sécurité : Procura intègre un système d'alerte et de rapport d'incidents</w:t>
      </w:r>
    </w:p>
    <w:p>
      <w:pPr>
        <w:pStyle w:val="ListParagraph"/>
        <w:numPr>
          <w:ilvl w:val="0"/>
          <w:numId w:val="2"/>
        </w:numPr>
        <w:spacing w:after="60" w:before="60"/>
      </w:pPr>
      <w:r>
        <w:rPr>
          <w:rFonts w:ascii="Arial" w:cs="Arial" w:eastAsia="Arial" w:hAnsi="Arial"/>
          <w:color w:val="222222"/>
          <w:sz w:val="22"/>
          <w:szCs w:val="22"/>
        </w:rPr>
        <w:t xml:space="preserve">Respect des mesures de sécurité imposées aux opérateurs d'importance vitale</w:t>
      </w:r>
    </w:p>
    <w:p>
      <w:pPr>
        <w:pStyle w:val="ListParagraph"/>
        <w:numPr>
          <w:ilvl w:val="0"/>
          <w:numId w:val="2"/>
        </w:numPr>
        <w:spacing w:after="60" w:before="60"/>
      </w:pPr>
      <w:r>
        <w:rPr>
          <w:rFonts w:ascii="Arial" w:cs="Arial" w:eastAsia="Arial" w:hAnsi="Arial"/>
          <w:color w:val="222222"/>
          <w:sz w:val="22"/>
          <w:szCs w:val="22"/>
        </w:rPr>
        <w:t xml:space="preserve">Journalisation des événements de sécurité conformément aux exigences de la loi</w:t>
      </w:r>
    </w:p>
    <w:p>
      <w:pPr>
        <w:pStyle w:val="ListParagraph"/>
        <w:numPr>
          <w:ilvl w:val="0"/>
          <w:numId w:val="2"/>
        </w:numPr>
        <w:spacing w:after="60" w:before="60"/>
      </w:pPr>
      <w:r>
        <w:rPr>
          <w:rFonts w:ascii="Arial" w:cs="Arial" w:eastAsia="Arial" w:hAnsi="Arial"/>
          <w:color w:val="222222"/>
          <w:sz w:val="22"/>
          <w:szCs w:val="22"/>
        </w:rPr>
        <w:t xml:space="preserve">Coopération avec les autorités compétentes en cas d'incident majeur</w:t>
      </w:r>
    </w:p>
    <w:p>
      <w:pPr>
        <w:pStyle w:val="Heading3"/>
        <w:spacing w:after="100" w:before="220"/>
      </w:pPr>
      <w:r>
        <w:rPr>
          <w:rFonts w:ascii="Arial" w:cs="Arial" w:eastAsia="Arial" w:hAnsi="Arial"/>
          <w:b/>
          <w:bCs/>
          <w:color w:val="2E75B6"/>
          <w:sz w:val="24"/>
          <w:szCs w:val="24"/>
        </w:rPr>
        <w:t xml:space="preserve">28.2 Loi 18-07 (Protection des Données Personnelles — Algérie)</w:t>
      </w:r>
    </w:p>
    <w:p>
      <w:pPr>
        <w:pStyle w:val="ListParagraph"/>
        <w:numPr>
          <w:ilvl w:val="0"/>
          <w:numId w:val="2"/>
        </w:numPr>
        <w:spacing w:after="60" w:before="60"/>
      </w:pPr>
      <w:r>
        <w:rPr>
          <w:rFonts w:ascii="Arial" w:cs="Arial" w:eastAsia="Arial" w:hAnsi="Arial"/>
          <w:color w:val="222222"/>
          <w:sz w:val="22"/>
          <w:szCs w:val="22"/>
        </w:rPr>
        <w:t xml:space="preserve">Hébergement exclusivement sur le territoire national (on-premise chez le client)</w:t>
      </w:r>
    </w:p>
    <w:p>
      <w:pPr>
        <w:pStyle w:val="ListParagraph"/>
        <w:numPr>
          <w:ilvl w:val="0"/>
          <w:numId w:val="2"/>
        </w:numPr>
        <w:spacing w:after="60" w:before="60"/>
      </w:pPr>
      <w:r>
        <w:rPr>
          <w:rFonts w:ascii="Arial" w:cs="Arial" w:eastAsia="Arial" w:hAnsi="Arial"/>
          <w:color w:val="222222"/>
          <w:sz w:val="22"/>
          <w:szCs w:val="22"/>
        </w:rPr>
        <w:t xml:space="preserve">Aucune transmission de données personnelles vers l'étranger</w:t>
      </w:r>
    </w:p>
    <w:p>
      <w:pPr>
        <w:pStyle w:val="ListParagraph"/>
        <w:numPr>
          <w:ilvl w:val="0"/>
          <w:numId w:val="2"/>
        </w:numPr>
        <w:spacing w:after="60" w:before="60"/>
      </w:pPr>
      <w:r>
        <w:rPr>
          <w:rFonts w:ascii="Arial" w:cs="Arial" w:eastAsia="Arial" w:hAnsi="Arial"/>
          <w:color w:val="222222"/>
          <w:sz w:val="22"/>
          <w:szCs w:val="22"/>
        </w:rPr>
        <w:t xml:space="preserve">Minimisation des données : Procura ne collecte que les données strictement nécessaires</w:t>
      </w:r>
    </w:p>
    <w:p>
      <w:pPr>
        <w:pStyle w:val="ListParagraph"/>
        <w:numPr>
          <w:ilvl w:val="0"/>
          <w:numId w:val="2"/>
        </w:numPr>
        <w:spacing w:after="60" w:before="60"/>
      </w:pPr>
      <w:r>
        <w:rPr>
          <w:rFonts w:ascii="Arial" w:cs="Arial" w:eastAsia="Arial" w:hAnsi="Arial"/>
          <w:color w:val="222222"/>
          <w:sz w:val="22"/>
          <w:szCs w:val="22"/>
        </w:rPr>
        <w:t xml:space="preserve">Droit à l'information des personnes concernées</w:t>
      </w:r>
    </w:p>
    <w:p>
      <w:pPr>
        <w:pStyle w:val="ListParagraph"/>
        <w:numPr>
          <w:ilvl w:val="0"/>
          <w:numId w:val="2"/>
        </w:numPr>
        <w:spacing w:after="60" w:before="60"/>
      </w:pPr>
      <w:r>
        <w:rPr>
          <w:rFonts w:ascii="Arial" w:cs="Arial" w:eastAsia="Arial" w:hAnsi="Arial"/>
          <w:color w:val="222222"/>
          <w:sz w:val="22"/>
          <w:szCs w:val="22"/>
        </w:rPr>
        <w:t xml:space="preserve">Sécurité des données personnelles : chiffrement, contrôle d'accès, traçabilité</w:t>
      </w:r>
    </w:p>
    <w:p>
      <w:pPr>
        <w:pStyle w:val="ListParagraph"/>
        <w:numPr>
          <w:ilvl w:val="0"/>
          <w:numId w:val="2"/>
        </w:numPr>
        <w:spacing w:after="60" w:before="60"/>
      </w:pPr>
      <w:r>
        <w:rPr>
          <w:rFonts w:ascii="Arial" w:cs="Arial" w:eastAsia="Arial" w:hAnsi="Arial"/>
          <w:color w:val="222222"/>
          <w:sz w:val="22"/>
          <w:szCs w:val="22"/>
        </w:rPr>
        <w:t xml:space="preserve">Conservation limitée à la durée légale et suppression certifiée en fin de conservation</w:t>
      </w:r>
    </w:p>
    <w:p>
      <w:pPr>
        <w:pStyle w:val="Heading3"/>
        <w:spacing w:after="100" w:before="220"/>
      </w:pPr>
      <w:r>
        <w:rPr>
          <w:rFonts w:ascii="Arial" w:cs="Arial" w:eastAsia="Arial" w:hAnsi="Arial"/>
          <w:b/>
          <w:bCs/>
          <w:color w:val="2E75B6"/>
          <w:sz w:val="24"/>
          <w:szCs w:val="24"/>
        </w:rPr>
        <w:t xml:space="preserve">28.3 Réglementation des Marchés Publics</w:t>
      </w:r>
    </w:p>
    <w:p>
      <w:pPr>
        <w:pStyle w:val="ListParagraph"/>
        <w:numPr>
          <w:ilvl w:val="0"/>
          <w:numId w:val="2"/>
        </w:numPr>
        <w:spacing w:after="60" w:before="60"/>
      </w:pPr>
      <w:r>
        <w:rPr>
          <w:rFonts w:ascii="Arial" w:cs="Arial" w:eastAsia="Arial" w:hAnsi="Arial"/>
          <w:color w:val="222222"/>
          <w:sz w:val="22"/>
          <w:szCs w:val="22"/>
        </w:rPr>
        <w:t xml:space="preserve">Respect de la procédure de commission d'ouverture des plis physique (Procura ne la remplace pas)</w:t>
      </w:r>
    </w:p>
    <w:p>
      <w:pPr>
        <w:pStyle w:val="ListParagraph"/>
        <w:numPr>
          <w:ilvl w:val="0"/>
          <w:numId w:val="2"/>
        </w:numPr>
        <w:spacing w:after="60" w:before="60"/>
      </w:pPr>
      <w:r>
        <w:rPr>
          <w:rFonts w:ascii="Arial" w:cs="Arial" w:eastAsia="Arial" w:hAnsi="Arial"/>
          <w:color w:val="222222"/>
          <w:sz w:val="22"/>
          <w:szCs w:val="22"/>
        </w:rPr>
        <w:t xml:space="preserve">Traçabilité légale de chaque étape de la consultation</w:t>
      </w:r>
    </w:p>
    <w:p>
      <w:pPr>
        <w:pStyle w:val="ListParagraph"/>
        <w:numPr>
          <w:ilvl w:val="0"/>
          <w:numId w:val="2"/>
        </w:numPr>
        <w:spacing w:after="60" w:before="60"/>
      </w:pPr>
      <w:r>
        <w:rPr>
          <w:rFonts w:ascii="Arial" w:cs="Arial" w:eastAsia="Arial" w:hAnsi="Arial"/>
          <w:color w:val="222222"/>
          <w:sz w:val="22"/>
          <w:szCs w:val="22"/>
        </w:rPr>
        <w:t xml:space="preserve">Égalité de traitement des fournisseurs : accès simultané et équitable aux RFQ</w:t>
      </w:r>
    </w:p>
    <w:p>
      <w:pPr>
        <w:pStyle w:val="ListParagraph"/>
        <w:numPr>
          <w:ilvl w:val="0"/>
          <w:numId w:val="2"/>
        </w:numPr>
        <w:spacing w:after="60" w:before="60"/>
      </w:pPr>
      <w:r>
        <w:rPr>
          <w:rFonts w:ascii="Arial" w:cs="Arial" w:eastAsia="Arial" w:hAnsi="Arial"/>
          <w:color w:val="222222"/>
          <w:sz w:val="22"/>
          <w:szCs w:val="22"/>
        </w:rPr>
        <w:t xml:space="preserve">Non-modification des offres après dépôt : coffre-fort numérique et WORM</w:t>
      </w:r>
    </w:p>
    <w:p>
      <w:pPr>
        <w:pStyle w:val="ListParagraph"/>
        <w:numPr>
          <w:ilvl w:val="0"/>
          <w:numId w:val="2"/>
        </w:numPr>
        <w:spacing w:after="60" w:before="60"/>
      </w:pPr>
      <w:r>
        <w:rPr>
          <w:rFonts w:ascii="Arial" w:cs="Arial" w:eastAsia="Arial" w:hAnsi="Arial"/>
          <w:color w:val="222222"/>
          <w:sz w:val="22"/>
          <w:szCs w:val="22"/>
        </w:rPr>
        <w:t xml:space="preserve">Conservation des dossiers conformément aux délais réglementaires</w:t>
      </w:r>
    </w:p>
    <w:p>
      <w:pPr>
        <w:pStyle w:val="Heading3"/>
        <w:spacing w:after="100" w:before="220"/>
      </w:pPr>
      <w:r>
        <w:rPr>
          <w:rFonts w:ascii="Arial" w:cs="Arial" w:eastAsia="Arial" w:hAnsi="Arial"/>
          <w:b/>
          <w:bCs/>
          <w:color w:val="2E75B6"/>
          <w:sz w:val="24"/>
          <w:szCs w:val="24"/>
        </w:rPr>
        <w:t xml:space="preserve">28.4 Normes Internationales de Référence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500"/>
      </w:tblGrid>
      <w:tr>
        <w:trPr>
          <w:tblHeader/>
        </w:trPr>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Norme</w:t>
            </w:r>
          </w:p>
        </w:tc>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Domaine</w:t>
            </w:r>
          </w:p>
        </w:tc>
        <w:tc>
          <w:tcPr>
            <w:tcW w:type="dxa" w:w="4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Application dans Procura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ISO 27001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Sécurité de l'information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Référentiel de contrôles de sécurité implémentés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ISO 9001</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Management de la qualité</w:t>
            </w:r>
          </w:p>
        </w:tc>
        <w:tc>
          <w:tcPr>
            <w:tcW w:type="dxa" w:w="4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Traçabilité des processus, amélioration continue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OWASP Top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Sécurité applicative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Mesures de protection développement et déploiement</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RFC 3161</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Horodatage électronique</w:t>
            </w:r>
          </w:p>
        </w:tc>
        <w:tc>
          <w:tcPr>
            <w:tcW w:type="dxa" w:w="4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Horodatage légal de tous les événements critiques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FIPS 140-2 / 140-3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Modules cryptographiques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HSM certifié pour la signature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NIST SP 800-53</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Contrôles de sécurité</w:t>
            </w:r>
          </w:p>
        </w:tc>
        <w:tc>
          <w:tcPr>
            <w:tcW w:type="dxa" w:w="4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Référentiel complémentaire pour les contrôles</w:t>
            </w:r>
          </w:p>
        </w:tc>
      </w:tr>
    </w:tbl>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29. Gestion des Risques</w:t>
      </w:r>
    </w:p>
    <w:p>
      <w:pPr>
        <w:pStyle w:val="Heading3"/>
        <w:spacing w:after="100" w:before="220"/>
      </w:pPr>
      <w:r>
        <w:rPr>
          <w:rFonts w:ascii="Arial" w:cs="Arial" w:eastAsia="Arial" w:hAnsi="Arial"/>
          <w:b/>
          <w:bCs/>
          <w:color w:val="2E75B6"/>
          <w:sz w:val="24"/>
          <w:szCs w:val="24"/>
        </w:rPr>
        <w:t xml:space="preserve">29.1 Risques Cyber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3600"/>
      </w:tblGrid>
      <w:tr>
        <w:trPr>
          <w:tblHeader/>
        </w:trPr>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Risque</w:t>
            </w:r>
          </w:p>
        </w:tc>
        <w:tc>
          <w:tcPr>
            <w:tcW w:type="dxa" w:w="12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Probabilité</w:t>
            </w:r>
          </w:p>
        </w:tc>
        <w:tc>
          <w:tcPr>
            <w:tcW w:type="dxa" w:w="12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36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Mesure de Mitigation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Intrusion par le portail fournisseur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Moyenne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Critique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DMZ isolée, WAF, mTLS, sandbox</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Fuite des offres avant ouverture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Faible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Critique</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Coffre-fort chiffré, accès impossible avant deadline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Manipulation des journaux d'audit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Faible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Élevé</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Journaux immuables signés, WORM, SIEM</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Compromission d'un compte acheteur</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Moyenne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Élevé</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MFA, RBAC, détection comportementale, révocation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Attaque par injection (SQL, 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Moyenne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Élevé</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Requêtes paramétrées, WAF, validation entrées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DDoS sur le portail fournisseur</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Faible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Moyen</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Rate limiting, WAF anti-DDoS, haute disponibilité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Malware dans une offre fournisseur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Moyenne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Élevé</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Scan multi-AV, sandbox, pull only, isolation</w:t>
            </w:r>
          </w:p>
        </w:tc>
      </w:tr>
    </w:tbl>
    <w:p>
      <w:pPr>
        <w:pStyle w:val="Heading3"/>
        <w:spacing w:after="100" w:before="220"/>
      </w:pPr>
      <w:r>
        <w:rPr>
          <w:rFonts w:ascii="Arial" w:cs="Arial" w:eastAsia="Arial" w:hAnsi="Arial"/>
          <w:b/>
          <w:bCs/>
          <w:color w:val="2E75B6"/>
          <w:sz w:val="24"/>
          <w:szCs w:val="24"/>
        </w:rPr>
        <w:t xml:space="preserve">29.2 Risques Métier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500"/>
      </w:tblGrid>
      <w:tr>
        <w:trPr>
          <w:tblHeader/>
        </w:trPr>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Risque</w:t>
            </w:r>
          </w:p>
        </w:tc>
        <w:tc>
          <w:tcPr>
            <w:tcW w:type="dxa" w:w="1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4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Mesure de Mitigation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Contestation d'un fournisseur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Juridique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Preuves horodatées RFC 3161, hash SHA-256, WORM</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Perte de données lors d'une migration</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Opérationnel</w:t>
            </w:r>
          </w:p>
        </w:tc>
        <w:tc>
          <w:tcPr>
            <w:tcW w:type="dxa" w:w="4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Sauvegardes chiffrées testées, rollback possible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Non-conformité réglementaire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Juridique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Audit interne régulier, conformité Loi 18-07 / 23-12</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Indisponibilité ERP lors de l'export</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Opérationnel</w:t>
            </w:r>
          </w:p>
        </w:tc>
        <w:tc>
          <w:tcPr>
            <w:tcW w:type="dxa" w:w="4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File d'attente persistante, retry automatique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Erreur de configuration workflow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Opérationnel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Double validation admin, versionnement, rollback</w:t>
            </w:r>
          </w:p>
        </w:tc>
      </w:tr>
    </w:tbl>
    <w:p>
      <w:pPr>
        <w:pStyle w:val="Heading3"/>
        <w:spacing w:after="100" w:before="220"/>
      </w:pPr>
      <w:r>
        <w:rPr>
          <w:rFonts w:ascii="Arial" w:cs="Arial" w:eastAsia="Arial" w:hAnsi="Arial"/>
          <w:b/>
          <w:bCs/>
          <w:color w:val="2E75B6"/>
          <w:sz w:val="24"/>
          <w:szCs w:val="24"/>
        </w:rPr>
        <w:t xml:space="preserve">29.3 Risques Techniques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500"/>
      </w:tblGrid>
      <w:tr>
        <w:trPr>
          <w:tblHeader/>
        </w:trPr>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Risque</w:t>
            </w:r>
          </w:p>
        </w:tc>
        <w:tc>
          <w:tcPr>
            <w:tcW w:type="dxa" w:w="1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4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Mesure de Mitigation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Panne serveur unique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Indisponibilité</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Haute disponibilité configurable, PRA</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Corruption de la base de données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Perte données</w:t>
            </w:r>
          </w:p>
        </w:tc>
        <w:tc>
          <w:tcPr>
            <w:tcW w:type="dxa" w:w="4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Réplication, sauvegardes, restauration testée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Expiration d'un certificat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Interruption service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Monitoring des certificats, alertes J-30, J-7</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Désynchronisation de l'horloge (NTP)</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Invalidation horodatage</w:t>
            </w:r>
          </w:p>
        </w:tc>
        <w:tc>
          <w:tcPr>
            <w:tcW w:type="dxa" w:w="4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Supervision NTP, alertes en cas de dérive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Saturation du stockage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Indisponibilité</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Alertes capacité, politique de rétention automatique</w:t>
            </w:r>
          </w:p>
        </w:tc>
      </w:tr>
    </w:tbl>
    <w:p>
      <w:r>
        <w:br w:type="page"/>
      </w:r>
    </w:p>
    <w:p>
      <w:pPr>
        <w:pStyle w:val="Heading1"/>
        <w:pBdr>
          <w:bottom w:val="single" w:color="00B0F0" w:sz="6" w:space="1"/>
        </w:pBdr>
        <w:shd w:fill="1B3A6B" w:val="clear"/>
        <w:spacing w:after="200" w:before="400"/>
      </w:pPr>
      <w:r>
        <w:rPr>
          <w:rFonts w:ascii="Arial" w:cs="Arial" w:eastAsia="Arial" w:hAnsi="Arial"/>
          <w:b/>
          <w:bCs/>
          <w:color w:val="FFFFFF"/>
          <w:sz w:val="36"/>
          <w:szCs w:val="36"/>
        </w:rPr>
        <w:t xml:space="preserve">PARTIE IX — EXPLOITATION</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30. Déploiement</w:t>
      </w:r>
    </w:p>
    <w:p>
      <w:pPr>
        <w:pStyle w:val="Heading3"/>
        <w:spacing w:after="100" w:before="220"/>
      </w:pPr>
      <w:r>
        <w:rPr>
          <w:rFonts w:ascii="Arial" w:cs="Arial" w:eastAsia="Arial" w:hAnsi="Arial"/>
          <w:b/>
          <w:bCs/>
          <w:color w:val="2E75B6"/>
          <w:sz w:val="24"/>
          <w:szCs w:val="24"/>
        </w:rPr>
        <w:t xml:space="preserve">30.1 Prérequis Infrastructure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300"/>
      </w:tblGrid>
      <w:tr>
        <w:trPr>
          <w:tblHeader/>
        </w:trPr>
        <w:tc>
          <w:tcPr>
            <w:tcW w:type="dxa" w:w="22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Composant</w:t>
            </w:r>
          </w:p>
        </w:tc>
        <w:tc>
          <w:tcPr>
            <w:tcW w:type="dxa" w:w="3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Spécifications Minimales</w:t>
            </w:r>
          </w:p>
        </w:tc>
        <w:tc>
          <w:tcPr>
            <w:tcW w:type="dxa" w:w="33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Recommandé Production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Serveur Applicatif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8 vCPU, 16 Go RAM, 100 Go SSD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16 vCPU, 32 Go RAM, 200 Go NVMe SSD</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Serveur Base de Données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8 vCPU, 32 Go RAM, 500 Go SSD RAID</w:t>
            </w:r>
          </w:p>
        </w:tc>
        <w:tc>
          <w:tcPr>
            <w:tcW w:type="dxa" w:w="3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16 vCPU, 64 Go RAM, 1 To NVMe RAID 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Serveur DMZ</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4 vCPU, 8 Go RAM, 100 Go SSD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8 vCPU, 16 Go RAM, 200 Go SSD</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Serveur de Sauvegarde</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4 vCPU, 8 Go RAM, 2 To RAID</w:t>
            </w:r>
          </w:p>
        </w:tc>
        <w:tc>
          <w:tcPr>
            <w:tcW w:type="dxa" w:w="3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8 vCPU, 16 Go RAM, 5 To RAID 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Stockage WORM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NAS avec capacité WORM, 5 To initial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NAS WORM redondant, 10 To extensible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HSM</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HSM compatible PKCS#11</w:t>
            </w:r>
          </w:p>
        </w:tc>
        <w:tc>
          <w:tcPr>
            <w:tcW w:type="dxa" w:w="3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YubiHSM 2 / Thales Luna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Réseau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 Gbps LAN, 100 Mbps DMZ</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10 Gbps LAN, 1 Gbps DMZ</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Linux Ubuntu 22.04 LTS ou RHEL 8+</w:t>
            </w:r>
          </w:p>
        </w:tc>
        <w:tc>
          <w:tcPr>
            <w:tcW w:type="dxa" w:w="3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Ubuntu 22.04 LTS (recommandé)</w:t>
            </w:r>
          </w:p>
        </w:tc>
      </w:tr>
    </w:tbl>
    <w:p>
      <w:pPr>
        <w:pStyle w:val="Heading3"/>
        <w:spacing w:after="100" w:before="220"/>
      </w:pPr>
      <w:r>
        <w:rPr>
          <w:rFonts w:ascii="Arial" w:cs="Arial" w:eastAsia="Arial" w:hAnsi="Arial"/>
          <w:b/>
          <w:bCs/>
          <w:color w:val="2E75B6"/>
          <w:sz w:val="24"/>
          <w:szCs w:val="24"/>
        </w:rPr>
        <w:t xml:space="preserve">30.2 Processus d'Installation</w:t>
      </w:r>
    </w:p>
    <w:p>
      <w:pPr>
        <w:pStyle w:val="ListParagraph"/>
        <w:numPr>
          <w:ilvl w:val="0"/>
          <w:numId w:val="3"/>
        </w:numPr>
        <w:spacing w:after="60" w:before="60"/>
      </w:pPr>
      <w:r>
        <w:rPr>
          <w:rFonts w:ascii="Arial" w:cs="Arial" w:eastAsia="Arial" w:hAnsi="Arial"/>
          <w:color w:val="222222"/>
          <w:sz w:val="22"/>
          <w:szCs w:val="22"/>
        </w:rPr>
        <w:t xml:space="preserve">Préparation de l'infrastructure : installation OS, hardening, configuration réseau</w:t>
      </w:r>
    </w:p>
    <w:p>
      <w:pPr>
        <w:pStyle w:val="ListParagraph"/>
        <w:numPr>
          <w:ilvl w:val="0"/>
          <w:numId w:val="3"/>
        </w:numPr>
        <w:spacing w:after="60" w:before="60"/>
      </w:pPr>
      <w:r>
        <w:rPr>
          <w:rFonts w:ascii="Arial" w:cs="Arial" w:eastAsia="Arial" w:hAnsi="Arial"/>
          <w:color w:val="222222"/>
          <w:sz w:val="22"/>
          <w:szCs w:val="22"/>
        </w:rPr>
        <w:t xml:space="preserve">Déploiement des services Procura via Docker Compose ou Kubernetes</w:t>
      </w:r>
    </w:p>
    <w:p>
      <w:pPr>
        <w:pStyle w:val="ListParagraph"/>
        <w:numPr>
          <w:ilvl w:val="0"/>
          <w:numId w:val="3"/>
        </w:numPr>
        <w:spacing w:after="60" w:before="60"/>
      </w:pPr>
      <w:r>
        <w:rPr>
          <w:rFonts w:ascii="Arial" w:cs="Arial" w:eastAsia="Arial" w:hAnsi="Arial"/>
          <w:color w:val="222222"/>
          <w:sz w:val="22"/>
          <w:szCs w:val="22"/>
        </w:rPr>
        <w:t xml:space="preserve">Configuration de la base de données PostgreSQL avec chiffrement TDE</w:t>
      </w:r>
    </w:p>
    <w:p>
      <w:pPr>
        <w:pStyle w:val="ListParagraph"/>
        <w:numPr>
          <w:ilvl w:val="0"/>
          <w:numId w:val="3"/>
        </w:numPr>
        <w:spacing w:after="60" w:before="60"/>
      </w:pPr>
      <w:r>
        <w:rPr>
          <w:rFonts w:ascii="Arial" w:cs="Arial" w:eastAsia="Arial" w:hAnsi="Arial"/>
          <w:color w:val="222222"/>
          <w:sz w:val="22"/>
          <w:szCs w:val="22"/>
        </w:rPr>
        <w:t xml:space="preserve">Déploiement du portail fournisseur en DMZ avec Nginx + ModSecurity</w:t>
      </w:r>
    </w:p>
    <w:p>
      <w:pPr>
        <w:pStyle w:val="ListParagraph"/>
        <w:numPr>
          <w:ilvl w:val="0"/>
          <w:numId w:val="3"/>
        </w:numPr>
        <w:spacing w:after="60" w:before="60"/>
      </w:pPr>
      <w:r>
        <w:rPr>
          <w:rFonts w:ascii="Arial" w:cs="Arial" w:eastAsia="Arial" w:hAnsi="Arial"/>
          <w:color w:val="222222"/>
          <w:sz w:val="22"/>
          <w:szCs w:val="22"/>
        </w:rPr>
        <w:t xml:space="preserve">Configuration PKI interne et intégration HSM</w:t>
      </w:r>
    </w:p>
    <w:p>
      <w:pPr>
        <w:pStyle w:val="ListParagraph"/>
        <w:numPr>
          <w:ilvl w:val="0"/>
          <w:numId w:val="3"/>
        </w:numPr>
        <w:spacing w:after="60" w:before="60"/>
      </w:pPr>
      <w:r>
        <w:rPr>
          <w:rFonts w:ascii="Arial" w:cs="Arial" w:eastAsia="Arial" w:hAnsi="Arial"/>
          <w:color w:val="222222"/>
          <w:sz w:val="22"/>
          <w:szCs w:val="22"/>
        </w:rPr>
        <w:t xml:space="preserve">Intégration Active Directory / LDAP</w:t>
      </w:r>
    </w:p>
    <w:p>
      <w:pPr>
        <w:pStyle w:val="ListParagraph"/>
        <w:numPr>
          <w:ilvl w:val="0"/>
          <w:numId w:val="3"/>
        </w:numPr>
        <w:spacing w:after="60" w:before="60"/>
      </w:pPr>
      <w:r>
        <w:rPr>
          <w:rFonts w:ascii="Arial" w:cs="Arial" w:eastAsia="Arial" w:hAnsi="Arial"/>
          <w:color w:val="222222"/>
          <w:sz w:val="22"/>
          <w:szCs w:val="22"/>
        </w:rPr>
        <w:t xml:space="preserve">Configuration des connecteurs ERP</w:t>
      </w:r>
    </w:p>
    <w:p>
      <w:pPr>
        <w:pStyle w:val="ListParagraph"/>
        <w:numPr>
          <w:ilvl w:val="0"/>
          <w:numId w:val="3"/>
        </w:numPr>
        <w:spacing w:after="60" w:before="60"/>
      </w:pPr>
      <w:r>
        <w:rPr>
          <w:rFonts w:ascii="Arial" w:cs="Arial" w:eastAsia="Arial" w:hAnsi="Arial"/>
          <w:color w:val="222222"/>
          <w:sz w:val="22"/>
          <w:szCs w:val="22"/>
        </w:rPr>
        <w:t xml:space="preserve">Configuration SIEM (Wazuh / ELK)</w:t>
      </w:r>
    </w:p>
    <w:p>
      <w:pPr>
        <w:pStyle w:val="ListParagraph"/>
        <w:numPr>
          <w:ilvl w:val="0"/>
          <w:numId w:val="3"/>
        </w:numPr>
        <w:spacing w:after="60" w:before="60"/>
      </w:pPr>
      <w:r>
        <w:rPr>
          <w:rFonts w:ascii="Arial" w:cs="Arial" w:eastAsia="Arial" w:hAnsi="Arial"/>
          <w:color w:val="222222"/>
          <w:sz w:val="22"/>
          <w:szCs w:val="22"/>
        </w:rPr>
        <w:t xml:space="preserve">Tests de validation pré-production</w:t>
      </w:r>
    </w:p>
    <w:p>
      <w:pPr>
        <w:pStyle w:val="ListParagraph"/>
        <w:numPr>
          <w:ilvl w:val="0"/>
          <w:numId w:val="3"/>
        </w:numPr>
        <w:spacing w:after="60" w:before="60"/>
      </w:pPr>
      <w:r>
        <w:rPr>
          <w:rFonts w:ascii="Arial" w:cs="Arial" w:eastAsia="Arial" w:hAnsi="Arial"/>
          <w:color w:val="222222"/>
          <w:sz w:val="22"/>
          <w:szCs w:val="22"/>
        </w:rPr>
        <w:t xml:space="preserve">Mise en production avec PV d'acceptance</w:t>
      </w:r>
    </w:p>
    <w:p>
      <w:pPr>
        <w:pStyle w:val="Heading3"/>
        <w:spacing w:after="100" w:before="220"/>
      </w:pPr>
      <w:r>
        <w:rPr>
          <w:rFonts w:ascii="Arial" w:cs="Arial" w:eastAsia="Arial" w:hAnsi="Arial"/>
          <w:b/>
          <w:bCs/>
          <w:color w:val="2E75B6"/>
          <w:sz w:val="24"/>
          <w:szCs w:val="24"/>
        </w:rPr>
        <w:t xml:space="preserve">30.3 Configuration</w:t>
      </w:r>
    </w:p>
    <w:p>
      <w:pPr>
        <w:spacing w:after="80" w:before="80"/>
        <w:jc w:val="left"/>
      </w:pPr>
      <w:r>
        <w:rPr>
          <w:rFonts w:ascii="Arial" w:cs="Arial" w:eastAsia="Arial" w:hAnsi="Arial"/>
          <w:b w:val="false"/>
          <w:bCs w:val="false"/>
          <w:i w:val="false"/>
          <w:iCs w:val="false"/>
          <w:color w:val="222222"/>
          <w:sz w:val="22"/>
          <w:szCs w:val="22"/>
        </w:rPr>
        <w:t xml:space="preserve">La configuration de Procura est entièrement réalisable via l'interface d'administration sans modification du code source. Les paramètres sont versionnés et sauvegardés automatiquement.</w:t>
      </w:r>
    </w:p>
    <w:p>
      <w:pPr>
        <w:pStyle w:val="Heading3"/>
        <w:spacing w:after="100" w:before="220"/>
      </w:pPr>
      <w:r>
        <w:rPr>
          <w:rFonts w:ascii="Arial" w:cs="Arial" w:eastAsia="Arial" w:hAnsi="Arial"/>
          <w:b/>
          <w:bCs/>
          <w:color w:val="2E75B6"/>
          <w:sz w:val="24"/>
          <w:szCs w:val="24"/>
        </w:rPr>
        <w:t xml:space="preserve">30.4 Mise en Production</w:t>
      </w:r>
    </w:p>
    <w:p>
      <w:pPr>
        <w:spacing w:after="80" w:before="80"/>
        <w:jc w:val="left"/>
      </w:pPr>
      <w:r>
        <w:rPr>
          <w:rFonts w:ascii="Arial" w:cs="Arial" w:eastAsia="Arial" w:hAnsi="Arial"/>
          <w:b w:val="false"/>
          <w:bCs w:val="false"/>
          <w:i w:val="false"/>
          <w:iCs w:val="false"/>
          <w:color w:val="222222"/>
          <w:sz w:val="22"/>
          <w:szCs w:val="22"/>
        </w:rPr>
        <w:t xml:space="preserve">La mise en production suit une procédure validée incluant :</w:t>
      </w:r>
    </w:p>
    <w:p>
      <w:pPr>
        <w:pStyle w:val="ListParagraph"/>
        <w:numPr>
          <w:ilvl w:val="0"/>
          <w:numId w:val="2"/>
        </w:numPr>
        <w:spacing w:after="60" w:before="60"/>
      </w:pPr>
      <w:r>
        <w:rPr>
          <w:rFonts w:ascii="Arial" w:cs="Arial" w:eastAsia="Arial" w:hAnsi="Arial"/>
          <w:color w:val="222222"/>
          <w:sz w:val="22"/>
          <w:szCs w:val="22"/>
        </w:rPr>
        <w:t xml:space="preserve">Tests de charge et de performance</w:t>
      </w:r>
    </w:p>
    <w:p>
      <w:pPr>
        <w:pStyle w:val="ListParagraph"/>
        <w:numPr>
          <w:ilvl w:val="0"/>
          <w:numId w:val="2"/>
        </w:numPr>
        <w:spacing w:after="60" w:before="60"/>
      </w:pPr>
      <w:r>
        <w:rPr>
          <w:rFonts w:ascii="Arial" w:cs="Arial" w:eastAsia="Arial" w:hAnsi="Arial"/>
          <w:color w:val="222222"/>
          <w:sz w:val="22"/>
          <w:szCs w:val="22"/>
        </w:rPr>
        <w:t xml:space="preserve">Tests de sécurité (scan de vulnérabilités, test d'intrusion)</w:t>
      </w:r>
    </w:p>
    <w:p>
      <w:pPr>
        <w:pStyle w:val="ListParagraph"/>
        <w:numPr>
          <w:ilvl w:val="0"/>
          <w:numId w:val="2"/>
        </w:numPr>
        <w:spacing w:after="60" w:before="60"/>
      </w:pPr>
      <w:r>
        <w:rPr>
          <w:rFonts w:ascii="Arial" w:cs="Arial" w:eastAsia="Arial" w:hAnsi="Arial"/>
          <w:color w:val="222222"/>
          <w:sz w:val="22"/>
          <w:szCs w:val="22"/>
        </w:rPr>
        <w:t xml:space="preserve">Tests d'intégration ERP end-to-end</w:t>
      </w:r>
    </w:p>
    <w:p>
      <w:pPr>
        <w:pStyle w:val="ListParagraph"/>
        <w:numPr>
          <w:ilvl w:val="0"/>
          <w:numId w:val="2"/>
        </w:numPr>
        <w:spacing w:after="60" w:before="60"/>
      </w:pPr>
      <w:r>
        <w:rPr>
          <w:rFonts w:ascii="Arial" w:cs="Arial" w:eastAsia="Arial" w:hAnsi="Arial"/>
          <w:color w:val="222222"/>
          <w:sz w:val="22"/>
          <w:szCs w:val="22"/>
        </w:rPr>
        <w:t xml:space="preserve">Formation des administrateurs et des utilisateurs clés</w:t>
      </w:r>
    </w:p>
    <w:p>
      <w:pPr>
        <w:pStyle w:val="ListParagraph"/>
        <w:numPr>
          <w:ilvl w:val="0"/>
          <w:numId w:val="2"/>
        </w:numPr>
        <w:spacing w:after="60" w:before="60"/>
      </w:pPr>
      <w:r>
        <w:rPr>
          <w:rFonts w:ascii="Arial" w:cs="Arial" w:eastAsia="Arial" w:hAnsi="Arial"/>
          <w:color w:val="222222"/>
          <w:sz w:val="22"/>
          <w:szCs w:val="22"/>
        </w:rPr>
        <w:t xml:space="preserve">PV de recette et d'acceptance</w:t>
      </w:r>
    </w:p>
    <w:p>
      <w:pPr>
        <w:pStyle w:val="ListParagraph"/>
        <w:numPr>
          <w:ilvl w:val="0"/>
          <w:numId w:val="2"/>
        </w:numPr>
        <w:spacing w:after="60" w:before="60"/>
      </w:pPr>
      <w:r>
        <w:rPr>
          <w:rFonts w:ascii="Arial" w:cs="Arial" w:eastAsia="Arial" w:hAnsi="Arial"/>
          <w:color w:val="222222"/>
          <w:sz w:val="22"/>
          <w:szCs w:val="22"/>
        </w:rPr>
        <w:t xml:space="preserve">Activation du monitoring et des alertes</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31. Supervision</w:t>
      </w:r>
    </w:p>
    <w:p>
      <w:pPr>
        <w:pStyle w:val="Heading3"/>
        <w:spacing w:after="100" w:before="220"/>
      </w:pPr>
      <w:r>
        <w:rPr>
          <w:rFonts w:ascii="Arial" w:cs="Arial" w:eastAsia="Arial" w:hAnsi="Arial"/>
          <w:b/>
          <w:bCs/>
          <w:color w:val="2E75B6"/>
          <w:sz w:val="24"/>
          <w:szCs w:val="24"/>
        </w:rPr>
        <w:t xml:space="preserve">31.1 Tableau de Bord Opérationnel</w:t>
      </w:r>
    </w:p>
    <w:p>
      <w:pPr>
        <w:spacing w:after="80" w:before="80"/>
        <w:jc w:val="left"/>
      </w:pPr>
      <w:r>
        <w:rPr>
          <w:rFonts w:ascii="Arial" w:cs="Arial" w:eastAsia="Arial" w:hAnsi="Arial"/>
          <w:b w:val="false"/>
          <w:bCs w:val="false"/>
          <w:i w:val="false"/>
          <w:iCs w:val="false"/>
          <w:color w:val="222222"/>
          <w:sz w:val="22"/>
          <w:szCs w:val="22"/>
        </w:rPr>
        <w:t xml:space="preserve">Le tableau de bord de supervision centralise en temps réel :</w:t>
      </w:r>
    </w:p>
    <w:p>
      <w:pPr>
        <w:pStyle w:val="ListParagraph"/>
        <w:numPr>
          <w:ilvl w:val="0"/>
          <w:numId w:val="2"/>
        </w:numPr>
        <w:spacing w:after="60" w:before="60"/>
      </w:pPr>
      <w:r>
        <w:rPr>
          <w:rFonts w:ascii="Arial" w:cs="Arial" w:eastAsia="Arial" w:hAnsi="Arial"/>
          <w:color w:val="222222"/>
          <w:sz w:val="22"/>
          <w:szCs w:val="22"/>
        </w:rPr>
        <w:t xml:space="preserve">État de chaque service Procura (vert / orange / rouge)</w:t>
      </w:r>
    </w:p>
    <w:p>
      <w:pPr>
        <w:pStyle w:val="ListParagraph"/>
        <w:numPr>
          <w:ilvl w:val="0"/>
          <w:numId w:val="2"/>
        </w:numPr>
        <w:spacing w:after="60" w:before="60"/>
      </w:pPr>
      <w:r>
        <w:rPr>
          <w:rFonts w:ascii="Arial" w:cs="Arial" w:eastAsia="Arial" w:hAnsi="Arial"/>
          <w:color w:val="222222"/>
          <w:sz w:val="22"/>
          <w:szCs w:val="22"/>
        </w:rPr>
        <w:t xml:space="preserve">Utilisation des ressources : CPU, RAM, stockage, bande passante</w:t>
      </w:r>
    </w:p>
    <w:p>
      <w:pPr>
        <w:pStyle w:val="ListParagraph"/>
        <w:numPr>
          <w:ilvl w:val="0"/>
          <w:numId w:val="2"/>
        </w:numPr>
        <w:spacing w:after="60" w:before="60"/>
      </w:pPr>
      <w:r>
        <w:rPr>
          <w:rFonts w:ascii="Arial" w:cs="Arial" w:eastAsia="Arial" w:hAnsi="Arial"/>
          <w:color w:val="222222"/>
          <w:sz w:val="22"/>
          <w:szCs w:val="22"/>
        </w:rPr>
        <w:t xml:space="preserve">Temps de réponse moyen des API</w:t>
      </w:r>
    </w:p>
    <w:p>
      <w:pPr>
        <w:pStyle w:val="ListParagraph"/>
        <w:numPr>
          <w:ilvl w:val="0"/>
          <w:numId w:val="2"/>
        </w:numPr>
        <w:spacing w:after="60" w:before="60"/>
      </w:pPr>
      <w:r>
        <w:rPr>
          <w:rFonts w:ascii="Arial" w:cs="Arial" w:eastAsia="Arial" w:hAnsi="Arial"/>
          <w:color w:val="222222"/>
          <w:sz w:val="22"/>
          <w:szCs w:val="22"/>
        </w:rPr>
        <w:t xml:space="preserve">Nombre d'utilisateurs connectés simultanément</w:t>
      </w:r>
    </w:p>
    <w:p>
      <w:pPr>
        <w:pStyle w:val="ListParagraph"/>
        <w:numPr>
          <w:ilvl w:val="0"/>
          <w:numId w:val="2"/>
        </w:numPr>
        <w:spacing w:after="60" w:before="60"/>
      </w:pPr>
      <w:r>
        <w:rPr>
          <w:rFonts w:ascii="Arial" w:cs="Arial" w:eastAsia="Arial" w:hAnsi="Arial"/>
          <w:color w:val="222222"/>
          <w:sz w:val="22"/>
          <w:szCs w:val="22"/>
        </w:rPr>
        <w:t xml:space="preserve">État des connecteurs ERP</w:t>
      </w:r>
    </w:p>
    <w:p>
      <w:pPr>
        <w:pStyle w:val="ListParagraph"/>
        <w:numPr>
          <w:ilvl w:val="0"/>
          <w:numId w:val="2"/>
        </w:numPr>
        <w:spacing w:after="60" w:before="60"/>
      </w:pPr>
      <w:r>
        <w:rPr>
          <w:rFonts w:ascii="Arial" w:cs="Arial" w:eastAsia="Arial" w:hAnsi="Arial"/>
          <w:color w:val="222222"/>
          <w:sz w:val="22"/>
          <w:szCs w:val="22"/>
        </w:rPr>
        <w:t xml:space="preserve">État de la file d'attente des messages</w:t>
      </w:r>
    </w:p>
    <w:p>
      <w:pPr>
        <w:pStyle w:val="ListParagraph"/>
        <w:numPr>
          <w:ilvl w:val="0"/>
          <w:numId w:val="2"/>
        </w:numPr>
        <w:spacing w:after="60" w:before="60"/>
      </w:pPr>
      <w:r>
        <w:rPr>
          <w:rFonts w:ascii="Arial" w:cs="Arial" w:eastAsia="Arial" w:hAnsi="Arial"/>
          <w:color w:val="222222"/>
          <w:sz w:val="22"/>
          <w:szCs w:val="22"/>
        </w:rPr>
        <w:t xml:space="preserve">Dernières alertes et incidents</w:t>
      </w:r>
    </w:p>
    <w:p>
      <w:pPr>
        <w:pStyle w:val="Heading3"/>
        <w:spacing w:after="100" w:before="220"/>
      </w:pPr>
      <w:r>
        <w:rPr>
          <w:rFonts w:ascii="Arial" w:cs="Arial" w:eastAsia="Arial" w:hAnsi="Arial"/>
          <w:b/>
          <w:bCs/>
          <w:color w:val="2E75B6"/>
          <w:sz w:val="24"/>
          <w:szCs w:val="24"/>
        </w:rPr>
        <w:t xml:space="preserve">31.2 Alertes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000"/>
      </w:tblGrid>
      <w:tr>
        <w:trPr>
          <w:tblHeader/>
        </w:trPr>
        <w:tc>
          <w:tcPr>
            <w:tcW w:type="dxa" w:w="3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Condition d'Alerte</w:t>
            </w:r>
          </w:p>
        </w:tc>
        <w:tc>
          <w:tcPr>
            <w:tcW w:type="dxa" w:w="1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Niveau</w:t>
            </w:r>
          </w:p>
        </w:tc>
        <w:tc>
          <w:tcPr>
            <w:tcW w:type="dxa" w:w="4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Canal de Notification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Service Procura indisponible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CRITICAL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Email + SMS + Webhook</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CPU &gt; 85 % pendant 5 min</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WARNING</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Email + Webhook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RAM &gt; 90 %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WARNING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Email + Webhook</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Stockage &gt; 80 %</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WARNING</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Échec de sauvegarde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CRITICAL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Email + SMS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Expiration certificat &lt; 30 jours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WARNING</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Expiration certificat &lt; 7 jours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CRITICAL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Email + SMS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Tentative intrusion détectée</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CRITICAL</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Email + SMS + SOC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ERP indisponible &gt; 30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WARNING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Email + Webhook</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Désynchronisation NTP &gt; 1 seconde</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CRITICAL</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Email + SMS</w:t>
            </w:r>
          </w:p>
        </w:tc>
      </w:tr>
    </w:tbl>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32. Sauvegarde</w:t>
      </w:r>
    </w:p>
    <w:p>
      <w:pPr>
        <w:pStyle w:val="Heading3"/>
        <w:spacing w:after="100" w:before="220"/>
      </w:pPr>
      <w:r>
        <w:rPr>
          <w:rFonts w:ascii="Arial" w:cs="Arial" w:eastAsia="Arial" w:hAnsi="Arial"/>
          <w:b/>
          <w:bCs/>
          <w:color w:val="2E75B6"/>
          <w:sz w:val="24"/>
          <w:szCs w:val="24"/>
        </w:rPr>
        <w:t xml:space="preserve">32.1 Politique de Sauvegarde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1500"/>
      </w:tblGrid>
      <w:tr>
        <w:trPr>
          <w:tblHeader/>
        </w:trPr>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Élément Sauvegardé</w:t>
            </w:r>
          </w:p>
        </w:tc>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Fréquence</w:t>
            </w:r>
          </w:p>
        </w:tc>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Rétention</w:t>
            </w:r>
          </w:p>
        </w:tc>
        <w:tc>
          <w:tcPr>
            <w:tcW w:type="dxa" w:w="1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Chiffrement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Base de données PostgreSQL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Quotidienne (incrémentale), hebdomadaire (complète)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30 jours (quotidien), 1 an (hebdomadaire)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AES-256</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Fichiers stockage objet</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Quotidienne incrémentale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30 jours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AES-256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Archives WORM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Réplication en temps réel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Durée légale (10 ans)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AES-256</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Configuration Procura</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À chaque modification</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 an</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AES-256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Journaux d'audit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Temps réel + export quotidien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10 ans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AES-256</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Certificats PKI</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À chaque modification + à chaque renouvellement</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10 ans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AES-256</w:t>
            </w:r>
          </w:p>
        </w:tc>
      </w:tr>
    </w:tbl>
    <w:p>
      <w:pPr>
        <w:pStyle w:val="Heading3"/>
        <w:spacing w:after="100" w:before="220"/>
      </w:pPr>
      <w:r>
        <w:rPr>
          <w:rFonts w:ascii="Arial" w:cs="Arial" w:eastAsia="Arial" w:hAnsi="Arial"/>
          <w:b/>
          <w:bCs/>
          <w:color w:val="2E75B6"/>
          <w:sz w:val="24"/>
          <w:szCs w:val="24"/>
        </w:rPr>
        <w:t xml:space="preserve">32.2 Tests de Restauration</w:t>
      </w:r>
    </w:p>
    <w:p>
      <w:pPr>
        <w:pStyle w:val="ListParagraph"/>
        <w:numPr>
          <w:ilvl w:val="0"/>
          <w:numId w:val="2"/>
        </w:numPr>
        <w:spacing w:after="60" w:before="60"/>
      </w:pPr>
      <w:r>
        <w:rPr>
          <w:rFonts w:ascii="Arial" w:cs="Arial" w:eastAsia="Arial" w:hAnsi="Arial"/>
          <w:color w:val="222222"/>
          <w:sz w:val="22"/>
          <w:szCs w:val="22"/>
        </w:rPr>
        <w:t xml:space="preserve">Tests de restauration complète : trimestriels</w:t>
      </w:r>
    </w:p>
    <w:p>
      <w:pPr>
        <w:pStyle w:val="ListParagraph"/>
        <w:numPr>
          <w:ilvl w:val="0"/>
          <w:numId w:val="2"/>
        </w:numPr>
        <w:spacing w:after="60" w:before="60"/>
      </w:pPr>
      <w:r>
        <w:rPr>
          <w:rFonts w:ascii="Arial" w:cs="Arial" w:eastAsia="Arial" w:hAnsi="Arial"/>
          <w:color w:val="222222"/>
          <w:sz w:val="22"/>
          <w:szCs w:val="22"/>
        </w:rPr>
        <w:t xml:space="preserve">Tests de restauration partielle (base de données) : mensuels</w:t>
      </w:r>
    </w:p>
    <w:p>
      <w:pPr>
        <w:pStyle w:val="ListParagraph"/>
        <w:numPr>
          <w:ilvl w:val="0"/>
          <w:numId w:val="2"/>
        </w:numPr>
        <w:spacing w:after="60" w:before="60"/>
      </w:pPr>
      <w:r>
        <w:rPr>
          <w:rFonts w:ascii="Arial" w:cs="Arial" w:eastAsia="Arial" w:hAnsi="Arial"/>
          <w:color w:val="222222"/>
          <w:sz w:val="22"/>
          <w:szCs w:val="22"/>
        </w:rPr>
        <w:t xml:space="preserve">Documentation des résultats de chaque test</w:t>
      </w:r>
    </w:p>
    <w:p>
      <w:pPr>
        <w:pStyle w:val="ListParagraph"/>
        <w:numPr>
          <w:ilvl w:val="0"/>
          <w:numId w:val="2"/>
        </w:numPr>
        <w:spacing w:after="60" w:before="60"/>
      </w:pPr>
      <w:r>
        <w:rPr>
          <w:rFonts w:ascii="Arial" w:cs="Arial" w:eastAsia="Arial" w:hAnsi="Arial"/>
          <w:color w:val="222222"/>
          <w:sz w:val="22"/>
          <w:szCs w:val="22"/>
        </w:rPr>
        <w:t xml:space="preserve">Objectifs : RTO (Recovery Time Objective) &lt; 4 heures, RPO (Recovery Point Objective) &lt; 24 heures</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33. Maintenance</w:t>
      </w:r>
    </w:p>
    <w:p>
      <w:pPr>
        <w:pStyle w:val="Heading3"/>
        <w:spacing w:after="100" w:before="220"/>
      </w:pPr>
      <w:r>
        <w:rPr>
          <w:rFonts w:ascii="Arial" w:cs="Arial" w:eastAsia="Arial" w:hAnsi="Arial"/>
          <w:b/>
          <w:bCs/>
          <w:color w:val="2E75B6"/>
          <w:sz w:val="24"/>
          <w:szCs w:val="24"/>
        </w:rPr>
        <w:t xml:space="preserve">33.1 Maintenance Corrective</w:t>
      </w:r>
    </w:p>
    <w:p>
      <w:pPr>
        <w:pStyle w:val="ListParagraph"/>
        <w:numPr>
          <w:ilvl w:val="0"/>
          <w:numId w:val="2"/>
        </w:numPr>
        <w:spacing w:after="60" w:before="60"/>
      </w:pPr>
      <w:r>
        <w:rPr>
          <w:rFonts w:ascii="Arial" w:cs="Arial" w:eastAsia="Arial" w:hAnsi="Arial"/>
          <w:color w:val="222222"/>
          <w:sz w:val="22"/>
          <w:szCs w:val="22"/>
        </w:rPr>
        <w:t xml:space="preserve">Gestion des incidents via le système de ticketing interne</w:t>
      </w:r>
    </w:p>
    <w:p>
      <w:pPr>
        <w:pStyle w:val="ListParagraph"/>
        <w:numPr>
          <w:ilvl w:val="0"/>
          <w:numId w:val="2"/>
        </w:numPr>
        <w:spacing w:after="60" w:before="60"/>
      </w:pPr>
      <w:r>
        <w:rPr>
          <w:rFonts w:ascii="Arial" w:cs="Arial" w:eastAsia="Arial" w:hAnsi="Arial"/>
          <w:color w:val="222222"/>
          <w:sz w:val="22"/>
          <w:szCs w:val="22"/>
        </w:rPr>
        <w:t xml:space="preserve">Niveau 1 : support utilisateur (guide, FAQ, documentation)</w:t>
      </w:r>
    </w:p>
    <w:p>
      <w:pPr>
        <w:pStyle w:val="ListParagraph"/>
        <w:numPr>
          <w:ilvl w:val="0"/>
          <w:numId w:val="2"/>
        </w:numPr>
        <w:spacing w:after="60" w:before="60"/>
      </w:pPr>
      <w:r>
        <w:rPr>
          <w:rFonts w:ascii="Arial" w:cs="Arial" w:eastAsia="Arial" w:hAnsi="Arial"/>
          <w:color w:val="222222"/>
          <w:sz w:val="22"/>
          <w:szCs w:val="22"/>
        </w:rPr>
        <w:t xml:space="preserve">Niveau 2 : diagnostic et résolution par l'équipe technique Procura</w:t>
      </w:r>
    </w:p>
    <w:p>
      <w:pPr>
        <w:pStyle w:val="ListParagraph"/>
        <w:numPr>
          <w:ilvl w:val="0"/>
          <w:numId w:val="2"/>
        </w:numPr>
        <w:spacing w:after="60" w:before="60"/>
      </w:pPr>
      <w:r>
        <w:rPr>
          <w:rFonts w:ascii="Arial" w:cs="Arial" w:eastAsia="Arial" w:hAnsi="Arial"/>
          <w:color w:val="222222"/>
          <w:sz w:val="22"/>
          <w:szCs w:val="22"/>
        </w:rPr>
        <w:t xml:space="preserve">Niveau 3 : correctif de code et mise à jour d'urgence</w:t>
      </w:r>
    </w:p>
    <w:p>
      <w:pPr>
        <w:pStyle w:val="ListParagraph"/>
        <w:numPr>
          <w:ilvl w:val="0"/>
          <w:numId w:val="2"/>
        </w:numPr>
        <w:spacing w:after="60" w:before="60"/>
      </w:pPr>
      <w:r>
        <w:rPr>
          <w:rFonts w:ascii="Arial" w:cs="Arial" w:eastAsia="Arial" w:hAnsi="Arial"/>
          <w:color w:val="222222"/>
          <w:sz w:val="22"/>
          <w:szCs w:val="22"/>
        </w:rPr>
        <w:t xml:space="preserve">SLA : incidents critiques résolus en moins de 4 heures</w:t>
      </w:r>
    </w:p>
    <w:p>
      <w:pPr>
        <w:pStyle w:val="Heading3"/>
        <w:spacing w:after="100" w:before="220"/>
      </w:pPr>
      <w:r>
        <w:rPr>
          <w:rFonts w:ascii="Arial" w:cs="Arial" w:eastAsia="Arial" w:hAnsi="Arial"/>
          <w:b/>
          <w:bCs/>
          <w:color w:val="2E75B6"/>
          <w:sz w:val="24"/>
          <w:szCs w:val="24"/>
        </w:rPr>
        <w:t xml:space="preserve">33.2 Maintenance Préventive</w:t>
      </w:r>
    </w:p>
    <w:p>
      <w:pPr>
        <w:pStyle w:val="ListParagraph"/>
        <w:numPr>
          <w:ilvl w:val="0"/>
          <w:numId w:val="2"/>
        </w:numPr>
        <w:spacing w:after="60" w:before="60"/>
      </w:pPr>
      <w:r>
        <w:rPr>
          <w:rFonts w:ascii="Arial" w:cs="Arial" w:eastAsia="Arial" w:hAnsi="Arial"/>
          <w:color w:val="222222"/>
          <w:sz w:val="22"/>
          <w:szCs w:val="22"/>
        </w:rPr>
        <w:t xml:space="preserve">Mises à jour de sécurité : appliquées sous 72 heures pour les vulnérabilités critiques</w:t>
      </w:r>
    </w:p>
    <w:p>
      <w:pPr>
        <w:pStyle w:val="ListParagraph"/>
        <w:numPr>
          <w:ilvl w:val="0"/>
          <w:numId w:val="2"/>
        </w:numPr>
        <w:spacing w:after="60" w:before="60"/>
      </w:pPr>
      <w:r>
        <w:rPr>
          <w:rFonts w:ascii="Arial" w:cs="Arial" w:eastAsia="Arial" w:hAnsi="Arial"/>
          <w:color w:val="222222"/>
          <w:sz w:val="22"/>
          <w:szCs w:val="22"/>
        </w:rPr>
        <w:t xml:space="preserve">Mises à jour système : planifiées hors heures ouvrées avec notification préalable</w:t>
      </w:r>
    </w:p>
    <w:p>
      <w:pPr>
        <w:pStyle w:val="ListParagraph"/>
        <w:numPr>
          <w:ilvl w:val="0"/>
          <w:numId w:val="2"/>
        </w:numPr>
        <w:spacing w:after="60" w:before="60"/>
      </w:pPr>
      <w:r>
        <w:rPr>
          <w:rFonts w:ascii="Arial" w:cs="Arial" w:eastAsia="Arial" w:hAnsi="Arial"/>
          <w:color w:val="222222"/>
          <w:sz w:val="22"/>
          <w:szCs w:val="22"/>
        </w:rPr>
        <w:t xml:space="preserve">Rotation des certificats : automatisée avec alertes préventives</w:t>
      </w:r>
    </w:p>
    <w:p>
      <w:pPr>
        <w:pStyle w:val="ListParagraph"/>
        <w:numPr>
          <w:ilvl w:val="0"/>
          <w:numId w:val="2"/>
        </w:numPr>
        <w:spacing w:after="60" w:before="60"/>
      </w:pPr>
      <w:r>
        <w:rPr>
          <w:rFonts w:ascii="Arial" w:cs="Arial" w:eastAsia="Arial" w:hAnsi="Arial"/>
          <w:color w:val="222222"/>
          <w:sz w:val="22"/>
          <w:szCs w:val="22"/>
        </w:rPr>
        <w:t xml:space="preserve">Audit de sécurité : semestriel avec rapport de résultats</w:t>
      </w:r>
    </w:p>
    <w:p>
      <w:pPr>
        <w:pStyle w:val="ListParagraph"/>
        <w:numPr>
          <w:ilvl w:val="0"/>
          <w:numId w:val="2"/>
        </w:numPr>
        <w:spacing w:after="60" w:before="60"/>
      </w:pPr>
      <w:r>
        <w:rPr>
          <w:rFonts w:ascii="Arial" w:cs="Arial" w:eastAsia="Arial" w:hAnsi="Arial"/>
          <w:color w:val="222222"/>
          <w:sz w:val="22"/>
          <w:szCs w:val="22"/>
        </w:rPr>
        <w:t xml:space="preserve">Test d'intrusion : annuel par équipe externe</w:t>
      </w:r>
    </w:p>
    <w:p>
      <w:pPr>
        <w:pStyle w:val="ListParagraph"/>
        <w:numPr>
          <w:ilvl w:val="0"/>
          <w:numId w:val="2"/>
        </w:numPr>
        <w:spacing w:after="60" w:before="60"/>
      </w:pPr>
      <w:r>
        <w:rPr>
          <w:rFonts w:ascii="Arial" w:cs="Arial" w:eastAsia="Arial" w:hAnsi="Arial"/>
          <w:color w:val="222222"/>
          <w:sz w:val="22"/>
          <w:szCs w:val="22"/>
        </w:rPr>
        <w:t xml:space="preserve">Revue des accès et des rôles : trimestrielle</w:t>
      </w:r>
    </w:p>
    <w:p>
      <w:pPr>
        <w:pStyle w:val="Heading3"/>
        <w:spacing w:after="100" w:before="220"/>
      </w:pPr>
      <w:r>
        <w:rPr>
          <w:rFonts w:ascii="Arial" w:cs="Arial" w:eastAsia="Arial" w:hAnsi="Arial"/>
          <w:b/>
          <w:bCs/>
          <w:color w:val="2E75B6"/>
          <w:sz w:val="24"/>
          <w:szCs w:val="24"/>
        </w:rPr>
        <w:t xml:space="preserve">33.3 Maintenance Évolutive</w:t>
      </w:r>
    </w:p>
    <w:p>
      <w:pPr>
        <w:pStyle w:val="ListParagraph"/>
        <w:numPr>
          <w:ilvl w:val="0"/>
          <w:numId w:val="2"/>
        </w:numPr>
        <w:spacing w:after="60" w:before="60"/>
      </w:pPr>
      <w:r>
        <w:rPr>
          <w:rFonts w:ascii="Arial" w:cs="Arial" w:eastAsia="Arial" w:hAnsi="Arial"/>
          <w:color w:val="222222"/>
          <w:sz w:val="22"/>
          <w:szCs w:val="22"/>
        </w:rPr>
        <w:t xml:space="preserve">Nouvelles versions via rolling update sans interruption de service</w:t>
      </w:r>
    </w:p>
    <w:p>
      <w:pPr>
        <w:pStyle w:val="ListParagraph"/>
        <w:numPr>
          <w:ilvl w:val="0"/>
          <w:numId w:val="2"/>
        </w:numPr>
        <w:spacing w:after="60" w:before="60"/>
      </w:pPr>
      <w:r>
        <w:rPr>
          <w:rFonts w:ascii="Arial" w:cs="Arial" w:eastAsia="Arial" w:hAnsi="Arial"/>
          <w:color w:val="222222"/>
          <w:sz w:val="22"/>
          <w:szCs w:val="22"/>
        </w:rPr>
        <w:t xml:space="preserve">Rétrocompatibilité garantie sur 2 versions majeures</w:t>
      </w:r>
    </w:p>
    <w:p>
      <w:pPr>
        <w:pStyle w:val="ListParagraph"/>
        <w:numPr>
          <w:ilvl w:val="0"/>
          <w:numId w:val="2"/>
        </w:numPr>
        <w:spacing w:after="60" w:before="60"/>
      </w:pPr>
      <w:r>
        <w:rPr>
          <w:rFonts w:ascii="Arial" w:cs="Arial" w:eastAsia="Arial" w:hAnsi="Arial"/>
          <w:color w:val="222222"/>
          <w:sz w:val="22"/>
          <w:szCs w:val="22"/>
        </w:rPr>
        <w:t xml:space="preserve">Notes de version documentées et communiquées aux administrateurs</w:t>
      </w:r>
    </w:p>
    <w:p>
      <w:pPr>
        <w:pStyle w:val="ListParagraph"/>
        <w:numPr>
          <w:ilvl w:val="0"/>
          <w:numId w:val="2"/>
        </w:numPr>
        <w:spacing w:after="60" w:before="60"/>
      </w:pPr>
      <w:r>
        <w:rPr>
          <w:rFonts w:ascii="Arial" w:cs="Arial" w:eastAsia="Arial" w:hAnsi="Arial"/>
          <w:color w:val="222222"/>
          <w:sz w:val="22"/>
          <w:szCs w:val="22"/>
        </w:rPr>
        <w:t xml:space="preserve">Rollback possible vers la version précédente en cas de régression</w:t>
      </w:r>
    </w:p>
    <w:p>
      <w:r>
        <w:br w:type="page"/>
      </w:r>
    </w:p>
    <w:p>
      <w:pPr>
        <w:pStyle w:val="Heading1"/>
        <w:pBdr>
          <w:bottom w:val="single" w:color="00B0F0" w:sz="6" w:space="1"/>
        </w:pBdr>
        <w:shd w:fill="1B3A6B" w:val="clear"/>
        <w:spacing w:after="200" w:before="400"/>
      </w:pPr>
      <w:r>
        <w:rPr>
          <w:rFonts w:ascii="Arial" w:cs="Arial" w:eastAsia="Arial" w:hAnsi="Arial"/>
          <w:b/>
          <w:bCs/>
          <w:color w:val="FFFFFF"/>
          <w:sz w:val="36"/>
          <w:szCs w:val="36"/>
        </w:rPr>
        <w:t xml:space="preserve">PARTIE X — QUALITÉ</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34. Plan de Tests</w:t>
      </w:r>
    </w:p>
    <w:p>
      <w:pPr>
        <w:pStyle w:val="Heading3"/>
        <w:spacing w:after="100" w:before="220"/>
      </w:pPr>
      <w:r>
        <w:rPr>
          <w:rFonts w:ascii="Arial" w:cs="Arial" w:eastAsia="Arial" w:hAnsi="Arial"/>
          <w:b/>
          <w:bCs/>
          <w:color w:val="2E75B6"/>
          <w:sz w:val="24"/>
          <w:szCs w:val="24"/>
        </w:rPr>
        <w:t xml:space="preserve">34.1 Tests Unitaires</w:t>
      </w:r>
    </w:p>
    <w:p>
      <w:pPr>
        <w:pStyle w:val="ListParagraph"/>
        <w:numPr>
          <w:ilvl w:val="0"/>
          <w:numId w:val="2"/>
        </w:numPr>
        <w:spacing w:after="60" w:before="60"/>
      </w:pPr>
      <w:r>
        <w:rPr>
          <w:rFonts w:ascii="Arial" w:cs="Arial" w:eastAsia="Arial" w:hAnsi="Arial"/>
          <w:color w:val="222222"/>
          <w:sz w:val="22"/>
          <w:szCs w:val="22"/>
        </w:rPr>
        <w:t xml:space="preserve">Couverture cible : 80 % minimum du code backend</w:t>
      </w:r>
    </w:p>
    <w:p>
      <w:pPr>
        <w:pStyle w:val="ListParagraph"/>
        <w:numPr>
          <w:ilvl w:val="0"/>
          <w:numId w:val="2"/>
        </w:numPr>
        <w:spacing w:after="60" w:before="60"/>
      </w:pPr>
      <w:r>
        <w:rPr>
          <w:rFonts w:ascii="Arial" w:cs="Arial" w:eastAsia="Arial" w:hAnsi="Arial"/>
          <w:color w:val="222222"/>
          <w:sz w:val="22"/>
          <w:szCs w:val="22"/>
        </w:rPr>
        <w:t xml:space="preserve">Framework : Jest (Node.js / TypeScript)</w:t>
      </w:r>
    </w:p>
    <w:p>
      <w:pPr>
        <w:pStyle w:val="ListParagraph"/>
        <w:numPr>
          <w:ilvl w:val="0"/>
          <w:numId w:val="2"/>
        </w:numPr>
        <w:spacing w:after="60" w:before="60"/>
      </w:pPr>
      <w:r>
        <w:rPr>
          <w:rFonts w:ascii="Arial" w:cs="Arial" w:eastAsia="Arial" w:hAnsi="Arial"/>
          <w:color w:val="222222"/>
          <w:sz w:val="22"/>
          <w:szCs w:val="22"/>
        </w:rPr>
        <w:t xml:space="preserve">Chaque fonction métier dispose de tests unitaires dédiés</w:t>
      </w:r>
    </w:p>
    <w:p>
      <w:pPr>
        <w:pStyle w:val="ListParagraph"/>
        <w:numPr>
          <w:ilvl w:val="0"/>
          <w:numId w:val="2"/>
        </w:numPr>
        <w:spacing w:after="60" w:before="60"/>
      </w:pPr>
      <w:r>
        <w:rPr>
          <w:rFonts w:ascii="Arial" w:cs="Arial" w:eastAsia="Arial" w:hAnsi="Arial"/>
          <w:color w:val="222222"/>
          <w:sz w:val="22"/>
          <w:szCs w:val="22"/>
        </w:rPr>
        <w:t xml:space="preserve">Les tests sont exécutés automatiquement à chaque commit (CI/CD)</w:t>
      </w:r>
    </w:p>
    <w:p>
      <w:pPr>
        <w:pStyle w:val="Heading3"/>
        <w:spacing w:after="100" w:before="220"/>
      </w:pPr>
      <w:r>
        <w:rPr>
          <w:rFonts w:ascii="Arial" w:cs="Arial" w:eastAsia="Arial" w:hAnsi="Arial"/>
          <w:b/>
          <w:bCs/>
          <w:color w:val="2E75B6"/>
          <w:sz w:val="24"/>
          <w:szCs w:val="24"/>
        </w:rPr>
        <w:t xml:space="preserve">34.2 Tests d'Intégration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3200"/>
      </w:tblGrid>
      <w:tr>
        <w:trPr>
          <w:tblHeader/>
        </w:trPr>
        <w:tc>
          <w:tcPr>
            <w:tcW w:type="dxa" w:w="28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Scénario de Test</w:t>
            </w:r>
          </w:p>
        </w:tc>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Module(s) Concerné(s)</w:t>
            </w:r>
          </w:p>
        </w:tc>
        <w:tc>
          <w:tcPr>
            <w:tcW w:type="dxa" w:w="32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Résultat Attendu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Création d'une RFQ depuis un besoin validé</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Module 3 + Module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 créée avec RFQ ID unique, hash calculé</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Dépôt d'une offre PDF par un fournisseur</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Module 6 + Module 7</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Offre scellée, hash signé, accusé envoyé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Ouverture des plis après deadline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Module 9 + Module 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Offres déverrouillées simultanément, journalisées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Génération du PV et export ERP</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Module 12 + Module 14 + Module 15</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PV généré, output transmis à l'ERP avec accusé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Authentification SSO via Active Directory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Module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Session créée, rôle attribué, log d'accès créé</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Verrouillage automatique à la deadline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Module 9</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Portail verrouillé, dépôts impossibles, PV de clôture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Scan d'un fichier malveillant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Module 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Fichier isolé, alerte SOC, fournisseur notifié</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Notification d'invitation envoyée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Module 5 + Module 17</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Email reçu par le fournisseur, log d'envoi créé</w:t>
            </w:r>
          </w:p>
        </w:tc>
      </w:tr>
    </w:tbl>
    <w:p>
      <w:pPr>
        <w:pStyle w:val="Heading3"/>
        <w:spacing w:after="100" w:before="220"/>
      </w:pPr>
      <w:r>
        <w:rPr>
          <w:rFonts w:ascii="Arial" w:cs="Arial" w:eastAsia="Arial" w:hAnsi="Arial"/>
          <w:b/>
          <w:bCs/>
          <w:color w:val="2E75B6"/>
          <w:sz w:val="24"/>
          <w:szCs w:val="24"/>
        </w:rPr>
        <w:t xml:space="preserve">34.3 Tests de Sécurité</w:t>
      </w:r>
    </w:p>
    <w:p>
      <w:pPr>
        <w:pStyle w:val="ListParagraph"/>
        <w:numPr>
          <w:ilvl w:val="0"/>
          <w:numId w:val="2"/>
        </w:numPr>
        <w:spacing w:after="60" w:before="60"/>
      </w:pPr>
      <w:r>
        <w:rPr>
          <w:rFonts w:ascii="Arial" w:cs="Arial" w:eastAsia="Arial" w:hAnsi="Arial"/>
          <w:color w:val="222222"/>
          <w:sz w:val="22"/>
          <w:szCs w:val="22"/>
        </w:rPr>
        <w:t xml:space="preserve">Scan OWASP ZAP : sur le portail fournisseur (DMZ) et l'interface interne (LAN)</w:t>
      </w:r>
    </w:p>
    <w:p>
      <w:pPr>
        <w:pStyle w:val="ListParagraph"/>
        <w:numPr>
          <w:ilvl w:val="0"/>
          <w:numId w:val="2"/>
        </w:numPr>
        <w:spacing w:after="60" w:before="60"/>
      </w:pPr>
      <w:r>
        <w:rPr>
          <w:rFonts w:ascii="Arial" w:cs="Arial" w:eastAsia="Arial" w:hAnsi="Arial"/>
          <w:color w:val="222222"/>
          <w:sz w:val="22"/>
          <w:szCs w:val="22"/>
        </w:rPr>
        <w:t xml:space="preserve">Test de brute-force : vérification du blocage après 5 tentatives</w:t>
      </w:r>
    </w:p>
    <w:p>
      <w:pPr>
        <w:pStyle w:val="ListParagraph"/>
        <w:numPr>
          <w:ilvl w:val="0"/>
          <w:numId w:val="2"/>
        </w:numPr>
        <w:spacing w:after="60" w:before="60"/>
      </w:pPr>
      <w:r>
        <w:rPr>
          <w:rFonts w:ascii="Arial" w:cs="Arial" w:eastAsia="Arial" w:hAnsi="Arial"/>
          <w:color w:val="222222"/>
          <w:sz w:val="22"/>
          <w:szCs w:val="22"/>
        </w:rPr>
        <w:t xml:space="preserve">Test d'injection SQL / CSV : sur tous les formulaires et API</w:t>
      </w:r>
    </w:p>
    <w:p>
      <w:pPr>
        <w:pStyle w:val="ListParagraph"/>
        <w:numPr>
          <w:ilvl w:val="0"/>
          <w:numId w:val="2"/>
        </w:numPr>
        <w:spacing w:after="60" w:before="60"/>
      </w:pPr>
      <w:r>
        <w:rPr>
          <w:rFonts w:ascii="Arial" w:cs="Arial" w:eastAsia="Arial" w:hAnsi="Arial"/>
          <w:color w:val="222222"/>
          <w:sz w:val="22"/>
          <w:szCs w:val="22"/>
        </w:rPr>
        <w:t xml:space="preserve">Test de contournement RBAC : vérification de l'impossibilité d'accéder à un module non autorisé</w:t>
      </w:r>
    </w:p>
    <w:p>
      <w:pPr>
        <w:pStyle w:val="ListParagraph"/>
        <w:numPr>
          <w:ilvl w:val="0"/>
          <w:numId w:val="2"/>
        </w:numPr>
        <w:spacing w:after="60" w:before="60"/>
      </w:pPr>
      <w:r>
        <w:rPr>
          <w:rFonts w:ascii="Arial" w:cs="Arial" w:eastAsia="Arial" w:hAnsi="Arial"/>
          <w:color w:val="222222"/>
          <w:sz w:val="22"/>
          <w:szCs w:val="22"/>
        </w:rPr>
        <w:t xml:space="preserve">Test de coffre-fort : vérification de l'impossibilité d'accéder aux offres avant la deadline</w:t>
      </w:r>
    </w:p>
    <w:p>
      <w:pPr>
        <w:pStyle w:val="ListParagraph"/>
        <w:numPr>
          <w:ilvl w:val="0"/>
          <w:numId w:val="2"/>
        </w:numPr>
        <w:spacing w:after="60" w:before="60"/>
      </w:pPr>
      <w:r>
        <w:rPr>
          <w:rFonts w:ascii="Arial" w:cs="Arial" w:eastAsia="Arial" w:hAnsi="Arial"/>
          <w:color w:val="222222"/>
          <w:sz w:val="22"/>
          <w:szCs w:val="22"/>
        </w:rPr>
        <w:t xml:space="preserve">Test d'intégrité : vérification que la modification d'une offre invalide son hash</w:t>
      </w:r>
    </w:p>
    <w:p>
      <w:pPr>
        <w:pStyle w:val="ListParagraph"/>
        <w:numPr>
          <w:ilvl w:val="0"/>
          <w:numId w:val="2"/>
        </w:numPr>
        <w:spacing w:after="60" w:before="60"/>
      </w:pPr>
      <w:r>
        <w:rPr>
          <w:rFonts w:ascii="Arial" w:cs="Arial" w:eastAsia="Arial" w:hAnsi="Arial"/>
          <w:color w:val="222222"/>
          <w:sz w:val="22"/>
          <w:szCs w:val="22"/>
        </w:rPr>
        <w:t xml:space="preserve">Test de scan sandbox : dépôt d'un fichier EICAR de test et vérification de l'isolation</w:t>
      </w:r>
    </w:p>
    <w:p>
      <w:pPr>
        <w:pStyle w:val="ListParagraph"/>
        <w:numPr>
          <w:ilvl w:val="0"/>
          <w:numId w:val="2"/>
        </w:numPr>
        <w:spacing w:after="60" w:before="60"/>
      </w:pPr>
      <w:r>
        <w:rPr>
          <w:rFonts w:ascii="Arial" w:cs="Arial" w:eastAsia="Arial" w:hAnsi="Arial"/>
          <w:color w:val="222222"/>
          <w:sz w:val="22"/>
          <w:szCs w:val="22"/>
        </w:rPr>
        <w:t xml:space="preserve">Test de TLS : vérification que seul TLS 1.2/1.3 est accepté</w:t>
      </w:r>
    </w:p>
    <w:p>
      <w:pPr>
        <w:pStyle w:val="Heading3"/>
        <w:spacing w:after="100" w:before="220"/>
      </w:pPr>
      <w:r>
        <w:rPr>
          <w:rFonts w:ascii="Arial" w:cs="Arial" w:eastAsia="Arial" w:hAnsi="Arial"/>
          <w:b/>
          <w:bCs/>
          <w:color w:val="2E75B6"/>
          <w:sz w:val="24"/>
          <w:szCs w:val="24"/>
        </w:rPr>
        <w:t xml:space="preserve">34.4 Tests Utilisateurs (UAT)</w:t>
      </w:r>
    </w:p>
    <w:p>
      <w:pPr>
        <w:spacing w:after="80" w:before="80"/>
        <w:jc w:val="left"/>
      </w:pPr>
      <w:r>
        <w:rPr>
          <w:rFonts w:ascii="Arial" w:cs="Arial" w:eastAsia="Arial" w:hAnsi="Arial"/>
          <w:b w:val="false"/>
          <w:bCs w:val="false"/>
          <w:i w:val="false"/>
          <w:iCs w:val="false"/>
          <w:color w:val="222222"/>
          <w:sz w:val="22"/>
          <w:szCs w:val="22"/>
        </w:rPr>
        <w:t xml:space="preserve">Les tests d'acceptation utilisateur (UAT) sont réalisés avec des représentants de chaque profil :</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rPr>
          <w:tblHeader/>
        </w:trPr>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Profil</w:t>
            </w:r>
          </w:p>
        </w:tc>
        <w:tc>
          <w:tcPr>
            <w:tcW w:type="dxa" w:w="6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Scénarios UAT Clés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Demandeur</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Créer, modifier, soumettre un besoin et consulter son statut</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Acheteur</w:t>
            </w:r>
          </w:p>
        </w:tc>
        <w:tc>
          <w:tcPr>
            <w:tcW w:type="dxa" w:w="6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Créer une RFQ, sélectionner des fournisseurs, publier, consulter les offres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Fournisseur</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Recevoir une invitation, s'authentifier, déposer une offre, suivre le statut</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Commission</w:t>
            </w:r>
          </w:p>
        </w:tc>
        <w:tc>
          <w:tcPr>
            <w:tcW w:type="dxa" w:w="6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S'authentifier, initier l'ouverture, consulter les offres, saisir les décisions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Administrateur</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Créer un utilisateur, configurer un workflow, superviser la plateforme</w:t>
            </w:r>
          </w:p>
        </w:tc>
      </w:tr>
    </w:tbl>
    <w:p>
      <w:pPr>
        <w:pStyle w:val="Heading3"/>
        <w:spacing w:after="100" w:before="220"/>
      </w:pPr>
      <w:r>
        <w:rPr>
          <w:rFonts w:ascii="Arial" w:cs="Arial" w:eastAsia="Arial" w:hAnsi="Arial"/>
          <w:b/>
          <w:bCs/>
          <w:color w:val="2E75B6"/>
          <w:sz w:val="24"/>
          <w:szCs w:val="24"/>
        </w:rPr>
        <w:t xml:space="preserve">34.5 Tests de Charge et de Performance</w:t>
      </w:r>
    </w:p>
    <w:p>
      <w:pPr>
        <w:pStyle w:val="ListParagraph"/>
        <w:numPr>
          <w:ilvl w:val="0"/>
          <w:numId w:val="2"/>
        </w:numPr>
        <w:spacing w:after="60" w:before="60"/>
      </w:pPr>
      <w:r>
        <w:rPr>
          <w:rFonts w:ascii="Arial" w:cs="Arial" w:eastAsia="Arial" w:hAnsi="Arial"/>
          <w:color w:val="222222"/>
          <w:sz w:val="22"/>
          <w:szCs w:val="22"/>
        </w:rPr>
        <w:t xml:space="preserve">Scénario 1 : 500 utilisateurs simultanés — temps de réponse &lt; 2 secondes</w:t>
      </w:r>
    </w:p>
    <w:p>
      <w:pPr>
        <w:pStyle w:val="ListParagraph"/>
        <w:numPr>
          <w:ilvl w:val="0"/>
          <w:numId w:val="2"/>
        </w:numPr>
        <w:spacing w:after="60" w:before="60"/>
      </w:pPr>
      <w:r>
        <w:rPr>
          <w:rFonts w:ascii="Arial" w:cs="Arial" w:eastAsia="Arial" w:hAnsi="Arial"/>
          <w:color w:val="222222"/>
          <w:sz w:val="22"/>
          <w:szCs w:val="22"/>
        </w:rPr>
        <w:t xml:space="preserve">Scénario 2 : 100 RFQ actives simultanées — sans dégradation de performance</w:t>
      </w:r>
    </w:p>
    <w:p>
      <w:pPr>
        <w:pStyle w:val="ListParagraph"/>
        <w:numPr>
          <w:ilvl w:val="0"/>
          <w:numId w:val="2"/>
        </w:numPr>
        <w:spacing w:after="60" w:before="60"/>
      </w:pPr>
      <w:r>
        <w:rPr>
          <w:rFonts w:ascii="Arial" w:cs="Arial" w:eastAsia="Arial" w:hAnsi="Arial"/>
          <w:color w:val="222222"/>
          <w:sz w:val="22"/>
          <w:szCs w:val="22"/>
        </w:rPr>
        <w:t xml:space="preserve">Scénario 3 : 50 dépôts d'offres simultanés — traitement complet &lt; 30 secondes</w:t>
      </w:r>
    </w:p>
    <w:p>
      <w:pPr>
        <w:pStyle w:val="ListParagraph"/>
        <w:numPr>
          <w:ilvl w:val="0"/>
          <w:numId w:val="2"/>
        </w:numPr>
        <w:spacing w:after="60" w:before="60"/>
      </w:pPr>
      <w:r>
        <w:rPr>
          <w:rFonts w:ascii="Arial" w:cs="Arial" w:eastAsia="Arial" w:hAnsi="Arial"/>
          <w:color w:val="222222"/>
          <w:sz w:val="22"/>
          <w:szCs w:val="22"/>
        </w:rPr>
        <w:t xml:space="preserve">Scénario 4 : Montée en charge progressive jusqu'à 1 000 utilisateurs — seuil de saturation identifié</w:t>
      </w:r>
    </w:p>
    <w:p>
      <w:pPr>
        <w:pStyle w:val="ListParagraph"/>
        <w:numPr>
          <w:ilvl w:val="0"/>
          <w:numId w:val="2"/>
        </w:numPr>
        <w:spacing w:after="60" w:before="60"/>
      </w:pPr>
      <w:r>
        <w:rPr>
          <w:rFonts w:ascii="Arial" w:cs="Arial" w:eastAsia="Arial" w:hAnsi="Arial"/>
          <w:color w:val="222222"/>
          <w:sz w:val="22"/>
          <w:szCs w:val="22"/>
        </w:rPr>
        <w:t xml:space="preserve">Outil de test de charge : k6 / Apache JMeter</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35. Recette</w:t>
      </w:r>
    </w:p>
    <w:p>
      <w:pPr>
        <w:pStyle w:val="Heading3"/>
        <w:spacing w:after="100" w:before="220"/>
      </w:pPr>
      <w:r>
        <w:rPr>
          <w:rFonts w:ascii="Arial" w:cs="Arial" w:eastAsia="Arial" w:hAnsi="Arial"/>
          <w:b/>
          <w:bCs/>
          <w:color w:val="2E75B6"/>
          <w:sz w:val="24"/>
          <w:szCs w:val="24"/>
        </w:rPr>
        <w:t xml:space="preserve">35.1 Procédure de Recette</w:t>
      </w:r>
    </w:p>
    <w:p>
      <w:pPr>
        <w:pStyle w:val="ListParagraph"/>
        <w:numPr>
          <w:ilvl w:val="0"/>
          <w:numId w:val="3"/>
        </w:numPr>
        <w:spacing w:after="60" w:before="60"/>
      </w:pPr>
      <w:r>
        <w:rPr>
          <w:rFonts w:ascii="Arial" w:cs="Arial" w:eastAsia="Arial" w:hAnsi="Arial"/>
          <w:color w:val="222222"/>
          <w:sz w:val="22"/>
          <w:szCs w:val="22"/>
        </w:rPr>
        <w:t xml:space="preserve">Exécution des tests d'intégration avec validation formelle par l'équipe technique</w:t>
      </w:r>
    </w:p>
    <w:p>
      <w:pPr>
        <w:pStyle w:val="ListParagraph"/>
        <w:numPr>
          <w:ilvl w:val="0"/>
          <w:numId w:val="3"/>
        </w:numPr>
        <w:spacing w:after="60" w:before="60"/>
      </w:pPr>
      <w:r>
        <w:rPr>
          <w:rFonts w:ascii="Arial" w:cs="Arial" w:eastAsia="Arial" w:hAnsi="Arial"/>
          <w:color w:val="222222"/>
          <w:sz w:val="22"/>
          <w:szCs w:val="22"/>
        </w:rPr>
        <w:t xml:space="preserve">Exécution des tests UAT avec validation par les utilisateurs clés</w:t>
      </w:r>
    </w:p>
    <w:p>
      <w:pPr>
        <w:pStyle w:val="ListParagraph"/>
        <w:numPr>
          <w:ilvl w:val="0"/>
          <w:numId w:val="3"/>
        </w:numPr>
        <w:spacing w:after="60" w:before="60"/>
      </w:pPr>
      <w:r>
        <w:rPr>
          <w:rFonts w:ascii="Arial" w:cs="Arial" w:eastAsia="Arial" w:hAnsi="Arial"/>
          <w:color w:val="222222"/>
          <w:sz w:val="22"/>
          <w:szCs w:val="22"/>
        </w:rPr>
        <w:t xml:space="preserve">Audit de sécurité pré-production (scan de vulnérabilités)</w:t>
      </w:r>
    </w:p>
    <w:p>
      <w:pPr>
        <w:pStyle w:val="ListParagraph"/>
        <w:numPr>
          <w:ilvl w:val="0"/>
          <w:numId w:val="3"/>
        </w:numPr>
        <w:spacing w:after="60" w:before="60"/>
      </w:pPr>
      <w:r>
        <w:rPr>
          <w:rFonts w:ascii="Arial" w:cs="Arial" w:eastAsia="Arial" w:hAnsi="Arial"/>
          <w:color w:val="222222"/>
          <w:sz w:val="22"/>
          <w:szCs w:val="22"/>
        </w:rPr>
        <w:t xml:space="preserve">Validation des exigences fonctionnelles (FR-001 à FR-036 vérifiées)</w:t>
      </w:r>
    </w:p>
    <w:p>
      <w:pPr>
        <w:pStyle w:val="ListParagraph"/>
        <w:numPr>
          <w:ilvl w:val="0"/>
          <w:numId w:val="3"/>
        </w:numPr>
        <w:spacing w:after="60" w:before="60"/>
      </w:pPr>
      <w:r>
        <w:rPr>
          <w:rFonts w:ascii="Arial" w:cs="Arial" w:eastAsia="Arial" w:hAnsi="Arial"/>
          <w:color w:val="222222"/>
          <w:sz w:val="22"/>
          <w:szCs w:val="22"/>
        </w:rPr>
        <w:t xml:space="preserve">Validation des exigences non fonctionnelles (performance, disponibilité, sécurité)</w:t>
      </w:r>
    </w:p>
    <w:p>
      <w:pPr>
        <w:pStyle w:val="ListParagraph"/>
        <w:numPr>
          <w:ilvl w:val="0"/>
          <w:numId w:val="3"/>
        </w:numPr>
        <w:spacing w:after="60" w:before="60"/>
      </w:pPr>
      <w:r>
        <w:rPr>
          <w:rFonts w:ascii="Arial" w:cs="Arial" w:eastAsia="Arial" w:hAnsi="Arial"/>
          <w:color w:val="222222"/>
          <w:sz w:val="22"/>
          <w:szCs w:val="22"/>
        </w:rPr>
        <w:t xml:space="preserve">Rédaction et signature du PV de recette</w:t>
      </w:r>
    </w:p>
    <w:p>
      <w:pPr>
        <w:pStyle w:val="ListParagraph"/>
        <w:numPr>
          <w:ilvl w:val="0"/>
          <w:numId w:val="3"/>
        </w:numPr>
        <w:spacing w:after="60" w:before="60"/>
      </w:pPr>
      <w:r>
        <w:rPr>
          <w:rFonts w:ascii="Arial" w:cs="Arial" w:eastAsia="Arial" w:hAnsi="Arial"/>
          <w:color w:val="222222"/>
          <w:sz w:val="22"/>
          <w:szCs w:val="22"/>
        </w:rPr>
        <w:t xml:space="preserve">Validation finale de l'acceptation par la direction</w:t>
      </w:r>
    </w:p>
    <w:p>
      <w:pPr>
        <w:pStyle w:val="Heading3"/>
        <w:spacing w:after="100" w:before="220"/>
      </w:pPr>
      <w:r>
        <w:rPr>
          <w:rFonts w:ascii="Arial" w:cs="Arial" w:eastAsia="Arial" w:hAnsi="Arial"/>
          <w:b/>
          <w:bCs/>
          <w:color w:val="2E75B6"/>
          <w:sz w:val="24"/>
          <w:szCs w:val="24"/>
        </w:rPr>
        <w:t xml:space="preserve">35.2 Critères d'Acceptation</w:t>
      </w:r>
    </w:p>
    <w:p>
      <w:pPr>
        <w:pStyle w:val="ListParagraph"/>
        <w:numPr>
          <w:ilvl w:val="0"/>
          <w:numId w:val="2"/>
        </w:numPr>
        <w:spacing w:after="60" w:before="60"/>
      </w:pPr>
      <w:r>
        <w:rPr>
          <w:rFonts w:ascii="Arial" w:cs="Arial" w:eastAsia="Arial" w:hAnsi="Arial"/>
          <w:color w:val="222222"/>
          <w:sz w:val="22"/>
          <w:szCs w:val="22"/>
        </w:rPr>
        <w:t xml:space="preserve">100 % des cas d'utilisation critiques (P1) validés sans anomalie bloquante</w:t>
      </w:r>
    </w:p>
    <w:p>
      <w:pPr>
        <w:pStyle w:val="ListParagraph"/>
        <w:numPr>
          <w:ilvl w:val="0"/>
          <w:numId w:val="2"/>
        </w:numPr>
        <w:spacing w:after="60" w:before="60"/>
      </w:pPr>
      <w:r>
        <w:rPr>
          <w:rFonts w:ascii="Arial" w:cs="Arial" w:eastAsia="Arial" w:hAnsi="Arial"/>
          <w:color w:val="222222"/>
          <w:sz w:val="22"/>
          <w:szCs w:val="22"/>
        </w:rPr>
        <w:t xml:space="preserve">Temps de réponse moyen des pages &lt; 2 secondes en charge nominale</w:t>
      </w:r>
    </w:p>
    <w:p>
      <w:pPr>
        <w:pStyle w:val="ListParagraph"/>
        <w:numPr>
          <w:ilvl w:val="0"/>
          <w:numId w:val="2"/>
        </w:numPr>
        <w:spacing w:after="60" w:before="60"/>
      </w:pPr>
      <w:r>
        <w:rPr>
          <w:rFonts w:ascii="Arial" w:cs="Arial" w:eastAsia="Arial" w:hAnsi="Arial"/>
          <w:color w:val="222222"/>
          <w:sz w:val="22"/>
          <w:szCs w:val="22"/>
        </w:rPr>
        <w:t xml:space="preserve">Aucune vulnérabilité OWASP critique ou haute non traitée</w:t>
      </w:r>
    </w:p>
    <w:p>
      <w:pPr>
        <w:pStyle w:val="ListParagraph"/>
        <w:numPr>
          <w:ilvl w:val="0"/>
          <w:numId w:val="2"/>
        </w:numPr>
        <w:spacing w:after="60" w:before="60"/>
      </w:pPr>
      <w:r>
        <w:rPr>
          <w:rFonts w:ascii="Arial" w:cs="Arial" w:eastAsia="Arial" w:hAnsi="Arial"/>
          <w:color w:val="222222"/>
          <w:sz w:val="22"/>
          <w:szCs w:val="22"/>
        </w:rPr>
        <w:t xml:space="preserve">Intégration ERP fonctionnelle et validée end-to-end</w:t>
      </w:r>
    </w:p>
    <w:p>
      <w:pPr>
        <w:pStyle w:val="ListParagraph"/>
        <w:numPr>
          <w:ilvl w:val="0"/>
          <w:numId w:val="2"/>
        </w:numPr>
        <w:spacing w:after="60" w:before="60"/>
      </w:pPr>
      <w:r>
        <w:rPr>
          <w:rFonts w:ascii="Arial" w:cs="Arial" w:eastAsia="Arial" w:hAnsi="Arial"/>
          <w:color w:val="222222"/>
          <w:sz w:val="22"/>
          <w:szCs w:val="22"/>
        </w:rPr>
        <w:t xml:space="preserve">Coffre-fort numérique validé : offres inaccessibles avant deadline</w:t>
      </w:r>
    </w:p>
    <w:p>
      <w:pPr>
        <w:pStyle w:val="ListParagraph"/>
        <w:numPr>
          <w:ilvl w:val="0"/>
          <w:numId w:val="2"/>
        </w:numPr>
        <w:spacing w:after="60" w:before="60"/>
      </w:pPr>
      <w:r>
        <w:rPr>
          <w:rFonts w:ascii="Arial" w:cs="Arial" w:eastAsia="Arial" w:hAnsi="Arial"/>
          <w:color w:val="222222"/>
          <w:sz w:val="22"/>
          <w:szCs w:val="22"/>
        </w:rPr>
        <w:t xml:space="preserve">Horodatage RFC 3161 validé sur au moins 10 opérations de test</w:t>
      </w:r>
    </w:p>
    <w:p>
      <w:pPr>
        <w:pStyle w:val="ListParagraph"/>
        <w:numPr>
          <w:ilvl w:val="0"/>
          <w:numId w:val="2"/>
        </w:numPr>
        <w:spacing w:after="60" w:before="60"/>
      </w:pPr>
      <w:r>
        <w:rPr>
          <w:rFonts w:ascii="Arial" w:cs="Arial" w:eastAsia="Arial" w:hAnsi="Arial"/>
          <w:color w:val="222222"/>
          <w:sz w:val="22"/>
          <w:szCs w:val="22"/>
        </w:rPr>
        <w:t xml:space="preserve">Archivage WORM validé : aucune modification possible après archivage</w:t>
      </w:r>
    </w:p>
    <w:p>
      <w:r>
        <w:br w:type="page"/>
      </w:r>
    </w:p>
    <w:p>
      <w:pPr>
        <w:pStyle w:val="Heading1"/>
        <w:pBdr>
          <w:bottom w:val="single" w:color="00B0F0" w:sz="6" w:space="1"/>
        </w:pBdr>
        <w:shd w:fill="1B3A6B" w:val="clear"/>
        <w:spacing w:after="200" w:before="400"/>
      </w:pPr>
      <w:r>
        <w:rPr>
          <w:rFonts w:ascii="Arial" w:cs="Arial" w:eastAsia="Arial" w:hAnsi="Arial"/>
          <w:b/>
          <w:bCs/>
          <w:color w:val="FFFFFF"/>
          <w:sz w:val="36"/>
          <w:szCs w:val="36"/>
        </w:rPr>
        <w:t xml:space="preserve">PARTIE XI — GESTION DU PROJET</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36. Roadmap</w:t>
      </w:r>
    </w:p>
    <w:p>
      <w:pPr>
        <w:pStyle w:val="Heading3"/>
        <w:spacing w:after="100" w:before="220"/>
      </w:pPr>
      <w:r>
        <w:rPr>
          <w:rFonts w:ascii="Arial" w:cs="Arial" w:eastAsia="Arial" w:hAnsi="Arial"/>
          <w:b/>
          <w:bCs/>
          <w:color w:val="2E75B6"/>
          <w:sz w:val="24"/>
          <w:szCs w:val="24"/>
        </w:rPr>
        <w:t xml:space="preserve">36.1 Phase MVP (Mois 1-4)</w:t>
      </w:r>
    </w:p>
    <w:p>
      <w:pPr>
        <w:spacing w:after="80" w:before="80"/>
        <w:jc w:val="left"/>
      </w:pPr>
      <w:r>
        <w:rPr>
          <w:rFonts w:ascii="Arial" w:cs="Arial" w:eastAsia="Arial" w:hAnsi="Arial"/>
          <w:b w:val="false"/>
          <w:bCs w:val="false"/>
          <w:i w:val="false"/>
          <w:iCs w:val="false"/>
          <w:color w:val="222222"/>
          <w:sz w:val="22"/>
          <w:szCs w:val="22"/>
        </w:rPr>
        <w:t xml:space="preserve">Objectif : valider le cœur fonctionnel de Procura sur un périmètre restreint.</w:t>
      </w:r>
    </w:p>
    <w:p>
      <w:pPr>
        <w:pStyle w:val="ListParagraph"/>
        <w:numPr>
          <w:ilvl w:val="0"/>
          <w:numId w:val="2"/>
        </w:numPr>
        <w:spacing w:after="60" w:before="60"/>
      </w:pPr>
      <w:r>
        <w:rPr>
          <w:rFonts w:ascii="Arial" w:cs="Arial" w:eastAsia="Arial" w:hAnsi="Arial"/>
          <w:color w:val="222222"/>
          <w:sz w:val="22"/>
          <w:szCs w:val="22"/>
        </w:rPr>
        <w:t xml:space="preserve">Module 1 : Architecture &amp; Déploiement — infrastructure de base</w:t>
      </w:r>
    </w:p>
    <w:p>
      <w:pPr>
        <w:pStyle w:val="ListParagraph"/>
        <w:numPr>
          <w:ilvl w:val="0"/>
          <w:numId w:val="2"/>
        </w:numPr>
        <w:spacing w:after="60" w:before="60"/>
      </w:pPr>
      <w:r>
        <w:rPr>
          <w:rFonts w:ascii="Arial" w:cs="Arial" w:eastAsia="Arial" w:hAnsi="Arial"/>
          <w:color w:val="222222"/>
          <w:sz w:val="22"/>
          <w:szCs w:val="22"/>
        </w:rPr>
        <w:t xml:space="preserve">Module 2 : Gestion des utilisateurs &amp; RBAC</w:t>
      </w:r>
    </w:p>
    <w:p>
      <w:pPr>
        <w:pStyle w:val="ListParagraph"/>
        <w:numPr>
          <w:ilvl w:val="0"/>
          <w:numId w:val="2"/>
        </w:numPr>
        <w:spacing w:after="60" w:before="60"/>
      </w:pPr>
      <w:r>
        <w:rPr>
          <w:rFonts w:ascii="Arial" w:cs="Arial" w:eastAsia="Arial" w:hAnsi="Arial"/>
          <w:color w:val="222222"/>
          <w:sz w:val="22"/>
          <w:szCs w:val="22"/>
        </w:rPr>
        <w:t xml:space="preserve">Module 3 : Expression du besoin simplifié</w:t>
      </w:r>
    </w:p>
    <w:p>
      <w:pPr>
        <w:pStyle w:val="ListParagraph"/>
        <w:numPr>
          <w:ilvl w:val="0"/>
          <w:numId w:val="2"/>
        </w:numPr>
        <w:spacing w:after="60" w:before="60"/>
      </w:pPr>
      <w:r>
        <w:rPr>
          <w:rFonts w:ascii="Arial" w:cs="Arial" w:eastAsia="Arial" w:hAnsi="Arial"/>
          <w:color w:val="222222"/>
          <w:sz w:val="22"/>
          <w:szCs w:val="22"/>
        </w:rPr>
        <w:t xml:space="preserve">Module 5 : RFQ basique avec publication</w:t>
      </w:r>
    </w:p>
    <w:p>
      <w:pPr>
        <w:pStyle w:val="ListParagraph"/>
        <w:numPr>
          <w:ilvl w:val="0"/>
          <w:numId w:val="2"/>
        </w:numPr>
        <w:spacing w:after="60" w:before="60"/>
      </w:pPr>
      <w:r>
        <w:rPr>
          <w:rFonts w:ascii="Arial" w:cs="Arial" w:eastAsia="Arial" w:hAnsi="Arial"/>
          <w:color w:val="222222"/>
          <w:sz w:val="22"/>
          <w:szCs w:val="22"/>
        </w:rPr>
        <w:t xml:space="preserve">Module 6 : Portail fournisseur (accès, consultation, dépôt PDF)</w:t>
      </w:r>
    </w:p>
    <w:p>
      <w:pPr>
        <w:pStyle w:val="ListParagraph"/>
        <w:numPr>
          <w:ilvl w:val="0"/>
          <w:numId w:val="2"/>
        </w:numPr>
        <w:spacing w:after="60" w:before="60"/>
      </w:pPr>
      <w:r>
        <w:rPr>
          <w:rFonts w:ascii="Arial" w:cs="Arial" w:eastAsia="Arial" w:hAnsi="Arial"/>
          <w:color w:val="222222"/>
          <w:sz w:val="22"/>
          <w:szCs w:val="22"/>
        </w:rPr>
        <w:t xml:space="preserve">Module 7 : Dépôt sécurisé (chiffrement + scan AV)</w:t>
      </w:r>
    </w:p>
    <w:p>
      <w:pPr>
        <w:pStyle w:val="ListParagraph"/>
        <w:numPr>
          <w:ilvl w:val="0"/>
          <w:numId w:val="2"/>
        </w:numPr>
        <w:spacing w:after="60" w:before="60"/>
      </w:pPr>
      <w:r>
        <w:rPr>
          <w:rFonts w:ascii="Arial" w:cs="Arial" w:eastAsia="Arial" w:hAnsi="Arial"/>
          <w:color w:val="222222"/>
          <w:sz w:val="22"/>
          <w:szCs w:val="22"/>
        </w:rPr>
        <w:t xml:space="preserve">Module 9 : Gestion des deadlines &amp; verrouillage automatique</w:t>
      </w:r>
    </w:p>
    <w:p>
      <w:pPr>
        <w:pStyle w:val="ListParagraph"/>
        <w:numPr>
          <w:ilvl w:val="0"/>
          <w:numId w:val="2"/>
        </w:numPr>
        <w:spacing w:after="60" w:before="60"/>
      </w:pPr>
      <w:r>
        <w:rPr>
          <w:rFonts w:ascii="Arial" w:cs="Arial" w:eastAsia="Arial" w:hAnsi="Arial"/>
          <w:color w:val="222222"/>
          <w:sz w:val="22"/>
          <w:szCs w:val="22"/>
        </w:rPr>
        <w:t xml:space="preserve">Module 10 : Audit &amp; traçabilité de base</w:t>
      </w:r>
    </w:p>
    <w:p>
      <w:pPr>
        <w:pStyle w:val="ListParagraph"/>
        <w:numPr>
          <w:ilvl w:val="0"/>
          <w:numId w:val="2"/>
        </w:numPr>
        <w:spacing w:after="60" w:before="60"/>
      </w:pPr>
      <w:r>
        <w:rPr>
          <w:rFonts w:ascii="Arial" w:cs="Arial" w:eastAsia="Arial" w:hAnsi="Arial"/>
          <w:color w:val="222222"/>
          <w:sz w:val="22"/>
          <w:szCs w:val="22"/>
        </w:rPr>
        <w:t xml:space="preserve">Module 17 : Notifications email basiques</w:t>
      </w:r>
    </w:p>
    <w:p>
      <w:pPr>
        <w:pStyle w:val="Heading3"/>
        <w:spacing w:after="100" w:before="220"/>
      </w:pPr>
      <w:r>
        <w:rPr>
          <w:rFonts w:ascii="Arial" w:cs="Arial" w:eastAsia="Arial" w:hAnsi="Arial"/>
          <w:b/>
          <w:bCs/>
          <w:color w:val="2E75B6"/>
          <w:sz w:val="24"/>
          <w:szCs w:val="24"/>
        </w:rPr>
        <w:t xml:space="preserve">36.2 Phase V1 (Mois 5-8)</w:t>
      </w:r>
    </w:p>
    <w:p>
      <w:pPr>
        <w:spacing w:after="80" w:before="80"/>
        <w:jc w:val="left"/>
      </w:pPr>
      <w:r>
        <w:rPr>
          <w:rFonts w:ascii="Arial" w:cs="Arial" w:eastAsia="Arial" w:hAnsi="Arial"/>
          <w:b w:val="false"/>
          <w:bCs w:val="false"/>
          <w:i w:val="false"/>
          <w:iCs w:val="false"/>
          <w:color w:val="222222"/>
          <w:sz w:val="22"/>
          <w:szCs w:val="22"/>
        </w:rPr>
        <w:t xml:space="preserve">Objectif : compléter l'ensemble du cycle S2C avec commission et output ERP.</w:t>
      </w:r>
    </w:p>
    <w:p>
      <w:pPr>
        <w:pStyle w:val="ListParagraph"/>
        <w:numPr>
          <w:ilvl w:val="0"/>
          <w:numId w:val="2"/>
        </w:numPr>
        <w:spacing w:after="60" w:before="60"/>
      </w:pPr>
      <w:r>
        <w:rPr>
          <w:rFonts w:ascii="Arial" w:cs="Arial" w:eastAsia="Arial" w:hAnsi="Arial"/>
          <w:color w:val="222222"/>
          <w:sz w:val="22"/>
          <w:szCs w:val="22"/>
        </w:rPr>
        <w:t xml:space="preserve">Module 4 : Référentiel fournisseur (intégration ERP read-only)</w:t>
      </w:r>
    </w:p>
    <w:p>
      <w:pPr>
        <w:pStyle w:val="ListParagraph"/>
        <w:numPr>
          <w:ilvl w:val="0"/>
          <w:numId w:val="2"/>
        </w:numPr>
        <w:spacing w:after="60" w:before="60"/>
      </w:pPr>
      <w:r>
        <w:rPr>
          <w:rFonts w:ascii="Arial" w:cs="Arial" w:eastAsia="Arial" w:hAnsi="Arial"/>
          <w:color w:val="222222"/>
          <w:sz w:val="22"/>
          <w:szCs w:val="22"/>
        </w:rPr>
        <w:t xml:space="preserve">Module 8 : Horodatage RFC 3161 et HSM</w:t>
      </w:r>
    </w:p>
    <w:p>
      <w:pPr>
        <w:pStyle w:val="ListParagraph"/>
        <w:numPr>
          <w:ilvl w:val="0"/>
          <w:numId w:val="2"/>
        </w:numPr>
        <w:spacing w:after="60" w:before="60"/>
      </w:pPr>
      <w:r>
        <w:rPr>
          <w:rFonts w:ascii="Arial" w:cs="Arial" w:eastAsia="Arial" w:hAnsi="Arial"/>
          <w:color w:val="222222"/>
          <w:sz w:val="22"/>
          <w:szCs w:val="22"/>
        </w:rPr>
        <w:t xml:space="preserve">Module 11 : Ouverture des plis numérique</w:t>
      </w:r>
    </w:p>
    <w:p>
      <w:pPr>
        <w:pStyle w:val="ListParagraph"/>
        <w:numPr>
          <w:ilvl w:val="0"/>
          <w:numId w:val="2"/>
        </w:numPr>
        <w:spacing w:after="60" w:before="60"/>
      </w:pPr>
      <w:r>
        <w:rPr>
          <w:rFonts w:ascii="Arial" w:cs="Arial" w:eastAsia="Arial" w:hAnsi="Arial"/>
          <w:color w:val="222222"/>
          <w:sz w:val="22"/>
          <w:szCs w:val="22"/>
        </w:rPr>
        <w:t xml:space="preserve">Module 12 : Commission d'ouverture et génération PV</w:t>
      </w:r>
    </w:p>
    <w:p>
      <w:pPr>
        <w:pStyle w:val="ListParagraph"/>
        <w:numPr>
          <w:ilvl w:val="0"/>
          <w:numId w:val="2"/>
        </w:numPr>
        <w:spacing w:after="60" w:before="60"/>
      </w:pPr>
      <w:r>
        <w:rPr>
          <w:rFonts w:ascii="Arial" w:cs="Arial" w:eastAsia="Arial" w:hAnsi="Arial"/>
          <w:color w:val="222222"/>
          <w:sz w:val="22"/>
          <w:szCs w:val="22"/>
        </w:rPr>
        <w:t xml:space="preserve">Module 13 : Analyse et tableaux comparatifs</w:t>
      </w:r>
    </w:p>
    <w:p>
      <w:pPr>
        <w:pStyle w:val="ListParagraph"/>
        <w:numPr>
          <w:ilvl w:val="0"/>
          <w:numId w:val="2"/>
        </w:numPr>
        <w:spacing w:after="60" w:before="60"/>
      </w:pPr>
      <w:r>
        <w:rPr>
          <w:rFonts w:ascii="Arial" w:cs="Arial" w:eastAsia="Arial" w:hAnsi="Arial"/>
          <w:color w:val="222222"/>
          <w:sz w:val="22"/>
          <w:szCs w:val="22"/>
        </w:rPr>
        <w:t xml:space="preserve">Module 14 : Génération output final</w:t>
      </w:r>
    </w:p>
    <w:p>
      <w:pPr>
        <w:pStyle w:val="ListParagraph"/>
        <w:numPr>
          <w:ilvl w:val="0"/>
          <w:numId w:val="2"/>
        </w:numPr>
        <w:spacing w:after="60" w:before="60"/>
      </w:pPr>
      <w:r>
        <w:rPr>
          <w:rFonts w:ascii="Arial" w:cs="Arial" w:eastAsia="Arial" w:hAnsi="Arial"/>
          <w:color w:val="222222"/>
          <w:sz w:val="22"/>
          <w:szCs w:val="22"/>
        </w:rPr>
        <w:t xml:space="preserve">Module 15 : Intégration ERP (connecteurs SAP, Oracle, Sage)</w:t>
      </w:r>
    </w:p>
    <w:p>
      <w:pPr>
        <w:pStyle w:val="ListParagraph"/>
        <w:numPr>
          <w:ilvl w:val="0"/>
          <w:numId w:val="2"/>
        </w:numPr>
        <w:spacing w:after="60" w:before="60"/>
      </w:pPr>
      <w:r>
        <w:rPr>
          <w:rFonts w:ascii="Arial" w:cs="Arial" w:eastAsia="Arial" w:hAnsi="Arial"/>
          <w:color w:val="222222"/>
          <w:sz w:val="22"/>
          <w:szCs w:val="22"/>
        </w:rPr>
        <w:t xml:space="preserve">Module 18 : Administration &amp; paramétrage complet</w:t>
      </w:r>
    </w:p>
    <w:p>
      <w:pPr>
        <w:pStyle w:val="ListParagraph"/>
        <w:numPr>
          <w:ilvl w:val="0"/>
          <w:numId w:val="2"/>
        </w:numPr>
        <w:spacing w:after="60" w:before="60"/>
      </w:pPr>
      <w:r>
        <w:rPr>
          <w:rFonts w:ascii="Arial" w:cs="Arial" w:eastAsia="Arial" w:hAnsi="Arial"/>
          <w:color w:val="222222"/>
          <w:sz w:val="22"/>
          <w:szCs w:val="22"/>
        </w:rPr>
        <w:t xml:space="preserve">Module 19 : Sécurité globale renforcée (WAF, sandbox, PKI)</w:t>
      </w:r>
    </w:p>
    <w:p>
      <w:pPr>
        <w:pStyle w:val="Heading3"/>
        <w:spacing w:after="100" w:before="220"/>
      </w:pPr>
      <w:r>
        <w:rPr>
          <w:rFonts w:ascii="Arial" w:cs="Arial" w:eastAsia="Arial" w:hAnsi="Arial"/>
          <w:b/>
          <w:bCs/>
          <w:color w:val="2E75B6"/>
          <w:sz w:val="24"/>
          <w:szCs w:val="24"/>
        </w:rPr>
        <w:t xml:space="preserve">36.3 Phase V2 (Mois 9-12)</w:t>
      </w:r>
    </w:p>
    <w:p>
      <w:pPr>
        <w:spacing w:after="80" w:before="80"/>
        <w:jc w:val="left"/>
      </w:pPr>
      <w:r>
        <w:rPr>
          <w:rFonts w:ascii="Arial" w:cs="Arial" w:eastAsia="Arial" w:hAnsi="Arial"/>
          <w:b w:val="false"/>
          <w:bCs w:val="false"/>
          <w:i w:val="false"/>
          <w:iCs w:val="false"/>
          <w:color w:val="222222"/>
          <w:sz w:val="22"/>
          <w:szCs w:val="22"/>
        </w:rPr>
        <w:t xml:space="preserve">Objectif : finaliser la plateforme avec modules collaboratifs et de gouvernance avancée.</w:t>
      </w:r>
    </w:p>
    <w:p>
      <w:pPr>
        <w:pStyle w:val="ListParagraph"/>
        <w:numPr>
          <w:ilvl w:val="0"/>
          <w:numId w:val="2"/>
        </w:numPr>
        <w:spacing w:after="60" w:before="60"/>
      </w:pPr>
      <w:r>
        <w:rPr>
          <w:rFonts w:ascii="Arial" w:cs="Arial" w:eastAsia="Arial" w:hAnsi="Arial"/>
          <w:color w:val="222222"/>
          <w:sz w:val="22"/>
          <w:szCs w:val="22"/>
        </w:rPr>
        <w:t xml:space="preserve">Module 16 : Communication collaborative (ticketing post-décision)</w:t>
      </w:r>
    </w:p>
    <w:p>
      <w:pPr>
        <w:pStyle w:val="ListParagraph"/>
        <w:numPr>
          <w:ilvl w:val="0"/>
          <w:numId w:val="2"/>
        </w:numPr>
        <w:spacing w:after="60" w:before="60"/>
      </w:pPr>
      <w:r>
        <w:rPr>
          <w:rFonts w:ascii="Arial" w:cs="Arial" w:eastAsia="Arial" w:hAnsi="Arial"/>
          <w:color w:val="222222"/>
          <w:sz w:val="22"/>
          <w:szCs w:val="22"/>
        </w:rPr>
        <w:t xml:space="preserve">Module 20 : Archivage légal et conservation (WORM)</w:t>
      </w:r>
    </w:p>
    <w:p>
      <w:pPr>
        <w:pStyle w:val="ListParagraph"/>
        <w:numPr>
          <w:ilvl w:val="0"/>
          <w:numId w:val="2"/>
        </w:numPr>
        <w:spacing w:after="60" w:before="60"/>
      </w:pPr>
      <w:r>
        <w:rPr>
          <w:rFonts w:ascii="Arial" w:cs="Arial" w:eastAsia="Arial" w:hAnsi="Arial"/>
          <w:color w:val="222222"/>
          <w:sz w:val="22"/>
          <w:szCs w:val="22"/>
        </w:rPr>
        <w:t xml:space="preserve">Module 21 : Monitoring &amp; exploitation avancés (Prometheus, Grafana)</w:t>
      </w:r>
    </w:p>
    <w:p>
      <w:pPr>
        <w:pStyle w:val="ListParagraph"/>
        <w:numPr>
          <w:ilvl w:val="0"/>
          <w:numId w:val="2"/>
        </w:numPr>
        <w:spacing w:after="60" w:before="60"/>
      </w:pPr>
      <w:r>
        <w:rPr>
          <w:rFonts w:ascii="Arial" w:cs="Arial" w:eastAsia="Arial" w:hAnsi="Arial"/>
          <w:color w:val="222222"/>
          <w:sz w:val="22"/>
          <w:szCs w:val="22"/>
        </w:rPr>
        <w:t xml:space="preserve">Module 22 : Documentation &amp; support</w:t>
      </w:r>
    </w:p>
    <w:p>
      <w:pPr>
        <w:pStyle w:val="ListParagraph"/>
        <w:numPr>
          <w:ilvl w:val="0"/>
          <w:numId w:val="2"/>
        </w:numPr>
        <w:spacing w:after="60" w:before="60"/>
      </w:pPr>
      <w:r>
        <w:rPr>
          <w:rFonts w:ascii="Arial" w:cs="Arial" w:eastAsia="Arial" w:hAnsi="Arial"/>
          <w:color w:val="222222"/>
          <w:sz w:val="22"/>
          <w:szCs w:val="22"/>
        </w:rPr>
        <w:t xml:space="preserve">Tests de charge, tests de sécurité, audit externe</w:t>
      </w:r>
    </w:p>
    <w:p>
      <w:pPr>
        <w:pStyle w:val="ListParagraph"/>
        <w:numPr>
          <w:ilvl w:val="0"/>
          <w:numId w:val="2"/>
        </w:numPr>
        <w:spacing w:after="60" w:before="60"/>
      </w:pPr>
      <w:r>
        <w:rPr>
          <w:rFonts w:ascii="Arial" w:cs="Arial" w:eastAsia="Arial" w:hAnsi="Arial"/>
          <w:color w:val="222222"/>
          <w:sz w:val="22"/>
          <w:szCs w:val="22"/>
        </w:rPr>
        <w:t xml:space="preserve">Optimisations performance et UX</w:t>
      </w:r>
    </w:p>
    <w:p>
      <w:pPr>
        <w:pStyle w:val="Heading3"/>
        <w:spacing w:after="100" w:before="220"/>
      </w:pPr>
      <w:r>
        <w:rPr>
          <w:rFonts w:ascii="Arial" w:cs="Arial" w:eastAsia="Arial" w:hAnsi="Arial"/>
          <w:b/>
          <w:bCs/>
          <w:color w:val="2E75B6"/>
          <w:sz w:val="24"/>
          <w:szCs w:val="24"/>
        </w:rPr>
        <w:t xml:space="preserve">36.4 Phase V3 (Mois 13+)</w:t>
      </w:r>
    </w:p>
    <w:p>
      <w:pPr>
        <w:spacing w:after="80" w:before="80"/>
        <w:jc w:val="left"/>
      </w:pPr>
      <w:r>
        <w:rPr>
          <w:rFonts w:ascii="Arial" w:cs="Arial" w:eastAsia="Arial" w:hAnsi="Arial"/>
          <w:b w:val="false"/>
          <w:bCs w:val="false"/>
          <w:i w:val="false"/>
          <w:iCs w:val="false"/>
          <w:color w:val="222222"/>
          <w:sz w:val="22"/>
          <w:szCs w:val="22"/>
        </w:rPr>
        <w:t xml:space="preserve">Objectif : évolutions fonctionnelles et multi-marchés.</w:t>
      </w:r>
    </w:p>
    <w:p>
      <w:pPr>
        <w:pStyle w:val="ListParagraph"/>
        <w:numPr>
          <w:ilvl w:val="0"/>
          <w:numId w:val="2"/>
        </w:numPr>
        <w:spacing w:after="60" w:before="60"/>
      </w:pPr>
      <w:r>
        <w:rPr>
          <w:rFonts w:ascii="Arial" w:cs="Arial" w:eastAsia="Arial" w:hAnsi="Arial"/>
          <w:color w:val="222222"/>
          <w:sz w:val="22"/>
          <w:szCs w:val="22"/>
        </w:rPr>
        <w:t xml:space="preserve">Support multi-entités et multi-sites</w:t>
      </w:r>
    </w:p>
    <w:p>
      <w:pPr>
        <w:pStyle w:val="ListParagraph"/>
        <w:numPr>
          <w:ilvl w:val="0"/>
          <w:numId w:val="2"/>
        </w:numPr>
        <w:spacing w:after="60" w:before="60"/>
      </w:pPr>
      <w:r>
        <w:rPr>
          <w:rFonts w:ascii="Arial" w:cs="Arial" w:eastAsia="Arial" w:hAnsi="Arial"/>
          <w:color w:val="222222"/>
          <w:sz w:val="22"/>
          <w:szCs w:val="22"/>
        </w:rPr>
        <w:t xml:space="preserve">Connecteurs ERP supplémentaires</w:t>
      </w:r>
    </w:p>
    <w:p>
      <w:pPr>
        <w:pStyle w:val="ListParagraph"/>
        <w:numPr>
          <w:ilvl w:val="0"/>
          <w:numId w:val="2"/>
        </w:numPr>
        <w:spacing w:after="60" w:before="60"/>
      </w:pPr>
      <w:r>
        <w:rPr>
          <w:rFonts w:ascii="Arial" w:cs="Arial" w:eastAsia="Arial" w:hAnsi="Arial"/>
          <w:color w:val="222222"/>
          <w:sz w:val="22"/>
          <w:szCs w:val="22"/>
        </w:rPr>
        <w:t xml:space="preserve">Module d'analyse avancée (BI, KPIs achats)</w:t>
      </w:r>
    </w:p>
    <w:p>
      <w:pPr>
        <w:pStyle w:val="ListParagraph"/>
        <w:numPr>
          <w:ilvl w:val="0"/>
          <w:numId w:val="2"/>
        </w:numPr>
        <w:spacing w:after="60" w:before="60"/>
      </w:pPr>
      <w:r>
        <w:rPr>
          <w:rFonts w:ascii="Arial" w:cs="Arial" w:eastAsia="Arial" w:hAnsi="Arial"/>
          <w:color w:val="222222"/>
          <w:sz w:val="22"/>
          <w:szCs w:val="22"/>
        </w:rPr>
        <w:t xml:space="preserve">Support de formats additionnels (e-procurement, PEPPOL)</w:t>
      </w:r>
    </w:p>
    <w:p>
      <w:pPr>
        <w:pStyle w:val="ListParagraph"/>
        <w:numPr>
          <w:ilvl w:val="0"/>
          <w:numId w:val="2"/>
        </w:numPr>
        <w:spacing w:after="60" w:before="60"/>
      </w:pPr>
      <w:r>
        <w:rPr>
          <w:rFonts w:ascii="Arial" w:cs="Arial" w:eastAsia="Arial" w:hAnsi="Arial"/>
          <w:color w:val="222222"/>
          <w:sz w:val="22"/>
          <w:szCs w:val="22"/>
        </w:rPr>
        <w:t xml:space="preserve">Certification ISO 27001</w:t>
      </w:r>
    </w:p>
    <w:p>
      <w:pPr>
        <w:pStyle w:val="ListParagraph"/>
        <w:numPr>
          <w:ilvl w:val="0"/>
          <w:numId w:val="2"/>
        </w:numPr>
        <w:spacing w:after="60" w:before="60"/>
      </w:pPr>
      <w:r>
        <w:rPr>
          <w:rFonts w:ascii="Arial" w:cs="Arial" w:eastAsia="Arial" w:hAnsi="Arial"/>
          <w:color w:val="222222"/>
          <w:sz w:val="22"/>
          <w:szCs w:val="22"/>
        </w:rPr>
        <w:t xml:space="preserve">Expansion vers de nouveaux marchés</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37. Planning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000"/>
      </w:tblGrid>
      <w:tr>
        <w:trPr>
          <w:tblHeader/>
        </w:trPr>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1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Durée</w:t>
            </w:r>
          </w:p>
        </w:tc>
        <w:tc>
          <w:tcPr>
            <w:tcW w:type="dxa" w:w="3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Livrables Clés</w:t>
            </w:r>
          </w:p>
        </w:tc>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Jalons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Cadrage &amp; Architecture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 mois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Architecture validée, environnement de dev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J0 + 30 jours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MVP</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3 mois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Plateforme fonctionnelle sur périmètre réduit</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J0 + 4 mois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4 mois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Cycle S2C complet, intégration ERP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J0 + 8 mois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V2</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4 mois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Plateforme complète 22 modules</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J0 + 12 mois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Recette &amp; Production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 mois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PV de recette, mise en production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J0 + 13 mois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V3 &amp; Évolutions</w:t>
            </w:r>
          </w:p>
        </w:tc>
        <w:tc>
          <w:tcPr>
            <w:tcW w:type="dxa" w:w="1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6 mois+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Nouveaux connecteurs, BI, certification</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J0 + 19 mois</w:t>
            </w:r>
          </w:p>
        </w:tc>
      </w:tr>
    </w:tbl>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38. Budget</w:t>
      </w:r>
    </w:p>
    <w:p>
      <w:pPr>
        <w:pStyle w:val="Heading3"/>
        <w:spacing w:after="100" w:before="220"/>
      </w:pPr>
      <w:r>
        <w:rPr>
          <w:rFonts w:ascii="Arial" w:cs="Arial" w:eastAsia="Arial" w:hAnsi="Arial"/>
          <w:b/>
          <w:bCs/>
          <w:color w:val="2E75B6"/>
          <w:sz w:val="24"/>
          <w:szCs w:val="24"/>
        </w:rPr>
        <w:t xml:space="preserve">38.1 Postes de Coût Principaux</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500"/>
      </w:tblGrid>
      <w:tr>
        <w:trPr>
          <w:tblHeader/>
        </w:trPr>
        <w:tc>
          <w:tcPr>
            <w:tcW w:type="dxa" w:w="2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Poste</w:t>
            </w:r>
          </w:p>
        </w:tc>
        <w:tc>
          <w:tcPr>
            <w:tcW w:type="dxa" w:w="4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Part Estimée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Infrastructure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Serveurs, stockage, réseau, HSM, licences 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20-25 %</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Développement logiciel</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Backend, frontend, portail fournisseur, intégrations</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40-50 %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Sécurité</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PKI, certificats, WAF, sandbox, audit sécurité, tests d'intrusion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10-15 %</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Intégration ERP</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Développement connecteurs, tests, validation</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10-15 %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Formation &amp; Documentation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Formation utilisateurs, rédaction documentation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5-8 %</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Support &amp; Maintenance (an 1)</w:t>
            </w:r>
          </w:p>
        </w:tc>
        <w:tc>
          <w:tcPr>
            <w:tcW w:type="dxa" w:w="4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SLA, correctifs, mises à jour</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5-10 %</w:t>
            </w:r>
          </w:p>
        </w:tc>
      </w:tr>
    </w:tbl>
    <w:p>
      <w:pPr>
        <w:pStyle w:val="Heading3"/>
        <w:spacing w:after="100" w:before="220"/>
      </w:pPr>
      <w:r>
        <w:rPr>
          <w:rFonts w:ascii="Arial" w:cs="Arial" w:eastAsia="Arial" w:hAnsi="Arial"/>
          <w:b/>
          <w:bCs/>
          <w:color w:val="2E75B6"/>
          <w:sz w:val="24"/>
          <w:szCs w:val="24"/>
        </w:rPr>
        <w:t xml:space="preserve">38.2 Modèle Commercial</w:t>
      </w:r>
    </w:p>
    <w:p>
      <w:pPr>
        <w:pStyle w:val="ListParagraph"/>
        <w:numPr>
          <w:ilvl w:val="0"/>
          <w:numId w:val="2"/>
        </w:numPr>
        <w:spacing w:after="60" w:before="60"/>
      </w:pPr>
      <w:r>
        <w:rPr>
          <w:rFonts w:ascii="Arial" w:cs="Arial" w:eastAsia="Arial" w:hAnsi="Arial"/>
          <w:color w:val="222222"/>
          <w:sz w:val="22"/>
          <w:szCs w:val="22"/>
        </w:rPr>
        <w:t xml:space="preserve">Licence perpétuelle ou abonnement annuel selon préférence client</w:t>
      </w:r>
    </w:p>
    <w:p>
      <w:pPr>
        <w:pStyle w:val="ListParagraph"/>
        <w:numPr>
          <w:ilvl w:val="0"/>
          <w:numId w:val="2"/>
        </w:numPr>
        <w:spacing w:after="60" w:before="60"/>
      </w:pPr>
      <w:r>
        <w:rPr>
          <w:rFonts w:ascii="Arial" w:cs="Arial" w:eastAsia="Arial" w:hAnsi="Arial"/>
          <w:color w:val="222222"/>
          <w:sz w:val="22"/>
          <w:szCs w:val="22"/>
        </w:rPr>
        <w:t xml:space="preserve">Frais d'intégration ERP : selon la complexité du connecteur</w:t>
      </w:r>
    </w:p>
    <w:p>
      <w:pPr>
        <w:pStyle w:val="ListParagraph"/>
        <w:numPr>
          <w:ilvl w:val="0"/>
          <w:numId w:val="2"/>
        </w:numPr>
        <w:spacing w:after="60" w:before="60"/>
      </w:pPr>
      <w:r>
        <w:rPr>
          <w:rFonts w:ascii="Arial" w:cs="Arial" w:eastAsia="Arial" w:hAnsi="Arial"/>
          <w:color w:val="222222"/>
          <w:sz w:val="22"/>
          <w:szCs w:val="22"/>
        </w:rPr>
        <w:t xml:space="preserve">Formation initiale incluse dans le déploiement</w:t>
      </w:r>
    </w:p>
    <w:p>
      <w:pPr>
        <w:pStyle w:val="ListParagraph"/>
        <w:numPr>
          <w:ilvl w:val="0"/>
          <w:numId w:val="2"/>
        </w:numPr>
        <w:spacing w:after="60" w:before="60"/>
      </w:pPr>
      <w:r>
        <w:rPr>
          <w:rFonts w:ascii="Arial" w:cs="Arial" w:eastAsia="Arial" w:hAnsi="Arial"/>
          <w:color w:val="222222"/>
          <w:sz w:val="22"/>
          <w:szCs w:val="22"/>
        </w:rPr>
        <w:t xml:space="preserve">Contrat de maintenance et support annuel</w:t>
      </w:r>
    </w:p>
    <w:p>
      <w:pPr>
        <w:pStyle w:val="ListParagraph"/>
        <w:numPr>
          <w:ilvl w:val="0"/>
          <w:numId w:val="2"/>
        </w:numPr>
        <w:spacing w:after="60" w:before="60"/>
      </w:pPr>
      <w:r>
        <w:rPr>
          <w:rFonts w:ascii="Arial" w:cs="Arial" w:eastAsia="Arial" w:hAnsi="Arial"/>
          <w:color w:val="222222"/>
          <w:sz w:val="22"/>
          <w:szCs w:val="22"/>
        </w:rPr>
        <w:t xml:space="preserve">Modules optionnels : BI avancée, connecteurs spécifiques</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39. Gouvernance du Projet</w:t>
      </w:r>
    </w:p>
    <w:p>
      <w:pPr>
        <w:pStyle w:val="Heading3"/>
        <w:spacing w:after="100" w:before="220"/>
      </w:pPr>
      <w:r>
        <w:rPr>
          <w:rFonts w:ascii="Arial" w:cs="Arial" w:eastAsia="Arial" w:hAnsi="Arial"/>
          <w:b/>
          <w:bCs/>
          <w:color w:val="2E75B6"/>
          <w:sz w:val="24"/>
          <w:szCs w:val="24"/>
        </w:rPr>
        <w:t xml:space="preserve">39.1 Organisation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rPr>
          <w:tblHeader/>
        </w:trPr>
        <w:tc>
          <w:tcPr>
            <w:tcW w:type="dxa" w:w="3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c>
          <w:tcPr>
            <w:tcW w:type="dxa" w:w="5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Responsabilité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Chef de Projet Procura</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Pilotage global, planning, budget, livrables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Architecte Technique</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Architecture, sécurité, choix technologiques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Lead Développeur Backend</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Développement des modules métier et API</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Lead Développeur Frontend</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Interface utilisateur, portail fournisseur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Responsable Sécurité</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Audit, tests d'intrusion, conformité</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Responsable Intégration ERP</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Connecteurs, tests d'intégration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Référent Client (DSI)</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Validation fonctionnelle, recette, coordination interne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Comité de Pilotage</w:t>
            </w:r>
          </w:p>
        </w:tc>
        <w:tc>
          <w:tcPr>
            <w:tcW w:type="dxa" w:w="5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Décisions stratégiques, arbitrages, validation jalons</w:t>
            </w:r>
          </w:p>
        </w:tc>
      </w:tr>
    </w:tbl>
    <w:p>
      <w:pPr>
        <w:pStyle w:val="Heading3"/>
        <w:spacing w:after="100" w:before="220"/>
      </w:pPr>
      <w:r>
        <w:rPr>
          <w:rFonts w:ascii="Arial" w:cs="Arial" w:eastAsia="Arial" w:hAnsi="Arial"/>
          <w:b/>
          <w:bCs/>
          <w:color w:val="2E75B6"/>
          <w:sz w:val="24"/>
          <w:szCs w:val="24"/>
        </w:rPr>
        <w:t xml:space="preserve">39.2 Matrice RACI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200"/>
        <w:gridCol w:w="1200"/>
        <w:gridCol w:w="1300"/>
      </w:tblGrid>
      <w:tr>
        <w:trPr>
          <w:tblHeader/>
        </w:trPr>
        <w:tc>
          <w:tcPr>
            <w:tcW w:type="dxa" w:w="3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Activité</w:t>
            </w:r>
          </w:p>
        </w:tc>
        <w:tc>
          <w:tcPr>
            <w:tcW w:type="dxa" w:w="14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Chef Projet</w:t>
            </w:r>
          </w:p>
        </w:tc>
        <w:tc>
          <w:tcPr>
            <w:tcW w:type="dxa" w:w="14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Architecte</w:t>
            </w:r>
          </w:p>
        </w:tc>
        <w:tc>
          <w:tcPr>
            <w:tcW w:type="dxa" w:w="12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Dev</w:t>
            </w:r>
          </w:p>
        </w:tc>
        <w:tc>
          <w:tcPr>
            <w:tcW w:type="dxa" w:w="12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Client DSI</w:t>
            </w:r>
          </w:p>
        </w:tc>
        <w:tc>
          <w:tcPr>
            <w:tcW w:type="dxa" w:w="13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Architecture technique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Développement modules</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Tests de sécurité</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Intégration ERP</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Recette UAT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Mise en production</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w:t>
            </w:r>
          </w:p>
        </w:tc>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Validation jalons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w:t>
            </w:r>
          </w:p>
        </w:tc>
      </w:tr>
    </w:tbl>
    <w:p>
      <w:pPr>
        <w:pStyle w:val="Heading3"/>
        <w:spacing w:after="100" w:before="220"/>
      </w:pPr>
      <w:r>
        <w:rPr>
          <w:rFonts w:ascii="Arial" w:cs="Arial" w:eastAsia="Arial" w:hAnsi="Arial"/>
          <w:b/>
          <w:bCs/>
          <w:color w:val="2E75B6"/>
          <w:sz w:val="24"/>
          <w:szCs w:val="24"/>
        </w:rPr>
        <w:t xml:space="preserve">39.3 Comités</w:t>
      </w:r>
    </w:p>
    <w:p>
      <w:pPr>
        <w:pStyle w:val="ListParagraph"/>
        <w:numPr>
          <w:ilvl w:val="0"/>
          <w:numId w:val="2"/>
        </w:numPr>
        <w:spacing w:after="60" w:before="60"/>
      </w:pPr>
      <w:r>
        <w:rPr>
          <w:rFonts w:ascii="Arial" w:cs="Arial" w:eastAsia="Arial" w:hAnsi="Arial"/>
          <w:color w:val="222222"/>
          <w:sz w:val="22"/>
          <w:szCs w:val="22"/>
        </w:rPr>
        <w:t xml:space="preserve">Comité de Pilotage : mensuel — suivi avancement, décisions stratégiques</w:t>
      </w:r>
    </w:p>
    <w:p>
      <w:pPr>
        <w:pStyle w:val="ListParagraph"/>
        <w:numPr>
          <w:ilvl w:val="0"/>
          <w:numId w:val="2"/>
        </w:numPr>
        <w:spacing w:after="60" w:before="60"/>
      </w:pPr>
      <w:r>
        <w:rPr>
          <w:rFonts w:ascii="Arial" w:cs="Arial" w:eastAsia="Arial" w:hAnsi="Arial"/>
          <w:color w:val="222222"/>
          <w:sz w:val="22"/>
          <w:szCs w:val="22"/>
        </w:rPr>
        <w:t xml:space="preserve">Comité Technique : hebdomadaire — revue technique, blocages, solutions</w:t>
      </w:r>
    </w:p>
    <w:p>
      <w:pPr>
        <w:pStyle w:val="ListParagraph"/>
        <w:numPr>
          <w:ilvl w:val="0"/>
          <w:numId w:val="2"/>
        </w:numPr>
        <w:spacing w:after="60" w:before="60"/>
      </w:pPr>
      <w:r>
        <w:rPr>
          <w:rFonts w:ascii="Arial" w:cs="Arial" w:eastAsia="Arial" w:hAnsi="Arial"/>
          <w:color w:val="222222"/>
          <w:sz w:val="22"/>
          <w:szCs w:val="22"/>
        </w:rPr>
        <w:t xml:space="preserve">Comité de Sécurité : à chaque livraison majeure — validation sécurité</w:t>
      </w:r>
    </w:p>
    <w:p>
      <w:pPr>
        <w:pStyle w:val="ListParagraph"/>
        <w:numPr>
          <w:ilvl w:val="0"/>
          <w:numId w:val="2"/>
        </w:numPr>
        <w:spacing w:after="60" w:before="60"/>
      </w:pPr>
      <w:r>
        <w:rPr>
          <w:rFonts w:ascii="Arial" w:cs="Arial" w:eastAsia="Arial" w:hAnsi="Arial"/>
          <w:color w:val="222222"/>
          <w:sz w:val="22"/>
          <w:szCs w:val="22"/>
        </w:rPr>
        <w:t xml:space="preserve">Revue de Sprint : bi-mensuelle — démonstration des fonctionnalités livrées</w:t>
      </w:r>
    </w:p>
    <w:p>
      <w:r>
        <w:br w:type="page"/>
      </w:r>
    </w:p>
    <w:p>
      <w:pPr>
        <w:pStyle w:val="Heading1"/>
        <w:pBdr>
          <w:bottom w:val="single" w:color="00B0F0" w:sz="6" w:space="1"/>
        </w:pBdr>
        <w:shd w:fill="1B3A6B" w:val="clear"/>
        <w:spacing w:after="200" w:before="400"/>
      </w:pPr>
      <w:r>
        <w:rPr>
          <w:rFonts w:ascii="Arial" w:cs="Arial" w:eastAsia="Arial" w:hAnsi="Arial"/>
          <w:b/>
          <w:bCs/>
          <w:color w:val="FFFFFF"/>
          <w:sz w:val="36"/>
          <w:szCs w:val="36"/>
        </w:rPr>
        <w:t xml:space="preserve">PARTIE XII — ANNEXES</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40. Glossaire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rPr>
          <w:tblHeader/>
        </w:trPr>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Terme / Acronyme</w:t>
            </w:r>
          </w:p>
        </w:tc>
        <w:tc>
          <w:tcPr>
            <w:tcW w:type="dxa" w:w="6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AES-256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Advanced Encryption Standard, clé de 256 bits — algorithme de chiffrement symétrique de référence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API</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Application Programming Interface — interface permettant la communication entre systèmes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AD / LDAP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Active Directory / Lightweight Directory Access Protocol — annuaires d'identités d'entreprise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BAPI</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Business Application Programming Interface — interface API propriétaire SAP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CAPTCHA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Completely Automated Public Turing test — protection anti-automatisation web</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CI/CD</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Continuous Integration / Continuous Deployment — pratiques DevOps d'automatisation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CSRF</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Cross-Site Request Forgery — attaque forçant un utilisateur authentifié à exécuter des actions non voulues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DMZ</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Zone Démilitarisée — zone réseau isolée entre Internet et le réseau interne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DSI</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Direction des Systèmes d'Information</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ERP</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Enterprise Resource Planning — logiciel de gestion intégré (SAP, Oracle, Sage, Dynamics...)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ESB</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Enterprise Service Bus — bus d'intégration d'applications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HAProxy</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High Availability Proxy — logiciel open-source de load balancing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HSM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Hardware Security Module — module matériel de sécurité pour la gestion des clés cryptographiques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HSTS</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HTTP Strict Transport Security — en-tête forçant HTTPS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IAM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Identity and Access Management — gestion des identités et des accès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IDoc</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Intermediate Document — format de données interchanges SAP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IDS/IPS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Intrusion Detection / Prevention System — système de détection/prévention d'intrusion</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JSON</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JavaScript Object Notation — format d'échange de données léger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Local Area Network — réseau local interne de l'entreprise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Least Privilege</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Principe du moindre privilège — chaque entité n'a que les droits strictement nécessaires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MFA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Multi-Factor Authentication — authentification multi-facteurs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MinIO</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Serveur de stockage objet compatible S3 déployable on-premise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mTLS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Mutual TLS — authentification mutuelle par certificats des deux côtés d'une connexion TLS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NTP</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Network Time Protocol — protocole de synchronisation temporelle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OWASP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Open Web Application Security Project — référentiel de sécurité applicative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PCA</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Plan de Continuité d'Activité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PKCS#11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Standard cryptographique pour les interfaces d'accès aux HSM et tokens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PKI</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Public Key Infrastructure — infrastructure de gestion des certificats numériques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Plan de Reprise d'Activité</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PV</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Procès-Verbal — document officiel enregistrant les décisions d'une commission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RBAC</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Role-Based Access Control — contrôle d'accès basé sur les rôles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RFC 3161</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Standard IETF pour l'horodatage électronique certifié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RFQ</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Request for Quotation — appel d'offres ou demande de devis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RPO</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Recovery Point Objective — perte maximale de données tolérée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RTO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Recovery Time Objective — durée maximale d'indisponibilité tolérée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S2C</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Source-to-Contract — périmètre fonctionnel de Procura (du besoin au contrat)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SAP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Systèmes, Applications et Produits — principal ERP du marché</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SHA-256</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Secure Hash Algorithm 256 bits — algorithme de hachage cryptographique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SIEM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Security Information and Event Management — système de gestion des événements de sécurité</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SLA</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Service Level Agreement — accord de niveau de 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SOC</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Security Operations Center — centre d'opérations de sécurité</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SSRF</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Server-Side Request Forgery — attaque forçant le serveur à effectuer des requêtes vers des ressources internes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SSO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Single Sign-On — authentification unique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TLS</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Transport Layer Security — protocole de chiffrement des communications réseau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TTL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Time to Live — durée de validité d'une entrée en cache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UAT</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User Acceptance Testing — tests d'acceptation utilisateur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UUID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Universally Unique Identifier — identifiant unique universel</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Vault</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HashiCorp Vault — outil de gestion centralisée des secrets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VLAN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Virtual Local Area Network — réseau local virtuel pour la segmentation réseau</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WAF</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Web Application Firewall — pare-feu applicatif web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WORM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Write Once Read Many — stockage immuable en écriture unique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XSS</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Cross-Site Scripting — injection de scripts malveillants dans des pages web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XML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eXtensible Markup Language — format d'échange de données structurées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Zero Trust</w:t>
            </w:r>
          </w:p>
        </w:tc>
        <w:tc>
          <w:tcPr>
            <w:tcW w:type="dxa" w:w="6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Modèle de sécurité ne faisant confiance à aucune entité par défaut, même interne</w:t>
            </w:r>
          </w:p>
        </w:tc>
      </w:tr>
    </w:tbl>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41. Références</w:t>
      </w:r>
    </w:p>
    <w:p>
      <w:pPr>
        <w:pStyle w:val="Heading3"/>
        <w:spacing w:after="100" w:before="220"/>
      </w:pPr>
      <w:r>
        <w:rPr>
          <w:rFonts w:ascii="Arial" w:cs="Arial" w:eastAsia="Arial" w:hAnsi="Arial"/>
          <w:b/>
          <w:bCs/>
          <w:color w:val="2E75B6"/>
          <w:sz w:val="24"/>
          <w:szCs w:val="24"/>
        </w:rPr>
        <w:t xml:space="preserve">41.1 Textes Réglementaires</w:t>
      </w:r>
    </w:p>
    <w:p>
      <w:pPr>
        <w:pStyle w:val="ListParagraph"/>
        <w:numPr>
          <w:ilvl w:val="0"/>
          <w:numId w:val="2"/>
        </w:numPr>
        <w:spacing w:after="60" w:before="60"/>
      </w:pPr>
      <w:r>
        <w:rPr>
          <w:rFonts w:ascii="Arial" w:cs="Arial" w:eastAsia="Arial" w:hAnsi="Arial"/>
          <w:color w:val="222222"/>
          <w:sz w:val="22"/>
          <w:szCs w:val="22"/>
        </w:rPr>
        <w:t xml:space="preserve">Loi 18-07 du 10 juin 2018 relative à la protection des personnes physiques dans le traitement des données à caractère personnel</w:t>
      </w:r>
    </w:p>
    <w:p>
      <w:pPr>
        <w:pStyle w:val="ListParagraph"/>
        <w:numPr>
          <w:ilvl w:val="0"/>
          <w:numId w:val="2"/>
        </w:numPr>
        <w:spacing w:after="60" w:before="60"/>
      </w:pPr>
      <w:r>
        <w:rPr>
          <w:rFonts w:ascii="Arial" w:cs="Arial" w:eastAsia="Arial" w:hAnsi="Arial"/>
          <w:color w:val="222222"/>
          <w:sz w:val="22"/>
          <w:szCs w:val="22"/>
        </w:rPr>
        <w:t xml:space="preserve">Loi 23-12 du 7 août 2023 relative à la cybersécurité</w:t>
      </w:r>
    </w:p>
    <w:p>
      <w:pPr>
        <w:pStyle w:val="ListParagraph"/>
        <w:numPr>
          <w:ilvl w:val="0"/>
          <w:numId w:val="2"/>
        </w:numPr>
        <w:spacing w:after="60" w:before="60"/>
      </w:pPr>
      <w:r>
        <w:rPr>
          <w:rFonts w:ascii="Arial" w:cs="Arial" w:eastAsia="Arial" w:hAnsi="Arial"/>
          <w:color w:val="222222"/>
          <w:sz w:val="22"/>
          <w:szCs w:val="22"/>
        </w:rPr>
        <w:t xml:space="preserve">Décret présidentiel n° 15-247 portant réglementation des marchés publics et des délégations de service public (et modifications ultérieures)</w:t>
      </w:r>
    </w:p>
    <w:p>
      <w:pPr>
        <w:pStyle w:val="Heading3"/>
        <w:spacing w:after="100" w:before="220"/>
      </w:pPr>
      <w:r>
        <w:rPr>
          <w:rFonts w:ascii="Arial" w:cs="Arial" w:eastAsia="Arial" w:hAnsi="Arial"/>
          <w:b/>
          <w:bCs/>
          <w:color w:val="2E75B6"/>
          <w:sz w:val="24"/>
          <w:szCs w:val="24"/>
        </w:rPr>
        <w:t xml:space="preserve">41.2 Normes et Standards</w:t>
      </w:r>
    </w:p>
    <w:p>
      <w:pPr>
        <w:pStyle w:val="ListParagraph"/>
        <w:numPr>
          <w:ilvl w:val="0"/>
          <w:numId w:val="2"/>
        </w:numPr>
        <w:spacing w:after="60" w:before="60"/>
      </w:pPr>
      <w:r>
        <w:rPr>
          <w:rFonts w:ascii="Arial" w:cs="Arial" w:eastAsia="Arial" w:hAnsi="Arial"/>
          <w:color w:val="222222"/>
          <w:sz w:val="22"/>
          <w:szCs w:val="22"/>
        </w:rPr>
        <w:t xml:space="preserve">ISO/IEC 27001:2022 — Systèmes de management de la sécurité de l'information</w:t>
      </w:r>
    </w:p>
    <w:p>
      <w:pPr>
        <w:pStyle w:val="ListParagraph"/>
        <w:numPr>
          <w:ilvl w:val="0"/>
          <w:numId w:val="2"/>
        </w:numPr>
        <w:spacing w:after="60" w:before="60"/>
      </w:pPr>
      <w:r>
        <w:rPr>
          <w:rFonts w:ascii="Arial" w:cs="Arial" w:eastAsia="Arial" w:hAnsi="Arial"/>
          <w:color w:val="222222"/>
          <w:sz w:val="22"/>
          <w:szCs w:val="22"/>
        </w:rPr>
        <w:t xml:space="preserve">ISO 9001:2015 — Systèmes de management de la qualité</w:t>
      </w:r>
    </w:p>
    <w:p>
      <w:pPr>
        <w:pStyle w:val="ListParagraph"/>
        <w:numPr>
          <w:ilvl w:val="0"/>
          <w:numId w:val="2"/>
        </w:numPr>
        <w:spacing w:after="60" w:before="60"/>
      </w:pPr>
      <w:r>
        <w:rPr>
          <w:rFonts w:ascii="Arial" w:cs="Arial" w:eastAsia="Arial" w:hAnsi="Arial"/>
          <w:color w:val="222222"/>
          <w:sz w:val="22"/>
          <w:szCs w:val="22"/>
        </w:rPr>
        <w:t xml:space="preserve">OWASP Top 10 (2021) — Principales vulnérabilités de sécurité applicative</w:t>
      </w:r>
    </w:p>
    <w:p>
      <w:pPr>
        <w:pStyle w:val="ListParagraph"/>
        <w:numPr>
          <w:ilvl w:val="0"/>
          <w:numId w:val="2"/>
        </w:numPr>
        <w:spacing w:after="60" w:before="60"/>
      </w:pPr>
      <w:r>
        <w:rPr>
          <w:rFonts w:ascii="Arial" w:cs="Arial" w:eastAsia="Arial" w:hAnsi="Arial"/>
          <w:color w:val="222222"/>
          <w:sz w:val="22"/>
          <w:szCs w:val="22"/>
        </w:rPr>
        <w:t xml:space="preserve">RFC 3161 — Internet X.509 PKI Time-Stamp Protocol (TSP)</w:t>
      </w:r>
    </w:p>
    <w:p>
      <w:pPr>
        <w:pStyle w:val="ListParagraph"/>
        <w:numPr>
          <w:ilvl w:val="0"/>
          <w:numId w:val="2"/>
        </w:numPr>
        <w:spacing w:after="60" w:before="60"/>
      </w:pPr>
      <w:r>
        <w:rPr>
          <w:rFonts w:ascii="Arial" w:cs="Arial" w:eastAsia="Arial" w:hAnsi="Arial"/>
          <w:color w:val="222222"/>
          <w:sz w:val="22"/>
          <w:szCs w:val="22"/>
        </w:rPr>
        <w:t xml:space="preserve">NIST Special Publication 800-53 Rev. 5 — Contrôles de sécurité et de confidentialité</w:t>
      </w:r>
    </w:p>
    <w:p>
      <w:pPr>
        <w:pStyle w:val="ListParagraph"/>
        <w:numPr>
          <w:ilvl w:val="0"/>
          <w:numId w:val="2"/>
        </w:numPr>
        <w:spacing w:after="60" w:before="60"/>
      </w:pPr>
      <w:r>
        <w:rPr>
          <w:rFonts w:ascii="Arial" w:cs="Arial" w:eastAsia="Arial" w:hAnsi="Arial"/>
          <w:color w:val="222222"/>
          <w:sz w:val="22"/>
          <w:szCs w:val="22"/>
        </w:rPr>
        <w:t xml:space="preserve">FIPS 140-2 / 140-3 — Exigences de sécurité pour les modules cryptographiques</w:t>
      </w:r>
    </w:p>
    <w:p>
      <w:pPr>
        <w:pStyle w:val="ListParagraph"/>
        <w:numPr>
          <w:ilvl w:val="0"/>
          <w:numId w:val="2"/>
        </w:numPr>
        <w:spacing w:after="60" w:before="60"/>
      </w:pPr>
      <w:r>
        <w:rPr>
          <w:rFonts w:ascii="Arial" w:cs="Arial" w:eastAsia="Arial" w:hAnsi="Arial"/>
          <w:color w:val="222222"/>
          <w:sz w:val="22"/>
          <w:szCs w:val="22"/>
        </w:rPr>
        <w:t xml:space="preserve">PKCS#11 — Cryptographic Token Interface Standard</w:t>
      </w:r>
    </w:p>
    <w:p>
      <w:pPr>
        <w:pStyle w:val="ListParagraph"/>
        <w:numPr>
          <w:ilvl w:val="0"/>
          <w:numId w:val="2"/>
        </w:numPr>
        <w:spacing w:after="60" w:before="60"/>
      </w:pPr>
      <w:r>
        <w:rPr>
          <w:rFonts w:ascii="Arial" w:cs="Arial" w:eastAsia="Arial" w:hAnsi="Arial"/>
          <w:color w:val="222222"/>
          <w:sz w:val="22"/>
          <w:szCs w:val="22"/>
        </w:rPr>
        <w:t xml:space="preserve">SAML 2.0 — Security Assertion Markup Language</w:t>
      </w:r>
    </w:p>
    <w:p>
      <w:pPr>
        <w:pStyle w:val="ListParagraph"/>
        <w:numPr>
          <w:ilvl w:val="0"/>
          <w:numId w:val="2"/>
        </w:numPr>
        <w:spacing w:after="60" w:before="60"/>
      </w:pPr>
      <w:r>
        <w:rPr>
          <w:rFonts w:ascii="Arial" w:cs="Arial" w:eastAsia="Arial" w:hAnsi="Arial"/>
          <w:color w:val="222222"/>
          <w:sz w:val="22"/>
          <w:szCs w:val="22"/>
        </w:rPr>
        <w:t xml:space="preserve">OpenID Connect 1.0 — Protocole d'authentification basé sur OAuth 2.0</w:t>
      </w:r>
    </w:p>
    <w:p>
      <w:pPr>
        <w:pStyle w:val="ListParagraph"/>
        <w:numPr>
          <w:ilvl w:val="0"/>
          <w:numId w:val="2"/>
        </w:numPr>
        <w:spacing w:after="60" w:before="60"/>
      </w:pPr>
      <w:r>
        <w:rPr>
          <w:rFonts w:ascii="Arial" w:cs="Arial" w:eastAsia="Arial" w:hAnsi="Arial"/>
          <w:color w:val="222222"/>
          <w:sz w:val="22"/>
          <w:szCs w:val="22"/>
        </w:rPr>
        <w:t xml:space="preserve">TLS 1.3 — RFC 8446</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42. Diagrammes UML</w:t>
      </w:r>
    </w:p>
    <w:p>
      <w:pPr>
        <w:spacing w:after="80" w:before="80"/>
        <w:jc w:val="left"/>
      </w:pPr>
      <w:r>
        <w:rPr>
          <w:rFonts w:ascii="Arial" w:cs="Arial" w:eastAsia="Arial" w:hAnsi="Arial"/>
          <w:b w:val="false"/>
          <w:bCs w:val="false"/>
          <w:i w:val="false"/>
          <w:iCs w:val="false"/>
          <w:color w:val="222222"/>
          <w:sz w:val="22"/>
          <w:szCs w:val="22"/>
        </w:rPr>
        <w:t xml:space="preserve">Les diagrammes UML suivants sont fournis en annexe technique (fichiers séparés) :</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rPr>
          <w:tblHeader/>
        </w:trPr>
        <w:tc>
          <w:tcPr>
            <w:tcW w:type="dxa" w:w="25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 de Diagramme</w:t>
            </w:r>
          </w:p>
        </w:tc>
        <w:tc>
          <w:tcPr>
            <w:tcW w:type="dxa" w:w="3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Périmètre</w:t>
            </w:r>
          </w:p>
        </w:tc>
        <w:tc>
          <w:tcPr>
            <w:tcW w:type="dxa" w:w="3000"/>
            <w:tcBorders>
              <w:top w:val="single" w:color="2E75B6" w:sz="1"/>
              <w:left w:val="single" w:color="2E75B6" w:sz="1"/>
              <w:bottom w:val="single" w:color="2E75B6" w:sz="1"/>
              <w:right w:val="single" w:color="2E75B6"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Diagramme de cas d'utilisation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Tous les acteurs et use cases (§ 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PlantUML / Draw.io</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Diagramme de classes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Modèle de données complet (§ 19)</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PlantUML / Draw.io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Diagrammes de séquence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Flux critiques : dépôt offre, ouverture plis, export ERP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PlantUML</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Diagrammes d'activités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Workflow expression du besoin, workflow RFQ</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Draw.io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Diagramme de déploiement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Architecture physique : DMZ, LAN, ERP, HSM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Draw.io</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Diagramme de composants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Services Procura et leurs dépendances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C4 Model</w:t>
            </w:r>
          </w:p>
        </w:tc>
      </w:tr>
    </w:tbl>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43. Maquettes UI</w:t>
      </w:r>
    </w:p>
    <w:p>
      <w:pPr>
        <w:spacing w:after="80" w:before="80"/>
        <w:jc w:val="left"/>
      </w:pPr>
      <w:r>
        <w:rPr>
          <w:rFonts w:ascii="Arial" w:cs="Arial" w:eastAsia="Arial" w:hAnsi="Arial"/>
          <w:b w:val="false"/>
          <w:bCs w:val="false"/>
          <w:i w:val="false"/>
          <w:iCs w:val="false"/>
          <w:color w:val="222222"/>
          <w:sz w:val="22"/>
          <w:szCs w:val="22"/>
        </w:rPr>
        <w:t xml:space="preserve">Les maquettes d'interface utilisateur (wireframes et mockups) sont fournies en annexe visuelle (fichiers séparés) et couvrent :</w:t>
      </w:r>
    </w:p>
    <w:p>
      <w:pPr>
        <w:pStyle w:val="ListParagraph"/>
        <w:numPr>
          <w:ilvl w:val="0"/>
          <w:numId w:val="2"/>
        </w:numPr>
        <w:spacing w:after="60" w:before="60"/>
      </w:pPr>
      <w:r>
        <w:rPr>
          <w:rFonts w:ascii="Arial" w:cs="Arial" w:eastAsia="Arial" w:hAnsi="Arial"/>
          <w:color w:val="222222"/>
          <w:sz w:val="22"/>
          <w:szCs w:val="22"/>
        </w:rPr>
        <w:t xml:space="preserve">Tableau de bord acheteur (vue principale)</w:t>
      </w:r>
    </w:p>
    <w:p>
      <w:pPr>
        <w:pStyle w:val="ListParagraph"/>
        <w:numPr>
          <w:ilvl w:val="0"/>
          <w:numId w:val="2"/>
        </w:numPr>
        <w:spacing w:after="60" w:before="60"/>
      </w:pPr>
      <w:r>
        <w:rPr>
          <w:rFonts w:ascii="Arial" w:cs="Arial" w:eastAsia="Arial" w:hAnsi="Arial"/>
          <w:color w:val="222222"/>
          <w:sz w:val="22"/>
          <w:szCs w:val="22"/>
        </w:rPr>
        <w:t xml:space="preserve">Formulaire de création de RFQ (étapes guidées)</w:t>
      </w:r>
    </w:p>
    <w:p>
      <w:pPr>
        <w:pStyle w:val="ListParagraph"/>
        <w:numPr>
          <w:ilvl w:val="0"/>
          <w:numId w:val="2"/>
        </w:numPr>
        <w:spacing w:after="60" w:before="60"/>
      </w:pPr>
      <w:r>
        <w:rPr>
          <w:rFonts w:ascii="Arial" w:cs="Arial" w:eastAsia="Arial" w:hAnsi="Arial"/>
          <w:color w:val="222222"/>
          <w:sz w:val="22"/>
          <w:szCs w:val="22"/>
        </w:rPr>
        <w:t xml:space="preserve">Interface de sélection des fournisseurs</w:t>
      </w:r>
    </w:p>
    <w:p>
      <w:pPr>
        <w:pStyle w:val="ListParagraph"/>
        <w:numPr>
          <w:ilvl w:val="0"/>
          <w:numId w:val="2"/>
        </w:numPr>
        <w:spacing w:after="60" w:before="60"/>
      </w:pPr>
      <w:r>
        <w:rPr>
          <w:rFonts w:ascii="Arial" w:cs="Arial" w:eastAsia="Arial" w:hAnsi="Arial"/>
          <w:color w:val="222222"/>
          <w:sz w:val="22"/>
          <w:szCs w:val="22"/>
        </w:rPr>
        <w:t xml:space="preserve">Portail fournisseur : tableau de bord et formulaire de dépôt</w:t>
      </w:r>
    </w:p>
    <w:p>
      <w:pPr>
        <w:pStyle w:val="ListParagraph"/>
        <w:numPr>
          <w:ilvl w:val="0"/>
          <w:numId w:val="2"/>
        </w:numPr>
        <w:spacing w:after="60" w:before="60"/>
      </w:pPr>
      <w:r>
        <w:rPr>
          <w:rFonts w:ascii="Arial" w:cs="Arial" w:eastAsia="Arial" w:hAnsi="Arial"/>
          <w:color w:val="222222"/>
          <w:sz w:val="22"/>
          <w:szCs w:val="22"/>
        </w:rPr>
        <w:t xml:space="preserve">Interface d'ouverture des plis (commission)</w:t>
      </w:r>
    </w:p>
    <w:p>
      <w:pPr>
        <w:pStyle w:val="ListParagraph"/>
        <w:numPr>
          <w:ilvl w:val="0"/>
          <w:numId w:val="2"/>
        </w:numPr>
        <w:spacing w:after="60" w:before="60"/>
      </w:pPr>
      <w:r>
        <w:rPr>
          <w:rFonts w:ascii="Arial" w:cs="Arial" w:eastAsia="Arial" w:hAnsi="Arial"/>
          <w:color w:val="222222"/>
          <w:sz w:val="22"/>
          <w:szCs w:val="22"/>
        </w:rPr>
        <w:t xml:space="preserve">Module de saisie des décisions et génération du PV</w:t>
      </w:r>
    </w:p>
    <w:p>
      <w:pPr>
        <w:pStyle w:val="ListParagraph"/>
        <w:numPr>
          <w:ilvl w:val="0"/>
          <w:numId w:val="2"/>
        </w:numPr>
        <w:spacing w:after="60" w:before="60"/>
      </w:pPr>
      <w:r>
        <w:rPr>
          <w:rFonts w:ascii="Arial" w:cs="Arial" w:eastAsia="Arial" w:hAnsi="Arial"/>
          <w:color w:val="222222"/>
          <w:sz w:val="22"/>
          <w:szCs w:val="22"/>
        </w:rPr>
        <w:t xml:space="preserve">Tableau comparatif des offres</w:t>
      </w:r>
    </w:p>
    <w:p>
      <w:pPr>
        <w:pStyle w:val="ListParagraph"/>
        <w:numPr>
          <w:ilvl w:val="0"/>
          <w:numId w:val="2"/>
        </w:numPr>
        <w:spacing w:after="60" w:before="60"/>
      </w:pPr>
      <w:r>
        <w:rPr>
          <w:rFonts w:ascii="Arial" w:cs="Arial" w:eastAsia="Arial" w:hAnsi="Arial"/>
          <w:color w:val="222222"/>
          <w:sz w:val="22"/>
          <w:szCs w:val="22"/>
        </w:rPr>
        <w:t xml:space="preserve">Interface d'administration et de supervision</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44. Architecture Technique Complète — Récapitulatif des Schémas</w:t>
      </w:r>
    </w:p>
    <w:p>
      <w:pPr>
        <w:spacing w:after="80" w:before="80"/>
        <w:jc w:val="left"/>
      </w:pPr>
      <w:r>
        <w:rPr>
          <w:rFonts w:ascii="Arial" w:cs="Arial" w:eastAsia="Arial" w:hAnsi="Arial"/>
          <w:b w:val="false"/>
          <w:bCs w:val="false"/>
          <w:i w:val="false"/>
          <w:iCs w:val="false"/>
          <w:color w:val="222222"/>
          <w:sz w:val="22"/>
          <w:szCs w:val="22"/>
        </w:rPr>
        <w:t xml:space="preserve">Les schémas d'architecture technique détaillés sont fournis en annexe (fichiers séparés) et comprennent :</w:t>
      </w:r>
    </w:p>
    <w:p>
      <w:pPr>
        <w:pStyle w:val="ListParagraph"/>
        <w:numPr>
          <w:ilvl w:val="0"/>
          <w:numId w:val="2"/>
        </w:numPr>
        <w:spacing w:after="60" w:before="60"/>
      </w:pPr>
      <w:r>
        <w:rPr>
          <w:rFonts w:ascii="Arial" w:cs="Arial" w:eastAsia="Arial" w:hAnsi="Arial"/>
          <w:color w:val="222222"/>
          <w:sz w:val="22"/>
          <w:szCs w:val="22"/>
        </w:rPr>
        <w:t xml:space="preserve">Architecture générale avec zones réseau (Internet / DMZ / LAN / ERP)</w:t>
      </w:r>
    </w:p>
    <w:p>
      <w:pPr>
        <w:pStyle w:val="ListParagraph"/>
        <w:numPr>
          <w:ilvl w:val="0"/>
          <w:numId w:val="2"/>
        </w:numPr>
        <w:spacing w:after="60" w:before="60"/>
      </w:pPr>
      <w:r>
        <w:rPr>
          <w:rFonts w:ascii="Arial" w:cs="Arial" w:eastAsia="Arial" w:hAnsi="Arial"/>
          <w:color w:val="222222"/>
          <w:sz w:val="22"/>
          <w:szCs w:val="22"/>
        </w:rPr>
        <w:t xml:space="preserve">Architecture de sécurité (Zero Trust, PKI, HSM, Vault)</w:t>
      </w:r>
    </w:p>
    <w:p>
      <w:pPr>
        <w:pStyle w:val="ListParagraph"/>
        <w:numPr>
          <w:ilvl w:val="0"/>
          <w:numId w:val="2"/>
        </w:numPr>
        <w:spacing w:after="60" w:before="60"/>
      </w:pPr>
      <w:r>
        <w:rPr>
          <w:rFonts w:ascii="Arial" w:cs="Arial" w:eastAsia="Arial" w:hAnsi="Arial"/>
          <w:color w:val="222222"/>
          <w:sz w:val="22"/>
          <w:szCs w:val="22"/>
        </w:rPr>
        <w:t xml:space="preserve">Architecture des données (PostgreSQL, MinIO, WORM, Redis)</w:t>
      </w:r>
    </w:p>
    <w:p>
      <w:pPr>
        <w:pStyle w:val="ListParagraph"/>
        <w:numPr>
          <w:ilvl w:val="0"/>
          <w:numId w:val="2"/>
        </w:numPr>
        <w:spacing w:after="60" w:before="60"/>
      </w:pPr>
      <w:r>
        <w:rPr>
          <w:rFonts w:ascii="Arial" w:cs="Arial" w:eastAsia="Arial" w:hAnsi="Arial"/>
          <w:color w:val="222222"/>
          <w:sz w:val="22"/>
          <w:szCs w:val="22"/>
        </w:rPr>
        <w:t xml:space="preserve">Architecture des flux de traitement des offres (du dépôt au scellage)</w:t>
      </w:r>
    </w:p>
    <w:p>
      <w:pPr>
        <w:pStyle w:val="ListParagraph"/>
        <w:numPr>
          <w:ilvl w:val="0"/>
          <w:numId w:val="2"/>
        </w:numPr>
        <w:spacing w:after="60" w:before="60"/>
      </w:pPr>
      <w:r>
        <w:rPr>
          <w:rFonts w:ascii="Arial" w:cs="Arial" w:eastAsia="Arial" w:hAnsi="Arial"/>
          <w:color w:val="222222"/>
          <w:sz w:val="22"/>
          <w:szCs w:val="22"/>
        </w:rPr>
        <w:t xml:space="preserve">Architecture de monitoring (Prometheus, Grafana, ELK, Wazuh)</w:t>
      </w:r>
    </w:p>
    <w:p>
      <w:pPr>
        <w:pStyle w:val="ListParagraph"/>
        <w:numPr>
          <w:ilvl w:val="0"/>
          <w:numId w:val="2"/>
        </w:numPr>
        <w:spacing w:after="60" w:before="60"/>
      </w:pPr>
      <w:r>
        <w:rPr>
          <w:rFonts w:ascii="Arial" w:cs="Arial" w:eastAsia="Arial" w:hAnsi="Arial"/>
          <w:color w:val="222222"/>
          <w:sz w:val="22"/>
          <w:szCs w:val="22"/>
        </w:rPr>
        <w:t xml:space="preserve">Architecture d'intégration ERP (connecteurs, formats, flux)</w:t>
      </w:r>
    </w:p>
    <w:p>
      <w:pPr>
        <w:spacing w:after="0" w:before="120"/>
      </w:pPr>
      <w:r>
        <w:t xml:space="preserve"/>
      </w:r>
    </w:p>
    <w:p>
      <w:pPr>
        <w:pStyle w:val="Heading2"/>
        <w:pBdr>
          <w:bottom w:val="single" w:color="2E75B6" w:sz="4" w:space="1"/>
        </w:pBdr>
        <w:spacing w:after="140" w:before="300"/>
      </w:pPr>
      <w:r>
        <w:rPr>
          <w:rFonts w:ascii="Arial" w:cs="Arial" w:eastAsia="Arial" w:hAnsi="Arial"/>
          <w:b/>
          <w:bCs/>
          <w:color w:val="1B3A6B"/>
          <w:sz w:val="28"/>
          <w:szCs w:val="28"/>
        </w:rPr>
        <w:t xml:space="preserve">45. Annexes Diverses</w:t>
      </w:r>
    </w:p>
    <w:p>
      <w:pPr>
        <w:pStyle w:val="Heading3"/>
        <w:spacing w:after="100" w:before="220"/>
      </w:pPr>
      <w:r>
        <w:rPr>
          <w:rFonts w:ascii="Arial" w:cs="Arial" w:eastAsia="Arial" w:hAnsi="Arial"/>
          <w:b/>
          <w:bCs/>
          <w:color w:val="2E75B6"/>
          <w:sz w:val="24"/>
          <w:szCs w:val="24"/>
        </w:rPr>
        <w:t xml:space="preserve">45.1 Exemples d'Output Final</w:t>
      </w:r>
    </w:p>
    <w:p>
      <w:pPr>
        <w:spacing w:after="80" w:before="80"/>
        <w:jc w:val="left"/>
      </w:pPr>
      <w:r>
        <w:rPr>
          <w:rFonts w:ascii="Arial" w:cs="Arial" w:eastAsia="Arial" w:hAnsi="Arial"/>
          <w:b w:val="false"/>
          <w:bCs w:val="false"/>
          <w:i w:val="false"/>
          <w:iCs w:val="false"/>
          <w:color w:val="222222"/>
          <w:sz w:val="22"/>
          <w:szCs w:val="22"/>
        </w:rPr>
        <w:t xml:space="preserve">Exemple de structure JSON d'un output final Procura :</w:t>
      </w:r>
    </w:p>
    <w:p>
      <w:pPr>
        <w:shd w:fill="F5F5F5" w:val="clear"/>
        <w:spacing w:after="100" w:before="100"/>
      </w:pPr>
      <w:r>
        <w:rPr>
          <w:rFonts w:ascii="Courier New" w:cs="Courier New" w:eastAsia="Courier New" w:hAnsi="Courier New"/>
          <w:color w:val="404040"/>
          <w:sz w:val="18"/>
          <w:szCs w:val="18"/>
        </w:rPr>
        <w:t xml:space="preserve">{
  "export_id": "EXP-2024-001",
  "rfq_id": "RFQ-2024-087",
  "export_timestamp": "2024-10-15T10:30:00Z",
  "supplier": {
    "erp_id": "FOURN-0042",
    "name": "Fournisseur ABC SARL"
  },
  "lines": [
    {
      "article_code": "ART-001",
      "description": "Câble électrique HT",
      "quantity": 500,
      "unit": "ML",
      "unit_price": 1250.00,
      "currency": "DZD",
      "delivery_delay": 30
    }
  ],
  "pv_reference": "PV-2024-087",
  "hash_sha256": "a3f8b2c1...",
  "conditions": "Livraison franco de port"
}</w:t>
      </w:r>
    </w:p>
    <w:p>
      <w:pPr>
        <w:pStyle w:val="Heading3"/>
        <w:spacing w:after="100" w:before="220"/>
      </w:pPr>
      <w:r>
        <w:rPr>
          <w:rFonts w:ascii="Arial" w:cs="Arial" w:eastAsia="Arial" w:hAnsi="Arial"/>
          <w:b/>
          <w:bCs/>
          <w:color w:val="2E75B6"/>
          <w:sz w:val="24"/>
          <w:szCs w:val="24"/>
        </w:rPr>
        <w:t xml:space="preserve">45.2 Template d'Email d'Invitation Fournisseur</w:t>
      </w:r>
    </w:p>
    <w:p>
      <w:pPr>
        <w:spacing w:after="80" w:before="80"/>
        <w:jc w:val="left"/>
      </w:pPr>
      <w:r>
        <w:rPr>
          <w:rFonts w:ascii="Arial" w:cs="Arial" w:eastAsia="Arial" w:hAnsi="Arial"/>
          <w:b w:val="false"/>
          <w:bCs w:val="false"/>
          <w:i w:val="false"/>
          <w:iCs w:val="false"/>
          <w:color w:val="222222"/>
          <w:sz w:val="22"/>
          <w:szCs w:val="22"/>
        </w:rPr>
        <w:t xml:space="preserve">Objet : Invitation à participer à la consultation [RFQ-XXXX] — [Intitulé de la consultation]</w:t>
      </w:r>
    </w:p>
    <w:p>
      <w:pPr>
        <w:spacing w:after="80" w:before="80"/>
        <w:jc w:val="left"/>
      </w:pPr>
      <w:r>
        <w:rPr>
          <w:rFonts w:ascii="Arial" w:cs="Arial" w:eastAsia="Arial" w:hAnsi="Arial"/>
          <w:b w:val="false"/>
          <w:bCs w:val="false"/>
          <w:i w:val="false"/>
          <w:iCs w:val="false"/>
          <w:color w:val="222222"/>
          <w:sz w:val="22"/>
          <w:szCs w:val="22"/>
        </w:rPr>
        <w:t xml:space="preserve">Corps :</w:t>
      </w:r>
    </w:p>
    <w:p>
      <w:pPr>
        <w:spacing w:after="80" w:before="80"/>
        <w:jc w:val="left"/>
      </w:pPr>
      <w:r>
        <w:rPr>
          <w:rFonts w:ascii="Arial" w:cs="Arial" w:eastAsia="Arial" w:hAnsi="Arial"/>
          <w:b w:val="false"/>
          <w:bCs w:val="false"/>
          <w:i w:val="false"/>
          <w:iCs w:val="false"/>
          <w:color w:val="222222"/>
          <w:sz w:val="22"/>
          <w:szCs w:val="22"/>
        </w:rPr>
        <w:t xml:space="preserve">Madame, Monsieur,</w:t>
      </w:r>
    </w:p>
    <w:p>
      <w:pPr>
        <w:spacing w:after="80" w:before="80"/>
        <w:jc w:val="left"/>
      </w:pPr>
      <w:r>
        <w:rPr>
          <w:rFonts w:ascii="Arial" w:cs="Arial" w:eastAsia="Arial" w:hAnsi="Arial"/>
          <w:b w:val="false"/>
          <w:bCs w:val="false"/>
          <w:i w:val="false"/>
          <w:iCs w:val="false"/>
          <w:color w:val="222222"/>
          <w:sz w:val="22"/>
          <w:szCs w:val="22"/>
        </w:rPr>
        <w:t xml:space="preserve">Vous êtes invité(e) à participer à la consultation réference [RFQ-XXXX] lancée par [Nom de l'organisation].</w:t>
      </w:r>
    </w:p>
    <w:p>
      <w:pPr>
        <w:spacing w:after="80" w:before="80"/>
        <w:jc w:val="left"/>
      </w:pPr>
      <w:r>
        <w:rPr>
          <w:rFonts w:ascii="Arial" w:cs="Arial" w:eastAsia="Arial" w:hAnsi="Arial"/>
          <w:b w:val="false"/>
          <w:bCs w:val="false"/>
          <w:i w:val="false"/>
          <w:iCs w:val="false"/>
          <w:color w:val="222222"/>
          <w:sz w:val="22"/>
          <w:szCs w:val="22"/>
        </w:rPr>
        <w:t xml:space="preserve">Accédez au portail sécurisé pour consulter les documents et déposer votre offre avant le [Date et heure limite].</w:t>
      </w:r>
    </w:p>
    <w:p>
      <w:pPr>
        <w:spacing w:after="80" w:before="80"/>
        <w:jc w:val="left"/>
      </w:pPr>
      <w:r>
        <w:rPr>
          <w:rFonts w:ascii="Arial" w:cs="Arial" w:eastAsia="Arial" w:hAnsi="Arial"/>
          <w:b w:val="false"/>
          <w:bCs w:val="false"/>
          <w:i w:val="false"/>
          <w:iCs w:val="false"/>
          <w:color w:val="222222"/>
          <w:sz w:val="22"/>
          <w:szCs w:val="22"/>
        </w:rPr>
        <w:t xml:space="preserve">Lien d'accès sécurisé : [LIEN_UNIQUE_TRAÇABLE]</w:t>
      </w:r>
    </w:p>
    <w:p>
      <w:pPr>
        <w:spacing w:after="80" w:before="80"/>
        <w:jc w:val="left"/>
      </w:pPr>
      <w:r>
        <w:rPr>
          <w:rFonts w:ascii="Arial" w:cs="Arial" w:eastAsia="Arial" w:hAnsi="Arial"/>
          <w:b w:val="false"/>
          <w:bCs w:val="false"/>
          <w:i w:val="false"/>
          <w:iCs w:val="false"/>
          <w:color w:val="222222"/>
          <w:sz w:val="22"/>
          <w:szCs w:val="22"/>
        </w:rPr>
        <w:t xml:space="preserve">Ce lien est personnel et ne peut être partagé. Il expire automatiquement après la date limite de dépôt.</w:t>
      </w:r>
    </w:p>
    <w:p>
      <w:pPr>
        <w:spacing w:after="80" w:before="80"/>
        <w:jc w:val="left"/>
      </w:pPr>
      <w:r>
        <w:rPr>
          <w:rFonts w:ascii="Arial" w:cs="Arial" w:eastAsia="Arial" w:hAnsi="Arial"/>
          <w:b w:val="false"/>
          <w:bCs w:val="false"/>
          <w:i w:val="false"/>
          <w:iCs w:val="false"/>
          <w:color w:val="222222"/>
          <w:sz w:val="22"/>
          <w:szCs w:val="22"/>
        </w:rPr>
        <w:t xml:space="preserve">Cordialement,
Le Département Achats</w:t>
      </w:r>
    </w:p>
    <w:p>
      <w:pPr>
        <w:pStyle w:val="Heading3"/>
        <w:spacing w:after="100" w:before="220"/>
      </w:pPr>
      <w:r>
        <w:rPr>
          <w:rFonts w:ascii="Arial" w:cs="Arial" w:eastAsia="Arial" w:hAnsi="Arial"/>
          <w:b/>
          <w:bCs/>
          <w:color w:val="2E75B6"/>
          <w:sz w:val="24"/>
          <w:szCs w:val="24"/>
        </w:rPr>
        <w:t xml:space="preserve">45.3 Checklist de Déploiement</w:t>
      </w:r>
    </w:p>
    <w:p>
      <w:pPr>
        <w:pStyle w:val="ListParagraph"/>
        <w:numPr>
          <w:ilvl w:val="0"/>
          <w:numId w:val="2"/>
        </w:numPr>
        <w:spacing w:after="60" w:before="60"/>
      </w:pPr>
      <w:r>
        <w:rPr>
          <w:rFonts w:ascii="Arial" w:cs="Arial" w:eastAsia="Arial" w:hAnsi="Arial"/>
          <w:color w:val="222222"/>
          <w:sz w:val="22"/>
          <w:szCs w:val="22"/>
        </w:rPr>
        <w:t xml:space="preserve">Infrastructure serveurs configurée et durcie (hardening OS)</w:t>
      </w:r>
    </w:p>
    <w:p>
      <w:pPr>
        <w:pStyle w:val="ListParagraph"/>
        <w:numPr>
          <w:ilvl w:val="0"/>
          <w:numId w:val="2"/>
        </w:numPr>
        <w:spacing w:after="60" w:before="60"/>
      </w:pPr>
      <w:r>
        <w:rPr>
          <w:rFonts w:ascii="Arial" w:cs="Arial" w:eastAsia="Arial" w:hAnsi="Arial"/>
          <w:color w:val="222222"/>
          <w:sz w:val="22"/>
          <w:szCs w:val="22"/>
        </w:rPr>
        <w:t xml:space="preserve">Zones réseau séparées : DMZ, LAN, ERP, Administration</w:t>
      </w:r>
    </w:p>
    <w:p>
      <w:pPr>
        <w:pStyle w:val="ListParagraph"/>
        <w:numPr>
          <w:ilvl w:val="0"/>
          <w:numId w:val="2"/>
        </w:numPr>
        <w:spacing w:after="60" w:before="60"/>
      </w:pPr>
      <w:r>
        <w:rPr>
          <w:rFonts w:ascii="Arial" w:cs="Arial" w:eastAsia="Arial" w:hAnsi="Arial"/>
          <w:color w:val="222222"/>
          <w:sz w:val="22"/>
          <w:szCs w:val="22"/>
        </w:rPr>
        <w:t xml:space="preserve">Firewall configuré avec règles inter-zones validées</w:t>
      </w:r>
    </w:p>
    <w:p>
      <w:pPr>
        <w:pStyle w:val="ListParagraph"/>
        <w:numPr>
          <w:ilvl w:val="0"/>
          <w:numId w:val="2"/>
        </w:numPr>
        <w:spacing w:after="60" w:before="60"/>
      </w:pPr>
      <w:r>
        <w:rPr>
          <w:rFonts w:ascii="Arial" w:cs="Arial" w:eastAsia="Arial" w:hAnsi="Arial"/>
          <w:color w:val="222222"/>
          <w:sz w:val="22"/>
          <w:szCs w:val="22"/>
        </w:rPr>
        <w:t xml:space="preserve">Nginx + ModSecurity déployé en DMZ</w:t>
      </w:r>
    </w:p>
    <w:p>
      <w:pPr>
        <w:pStyle w:val="ListParagraph"/>
        <w:numPr>
          <w:ilvl w:val="0"/>
          <w:numId w:val="2"/>
        </w:numPr>
        <w:spacing w:after="60" w:before="60"/>
      </w:pPr>
      <w:r>
        <w:rPr>
          <w:rFonts w:ascii="Arial" w:cs="Arial" w:eastAsia="Arial" w:hAnsi="Arial"/>
          <w:color w:val="222222"/>
          <w:sz w:val="22"/>
          <w:szCs w:val="22"/>
        </w:rPr>
        <w:t xml:space="preserve">PostgreSQL déployé avec chiffrement TDE activé</w:t>
      </w:r>
    </w:p>
    <w:p>
      <w:pPr>
        <w:pStyle w:val="ListParagraph"/>
        <w:numPr>
          <w:ilvl w:val="0"/>
          <w:numId w:val="2"/>
        </w:numPr>
        <w:spacing w:after="60" w:before="60"/>
      </w:pPr>
      <w:r>
        <w:rPr>
          <w:rFonts w:ascii="Arial" w:cs="Arial" w:eastAsia="Arial" w:hAnsi="Arial"/>
          <w:color w:val="222222"/>
          <w:sz w:val="22"/>
          <w:szCs w:val="22"/>
        </w:rPr>
        <w:t xml:space="preserve">MinIO déployé avec chiffrement SSE-C</w:t>
      </w:r>
    </w:p>
    <w:p>
      <w:pPr>
        <w:pStyle w:val="ListParagraph"/>
        <w:numPr>
          <w:ilvl w:val="0"/>
          <w:numId w:val="2"/>
        </w:numPr>
        <w:spacing w:after="60" w:before="60"/>
      </w:pPr>
      <w:r>
        <w:rPr>
          <w:rFonts w:ascii="Arial" w:cs="Arial" w:eastAsia="Arial" w:hAnsi="Arial"/>
          <w:color w:val="222222"/>
          <w:sz w:val="22"/>
          <w:szCs w:val="22"/>
        </w:rPr>
        <w:t xml:space="preserve">HashiCorp Vault déployé et configuré</w:t>
      </w:r>
    </w:p>
    <w:p>
      <w:pPr>
        <w:pStyle w:val="ListParagraph"/>
        <w:numPr>
          <w:ilvl w:val="0"/>
          <w:numId w:val="2"/>
        </w:numPr>
        <w:spacing w:after="60" w:before="60"/>
      </w:pPr>
      <w:r>
        <w:rPr>
          <w:rFonts w:ascii="Arial" w:cs="Arial" w:eastAsia="Arial" w:hAnsi="Arial"/>
          <w:color w:val="222222"/>
          <w:sz w:val="22"/>
          <w:szCs w:val="22"/>
        </w:rPr>
        <w:t xml:space="preserve">HSM physique configuré et testé (signature, vérification)</w:t>
      </w:r>
    </w:p>
    <w:p>
      <w:pPr>
        <w:pStyle w:val="ListParagraph"/>
        <w:numPr>
          <w:ilvl w:val="0"/>
          <w:numId w:val="2"/>
        </w:numPr>
        <w:spacing w:after="60" w:before="60"/>
      </w:pPr>
      <w:r>
        <w:rPr>
          <w:rFonts w:ascii="Arial" w:cs="Arial" w:eastAsia="Arial" w:hAnsi="Arial"/>
          <w:color w:val="222222"/>
          <w:sz w:val="22"/>
          <w:szCs w:val="22"/>
        </w:rPr>
        <w:t xml:space="preserve">PKI interne configurée (CA racine, CA intermédiaire, certificats services)</w:t>
      </w:r>
    </w:p>
    <w:p>
      <w:pPr>
        <w:pStyle w:val="ListParagraph"/>
        <w:numPr>
          <w:ilvl w:val="0"/>
          <w:numId w:val="2"/>
        </w:numPr>
        <w:spacing w:after="60" w:before="60"/>
      </w:pPr>
      <w:r>
        <w:rPr>
          <w:rFonts w:ascii="Arial" w:cs="Arial" w:eastAsia="Arial" w:hAnsi="Arial"/>
          <w:color w:val="222222"/>
          <w:sz w:val="22"/>
          <w:szCs w:val="22"/>
        </w:rPr>
        <w:t xml:space="preserve">Active Directory / LDAP intégré et testé</w:t>
      </w:r>
    </w:p>
    <w:p>
      <w:pPr>
        <w:pStyle w:val="ListParagraph"/>
        <w:numPr>
          <w:ilvl w:val="0"/>
          <w:numId w:val="2"/>
        </w:numPr>
        <w:spacing w:after="60" w:before="60"/>
      </w:pPr>
      <w:r>
        <w:rPr>
          <w:rFonts w:ascii="Arial" w:cs="Arial" w:eastAsia="Arial" w:hAnsi="Arial"/>
          <w:color w:val="222222"/>
          <w:sz w:val="22"/>
          <w:szCs w:val="22"/>
        </w:rPr>
        <w:t xml:space="preserve">SIEM (Wazuh) configuré et réception des logs vérifiée</w:t>
      </w:r>
    </w:p>
    <w:p>
      <w:pPr>
        <w:pStyle w:val="ListParagraph"/>
        <w:numPr>
          <w:ilvl w:val="0"/>
          <w:numId w:val="2"/>
        </w:numPr>
        <w:spacing w:after="60" w:before="60"/>
      </w:pPr>
      <w:r>
        <w:rPr>
          <w:rFonts w:ascii="Arial" w:cs="Arial" w:eastAsia="Arial" w:hAnsi="Arial"/>
          <w:color w:val="222222"/>
          <w:sz w:val="22"/>
          <w:szCs w:val="22"/>
        </w:rPr>
        <w:t xml:space="preserve">NTP configuré et synchronisation vérifiée</w:t>
      </w:r>
    </w:p>
    <w:p>
      <w:pPr>
        <w:pStyle w:val="ListParagraph"/>
        <w:numPr>
          <w:ilvl w:val="0"/>
          <w:numId w:val="2"/>
        </w:numPr>
        <w:spacing w:after="60" w:before="60"/>
      </w:pPr>
      <w:r>
        <w:rPr>
          <w:rFonts w:ascii="Arial" w:cs="Arial" w:eastAsia="Arial" w:hAnsi="Arial"/>
          <w:color w:val="222222"/>
          <w:sz w:val="22"/>
          <w:szCs w:val="22"/>
        </w:rPr>
        <w:t xml:space="preserve">SMTP configuré et envoi d'emails test validé</w:t>
      </w:r>
    </w:p>
    <w:p>
      <w:pPr>
        <w:pStyle w:val="ListParagraph"/>
        <w:numPr>
          <w:ilvl w:val="0"/>
          <w:numId w:val="2"/>
        </w:numPr>
        <w:spacing w:after="60" w:before="60"/>
      </w:pPr>
      <w:r>
        <w:rPr>
          <w:rFonts w:ascii="Arial" w:cs="Arial" w:eastAsia="Arial" w:hAnsi="Arial"/>
          <w:color w:val="222222"/>
          <w:sz w:val="22"/>
          <w:szCs w:val="22"/>
        </w:rPr>
        <w:t xml:space="preserve">Connecteur ERP configuré et testé (lecture référentiel + transmission output)</w:t>
      </w:r>
    </w:p>
    <w:p>
      <w:pPr>
        <w:pStyle w:val="ListParagraph"/>
        <w:numPr>
          <w:ilvl w:val="0"/>
          <w:numId w:val="2"/>
        </w:numPr>
        <w:spacing w:after="60" w:before="60"/>
      </w:pPr>
      <w:r>
        <w:rPr>
          <w:rFonts w:ascii="Arial" w:cs="Arial" w:eastAsia="Arial" w:hAnsi="Arial"/>
          <w:color w:val="222222"/>
          <w:sz w:val="22"/>
          <w:szCs w:val="22"/>
        </w:rPr>
        <w:t xml:space="preserve">Sauvegardes automatiques configurées et premier test de restauration réussi</w:t>
      </w:r>
    </w:p>
    <w:p>
      <w:pPr>
        <w:pStyle w:val="ListParagraph"/>
        <w:numPr>
          <w:ilvl w:val="0"/>
          <w:numId w:val="2"/>
        </w:numPr>
        <w:spacing w:after="60" w:before="60"/>
      </w:pPr>
      <w:r>
        <w:rPr>
          <w:rFonts w:ascii="Arial" w:cs="Arial" w:eastAsia="Arial" w:hAnsi="Arial"/>
          <w:color w:val="222222"/>
          <w:sz w:val="22"/>
          <w:szCs w:val="22"/>
        </w:rPr>
        <w:t xml:space="preserve">Monitoring (Prometheus + Grafana) opérationnel avec alertes configurées</w:t>
      </w:r>
    </w:p>
    <w:p>
      <w:pPr>
        <w:pStyle w:val="ListParagraph"/>
        <w:numPr>
          <w:ilvl w:val="0"/>
          <w:numId w:val="2"/>
        </w:numPr>
        <w:spacing w:after="60" w:before="60"/>
      </w:pPr>
      <w:r>
        <w:rPr>
          <w:rFonts w:ascii="Arial" w:cs="Arial" w:eastAsia="Arial" w:hAnsi="Arial"/>
          <w:color w:val="222222"/>
          <w:sz w:val="22"/>
          <w:szCs w:val="22"/>
        </w:rPr>
        <w:t xml:space="preserve">Scan de vulnérabilités initial réalisé, résultats traités</w:t>
      </w:r>
    </w:p>
    <w:p>
      <w:pPr>
        <w:pStyle w:val="ListParagraph"/>
        <w:numPr>
          <w:ilvl w:val="0"/>
          <w:numId w:val="2"/>
        </w:numPr>
        <w:spacing w:after="60" w:before="60"/>
      </w:pPr>
      <w:r>
        <w:rPr>
          <w:rFonts w:ascii="Arial" w:cs="Arial" w:eastAsia="Arial" w:hAnsi="Arial"/>
          <w:color w:val="222222"/>
          <w:sz w:val="22"/>
          <w:szCs w:val="22"/>
        </w:rPr>
        <w:t xml:space="preserve">Formation administrateurs réalisée</w:t>
      </w:r>
    </w:p>
    <w:p>
      <w:pPr>
        <w:pStyle w:val="ListParagraph"/>
        <w:numPr>
          <w:ilvl w:val="0"/>
          <w:numId w:val="2"/>
        </w:numPr>
        <w:spacing w:after="60" w:before="60"/>
      </w:pPr>
      <w:r>
        <w:rPr>
          <w:rFonts w:ascii="Arial" w:cs="Arial" w:eastAsia="Arial" w:hAnsi="Arial"/>
          <w:color w:val="222222"/>
          <w:sz w:val="22"/>
          <w:szCs w:val="22"/>
        </w:rPr>
        <w:t xml:space="preserve">PV de mise en production signé</w:t>
      </w:r>
    </w:p>
    <w:p>
      <w:pPr>
        <w:spacing w:after="0" w:before="200"/>
      </w:pPr>
      <w:r>
        <w:t xml:space="preserve"/>
      </w:r>
    </w:p>
    <w:p>
      <w:pPr>
        <w:spacing w:after="200" w:before="400"/>
        <w:jc w:val="center"/>
      </w:pPr>
      <w:r>
        <w:rPr>
          <w:rFonts w:ascii="Arial" w:cs="Arial" w:eastAsia="Arial" w:hAnsi="Arial"/>
          <w:b/>
          <w:bCs/>
          <w:color w:val="1B3A6B"/>
          <w:sz w:val="24"/>
          <w:szCs w:val="24"/>
        </w:rPr>
        <w:t xml:space="preserve">— Fin du Cahier des Charges Officiel PROCURA —</w:t>
      </w:r>
    </w:p>
    <w:p>
      <w:pPr>
        <w:jc w:val="center"/>
      </w:pPr>
      <w:r>
        <w:rPr>
          <w:rFonts w:ascii="Arial" w:cs="Arial" w:eastAsia="Arial" w:hAnsi="Arial"/>
          <w:i/>
          <w:iCs/>
          <w:color w:val="404040"/>
          <w:sz w:val="20"/>
          <w:szCs w:val="20"/>
        </w:rPr>
        <w:t xml:space="preserve">Version 1.0 — Document Confidentiel</w:t>
      </w:r>
    </w:p>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jc w:val="center"/>
    </w:pPr>
    <w:r>
      <w:rPr>
        <w:rFonts w:ascii="Arial" w:cs="Arial" w:eastAsia="Arial" w:hAnsi="Arial"/>
        <w:color w:val="404040"/>
        <w:sz w:val="16"/>
        <w:szCs w:val="16"/>
      </w:rPr>
      <w:t xml:space="preserve">PROCURA — Cahier des Charges Officiel v1.0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jc w:val="right"/>
    </w:pPr>
    <w:r>
      <w:rPr>
        <w:rFonts w:ascii="Arial" w:cs="Arial" w:eastAsia="Arial" w:hAnsi="Arial"/>
        <w:color w:val="1B3A6B"/>
        <w:sz w:val="18"/>
        <w:szCs w:val="18"/>
      </w:rPr>
      <w:t xml:space="preserve">PROCURA — Cahier des Charges Officiel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B3A6B"/>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E75B6"/>
      <w:sz w:val="24"/>
      <w:szCs w:val="24"/>
    </w:rPr>
  </w:style>
  <w:style w:type="paragraph" w:styleId="Heading4">
    <w:name w:val="Heading 4"/>
    <w:basedOn w:val="Normal"/>
    <w:next w:val="Normal"/>
    <w:qFormat/>
    <w:pPr>
      <w:spacing w:after="80" w:before="160"/>
      <w:outlineLvl w:val="3"/>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2026-06-27T16:06:37.950Z</dcterms:created>
  <dcterms:modified xsi:type="dcterms:W3CDTF">2026-06-27T16:06:37.950Z</dcterms:modified>
</cp:coreProperties>
</file>

<file path=docProps/custom.xml><?xml version="1.0" encoding="utf-8"?>
<Properties xmlns="http://schemas.openxmlformats.org/officeDocument/2006/custom-properties" xmlns:vt="http://schemas.openxmlformats.org/officeDocument/2006/docPropsVTypes"/>
</file>