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ukdsxvyxnrut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PROCURECHAIN – PRD &amp; TECHNICAL DESIGN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wl9rjdyoa04k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PRODUCT GOAL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any organization</w:t>
      </w:r>
      <w:r w:rsidDel="00000000" w:rsidR="00000000" w:rsidRPr="00000000">
        <w:rPr>
          <w:rtl w:val="0"/>
        </w:rPr>
        <w:t xml:space="preserve"> to create structured, auditable RFQs and Tenders across </w:t>
      </w:r>
      <w:r w:rsidDel="00000000" w:rsidR="00000000" w:rsidRPr="00000000">
        <w:rPr>
          <w:b w:val="1"/>
          <w:bCs w:val="1"/>
          <w:rtl w:val="0"/>
        </w:rPr>
        <w:t xml:space="preserve">all procurement categories</w:t>
      </w:r>
      <w:r w:rsidDel="00000000" w:rsidR="00000000" w:rsidRPr="00000000">
        <w:rPr>
          <w:rtl w:val="0"/>
        </w:rPr>
        <w:t xml:space="preserve">, producing supplier-ready pricing and AI-readable data.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eu02e52joimm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KEY PERSONAS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/ Procurement Officer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 / Compliance Officer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tsmtr88zzbpt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IN-SCOPE FEATURES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Universal category → subcategory → form selection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Archetype-based dynamic forms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Subcategory rule engine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mirrored response forms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RFQ/Tender pack generation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 comparison &amp; evaluation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 logging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assistance (non-decision making)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i1smz1oqg6vm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OUT OF SCOPE (PHASE 1)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lifecycle management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automation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eSignature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mtyfiurlhvnz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RULES ENGINE (CORE DESIGN)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Level-3 subcategory</w:t>
      </w:r>
      <w:r w:rsidDel="00000000" w:rsidR="00000000" w:rsidRPr="00000000">
        <w:rPr>
          <w:rtl w:val="0"/>
        </w:rPr>
        <w:t xml:space="preserve"> has a Rule Pack: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Archetype (A–G)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fields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values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line templates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bpMxfVFjgB5fsYQn9kOEYkqXTw==">CgMxLjAyDmgudWtkc3h2eXhucnV0Mg5oLndsOXJqZHlvYTA0azIOaC5ldTAyZTUyam9pbW0yDmgudHNtdHI4OHp6YnB0Mg5oLmkxc216MW9xZzZ2bTIOaC5tdHlmaXVybGh2bno4AHIhMUY3ek9ySXNXMXg2U1B1cldJTVpkUGg0eWxOQnd4cjhS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