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 B – SERVICES CLASSIFICATION FRAMEWORK (V1)</w:t>
      </w:r>
    </w:p>
    <w:p>
      <w:pPr>
        <w:spacing w:after="160"/>
      </w:pPr>
      <w:r>
        <w:t>Exhaustive service procurement definitions: quoting, evaluation, invoicing, compliance, and examples.</w:t>
      </w:r>
    </w:p>
    <w:p>
      <w:pPr>
        <w:pStyle w:val="Heading1"/>
      </w:pPr>
      <w:r>
        <w:t>B1. Service families (locked)</w:t>
      </w:r>
    </w:p>
    <w:p>
      <w:r>
        <w:t>ProcureChain classifies services into 6 families. Each family defines the form structure, pricing model, evaluation logic, and invoicing validation rules.</w:t>
      </w:r>
    </w:p>
    <w:p/>
    <w:p>
      <w:r>
        <w:t>1) Measurable Services (rate × quantity)</w:t>
      </w:r>
    </w:p>
    <w:p>
      <w:r>
        <w:t>2) Labour / Manpower (hourly/daily rate card)</w:t>
      </w:r>
    </w:p>
    <w:p>
      <w:r>
        <w:t>3) Professional &amp; Advisory (scope-based)</w:t>
      </w:r>
    </w:p>
    <w:p>
      <w:r>
        <w:t>4) Maintenance &amp; SLA-Based (response + uptime)</w:t>
      </w:r>
    </w:p>
    <w:p>
      <w:r>
        <w:t>5) Project-Based Services / Works (milestones)</w:t>
      </w:r>
    </w:p>
    <w:p>
      <w:r>
        <w:t>6) Hybrid Services (materials + labour)</w:t>
      </w:r>
    </w:p>
    <w:p>
      <w:pPr>
        <w:pStyle w:val="Heading1"/>
      </w:pPr>
      <w:r>
        <w:t>B2. Quoting models and validation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Service Family</w:t>
            </w:r>
          </w:p>
        </w:tc>
        <w:tc>
          <w:tcPr>
            <w:tcW w:type="dxa" w:w="1440"/>
          </w:tcPr>
          <w:p>
            <w:r>
              <w:t>Typical Pricing Model</w:t>
            </w:r>
          </w:p>
        </w:tc>
        <w:tc>
          <w:tcPr>
            <w:tcW w:type="dxa" w:w="1440"/>
          </w:tcPr>
          <w:p>
            <w:r>
              <w:t>Primary Archetype</w:t>
            </w:r>
          </w:p>
        </w:tc>
        <w:tc>
          <w:tcPr>
            <w:tcW w:type="dxa" w:w="1440"/>
          </w:tcPr>
          <w:p>
            <w:r>
              <w:t>Mandatory RFQ/Bid Fields</w:t>
            </w:r>
          </w:p>
        </w:tc>
        <w:tc>
          <w:tcPr>
            <w:tcW w:type="dxa" w:w="1440"/>
          </w:tcPr>
          <w:p>
            <w:r>
              <w:t>Evaluation Focus</w:t>
            </w:r>
          </w:p>
        </w:tc>
        <w:tc>
          <w:tcPr>
            <w:tcW w:type="dxa" w:w="1440"/>
          </w:tcPr>
          <w:p>
            <w:r>
              <w:t>Invoice Validation Rule</w:t>
            </w:r>
          </w:p>
        </w:tc>
      </w:tr>
      <w:tr>
        <w:tc>
          <w:tcPr>
            <w:tcW w:type="dxa" w:w="1440"/>
          </w:tcPr>
          <w:p>
            <w:r>
              <w:t>Measurable Services</w:t>
            </w:r>
          </w:p>
        </w:tc>
        <w:tc>
          <w:tcPr>
            <w:tcW w:type="dxa" w:w="1440"/>
          </w:tcPr>
          <w:p>
            <w:r>
              <w:t>Unit rate × measured quantity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Rate, unit, measured qty, site, method statement (if needed)</w:t>
            </w:r>
          </w:p>
        </w:tc>
        <w:tc>
          <w:tcPr>
            <w:tcW w:type="dxa" w:w="1440"/>
          </w:tcPr>
          <w:p>
            <w:r>
              <w:t>Compare rate and total; verify measurement basis; check mobilisation charges</w:t>
            </w:r>
          </w:p>
        </w:tc>
        <w:tc>
          <w:tcPr>
            <w:tcW w:type="dxa" w:w="1440"/>
          </w:tcPr>
          <w:p>
            <w:r>
              <w:t>Invoice must reference measured qty evidence</w:t>
            </w:r>
          </w:p>
        </w:tc>
      </w:tr>
      <w:tr>
        <w:tc>
          <w:tcPr>
            <w:tcW w:type="dxa" w:w="1440"/>
          </w:tcPr>
          <w:p>
            <w:r>
              <w:t>Labour / Manpower</w:t>
            </w:r>
          </w:p>
        </w:tc>
        <w:tc>
          <w:tcPr>
            <w:tcW w:type="dxa" w:w="1440"/>
          </w:tcPr>
          <w:p>
            <w:r>
              <w:t>Rate card × hours/days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Role, grade, rate, hours, overtime rules, attendance logs</w:t>
            </w:r>
          </w:p>
        </w:tc>
        <w:tc>
          <w:tcPr>
            <w:tcW w:type="dxa" w:w="1440"/>
          </w:tcPr>
          <w:p>
            <w:r>
              <w:t>Compare blended rate; availability; compliance credentials</w:t>
            </w:r>
          </w:p>
        </w:tc>
        <w:tc>
          <w:tcPr>
            <w:tcW w:type="dxa" w:w="1440"/>
          </w:tcPr>
          <w:p>
            <w:r>
              <w:t>Invoice validated against timesheets/attendance</w:t>
            </w:r>
          </w:p>
        </w:tc>
      </w:tr>
      <w:tr>
        <w:tc>
          <w:tcPr>
            <w:tcW w:type="dxa" w:w="1440"/>
          </w:tcPr>
          <w:p>
            <w:r>
              <w:t>Professional &amp; Advisory</w:t>
            </w:r>
          </w:p>
        </w:tc>
        <w:tc>
          <w:tcPr>
            <w:tcW w:type="dxa" w:w="1440"/>
          </w:tcPr>
          <w:p>
            <w:r>
              <w:t>Fixed fee or retainer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Scope, deliverables, timeline, team CVs, assumptions</w:t>
            </w:r>
          </w:p>
        </w:tc>
        <w:tc>
          <w:tcPr>
            <w:tcW w:type="dxa" w:w="1440"/>
          </w:tcPr>
          <w:p>
            <w:r>
              <w:t>Technical scoring + price; experience weight; deliverable fit</w:t>
            </w:r>
          </w:p>
        </w:tc>
        <w:tc>
          <w:tcPr>
            <w:tcW w:type="dxa" w:w="1440"/>
          </w:tcPr>
          <w:p>
            <w:r>
              <w:t>Invoice validated against deliverable acceptance</w:t>
            </w:r>
          </w:p>
        </w:tc>
      </w:tr>
      <w:tr>
        <w:tc>
          <w:tcPr>
            <w:tcW w:type="dxa" w:w="1440"/>
          </w:tcPr>
          <w:p>
            <w:r>
              <w:t>Maintenance &amp; SLA-Based</w:t>
            </w:r>
          </w:p>
        </w:tc>
        <w:tc>
          <w:tcPr>
            <w:tcW w:type="dxa" w:w="1440"/>
          </w:tcPr>
          <w:p>
            <w:r>
              <w:t>Monthly fee + SLA penalties/bonuses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Asset list, SLA targets, response time, coverage, exclusions</w:t>
            </w:r>
          </w:p>
        </w:tc>
        <w:tc>
          <w:tcPr>
            <w:tcW w:type="dxa" w:w="1440"/>
          </w:tcPr>
          <w:p>
            <w:r>
              <w:t>SLA weight high; price secondary; risk/history relevant</w:t>
            </w:r>
          </w:p>
        </w:tc>
        <w:tc>
          <w:tcPr>
            <w:tcW w:type="dxa" w:w="1440"/>
          </w:tcPr>
          <w:p>
            <w:r>
              <w:t>Invoice validated against SLA performance &amp; call logs</w:t>
            </w:r>
          </w:p>
        </w:tc>
      </w:tr>
      <w:tr>
        <w:tc>
          <w:tcPr>
            <w:tcW w:type="dxa" w:w="1440"/>
          </w:tcPr>
          <w:p>
            <w:r>
              <w:t>Project-Based Services / Works</w:t>
            </w:r>
          </w:p>
        </w:tc>
        <w:tc>
          <w:tcPr>
            <w:tcW w:type="dxa" w:w="1440"/>
          </w:tcPr>
          <w:p>
            <w:r>
              <w:t>Milestones + progress payments</w:t>
            </w:r>
          </w:p>
        </w:tc>
        <w:tc>
          <w:tcPr>
            <w:tcW w:type="dxa" w:w="1440"/>
          </w:tcPr>
          <w:p>
            <w:r>
              <w:t>E</w:t>
            </w:r>
          </w:p>
        </w:tc>
        <w:tc>
          <w:tcPr>
            <w:tcW w:type="dxa" w:w="1440"/>
          </w:tcPr>
          <w:p>
            <w:r>
              <w:t>BoQ/SoW, milestones, retention, site conditions</w:t>
            </w:r>
          </w:p>
        </w:tc>
        <w:tc>
          <w:tcPr>
            <w:tcW w:type="dxa" w:w="1440"/>
          </w:tcPr>
          <w:p>
            <w:r>
              <w:t>Technical compliance mandatory; schedule &amp; methodology; price</w:t>
            </w:r>
          </w:p>
        </w:tc>
        <w:tc>
          <w:tcPr>
            <w:tcW w:type="dxa" w:w="1440"/>
          </w:tcPr>
          <w:p>
            <w:r>
              <w:t>Invoice validated against milestone sign-off</w:t>
            </w:r>
          </w:p>
        </w:tc>
      </w:tr>
      <w:tr>
        <w:tc>
          <w:tcPr>
            <w:tcW w:type="dxa" w:w="1440"/>
          </w:tcPr>
          <w:p>
            <w:r>
              <w:t>Hybrid Services</w:t>
            </w:r>
          </w:p>
        </w:tc>
        <w:tc>
          <w:tcPr>
            <w:tcW w:type="dxa" w:w="1440"/>
          </w:tcPr>
          <w:p>
            <w:r>
              <w:t>Materials + labour separated</w:t>
            </w:r>
          </w:p>
        </w:tc>
        <w:tc>
          <w:tcPr>
            <w:tcW w:type="dxa" w:w="1440"/>
          </w:tcPr>
          <w:p>
            <w:r>
              <w:t>B/C/E</w:t>
            </w:r>
          </w:p>
        </w:tc>
        <w:tc>
          <w:tcPr>
            <w:tcW w:type="dxa" w:w="1440"/>
          </w:tcPr>
          <w:p>
            <w:r>
              <w:t>Material lines + labour rate lines; clear separation</w:t>
            </w:r>
          </w:p>
        </w:tc>
        <w:tc>
          <w:tcPr>
            <w:tcW w:type="dxa" w:w="1440"/>
          </w:tcPr>
          <w:p>
            <w:r>
              <w:t>Evaluate materials as goods and labour as services; landed cost</w:t>
            </w:r>
          </w:p>
        </w:tc>
        <w:tc>
          <w:tcPr>
            <w:tcW w:type="dxa" w:w="1440"/>
          </w:tcPr>
          <w:p>
            <w:r>
              <w:t>Invoice validated by line-type rules</w:t>
            </w:r>
          </w:p>
        </w:tc>
      </w:tr>
    </w:tbl>
    <w:p>
      <w:pPr>
        <w:pStyle w:val="Heading1"/>
      </w:pPr>
      <w:r>
        <w:t>B3. Evaluation templates (government-ready)</w:t>
      </w:r>
    </w:p>
    <w:p>
      <w:r>
        <w:t>Evaluation templates are selectable per RFQ (policy-driven):</w:t>
      </w:r>
    </w:p>
    <w:p>
      <w:r>
        <w:t>- Price-only (commoditised measurable services)</w:t>
      </w:r>
    </w:p>
    <w:p>
      <w:r>
        <w:t>- Technical + Price (professional services, maintenance)</w:t>
      </w:r>
    </w:p>
    <w:p>
      <w:r>
        <w:t>- TCO / Risk-weighted (critical maintenance, compliance-heavy scopes)</w:t>
      </w:r>
    </w:p>
    <w:p/>
    <w:p>
      <w:r>
        <w:t>Government defaults:</w:t>
      </w:r>
    </w:p>
    <w:p>
      <w:r>
        <w:t>- Minimum compliance threshold required</w:t>
      </w:r>
    </w:p>
    <w:p>
      <w:r>
        <w:t>- Mandatory justification for single-source / emergency</w:t>
      </w:r>
    </w:p>
    <w:p>
      <w:r>
        <w:t>- Full audit pack export (scores + reasons)</w:t>
      </w:r>
    </w:p>
    <w:p>
      <w:pPr>
        <w:pStyle w:val="Heading1"/>
      </w:pPr>
      <w:r>
        <w:t>B4. Concrete service examples (how to quote)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 Example</w:t>
            </w:r>
          </w:p>
        </w:tc>
        <w:tc>
          <w:tcPr>
            <w:tcW w:type="dxa" w:w="2880"/>
          </w:tcPr>
          <w:p>
            <w:r>
              <w:t>What the RFQ must define</w:t>
            </w:r>
          </w:p>
        </w:tc>
        <w:tc>
          <w:tcPr>
            <w:tcW w:type="dxa" w:w="2880"/>
          </w:tcPr>
          <w:p>
            <w:r>
              <w:t>Typical quote structure</w:t>
            </w:r>
          </w:p>
        </w:tc>
      </w:tr>
      <w:tr>
        <w:tc>
          <w:tcPr>
            <w:tcW w:type="dxa" w:w="2880"/>
          </w:tcPr>
          <w:p>
            <w:r>
              <w:t>Cleaning (m²)</w:t>
            </w:r>
          </w:p>
        </w:tc>
        <w:tc>
          <w:tcPr>
            <w:tcW w:type="dxa" w:w="2880"/>
          </w:tcPr>
          <w:p>
            <w:r>
              <w:t>Site size, frequency, consumables included/excluded, staffing plan, SLA</w:t>
            </w:r>
          </w:p>
        </w:tc>
        <w:tc>
          <w:tcPr>
            <w:tcW w:type="dxa" w:w="2880"/>
          </w:tcPr>
          <w:p>
            <w:r>
              <w:t>Rate per m²/month; optional once-off deep clean</w:t>
            </w:r>
          </w:p>
        </w:tc>
      </w:tr>
      <w:tr>
        <w:tc>
          <w:tcPr>
            <w:tcW w:type="dxa" w:w="2880"/>
          </w:tcPr>
          <w:p>
            <w:r>
              <w:t>Electrical maintenance (SLA)</w:t>
            </w:r>
          </w:p>
        </w:tc>
        <w:tc>
          <w:tcPr>
            <w:tcW w:type="dxa" w:w="2880"/>
          </w:tcPr>
          <w:p>
            <w:r>
              <w:t>Assets, call-out window, response time, spares policy, compliance certificates</w:t>
            </w:r>
          </w:p>
        </w:tc>
        <w:tc>
          <w:tcPr>
            <w:tcW w:type="dxa" w:w="2880"/>
          </w:tcPr>
          <w:p>
            <w:r>
              <w:t>Monthly SLA fee + call-out rate card</w:t>
            </w:r>
          </w:p>
        </w:tc>
      </w:tr>
      <w:tr>
        <w:tc>
          <w:tcPr>
            <w:tcW w:type="dxa" w:w="2880"/>
          </w:tcPr>
          <w:p>
            <w:r>
              <w:t>Engineering consulting</w:t>
            </w:r>
          </w:p>
        </w:tc>
        <w:tc>
          <w:tcPr>
            <w:tcW w:type="dxa" w:w="2880"/>
          </w:tcPr>
          <w:p>
            <w:r>
              <w:t>Scope, deliverables, milestones, team CVs, assumptions</w:t>
            </w:r>
          </w:p>
        </w:tc>
        <w:tc>
          <w:tcPr>
            <w:tcW w:type="dxa" w:w="2880"/>
          </w:tcPr>
          <w:p>
            <w:r>
              <w:t>Fixed fee per deliverable + milestone payments</w:t>
            </w:r>
          </w:p>
        </w:tc>
      </w:tr>
      <w:tr>
        <w:tc>
          <w:tcPr>
            <w:tcW w:type="dxa" w:w="2880"/>
          </w:tcPr>
          <w:p>
            <w:r>
              <w:t>Security guarding</w:t>
            </w:r>
          </w:p>
        </w:tc>
        <w:tc>
          <w:tcPr>
            <w:tcW w:type="dxa" w:w="2880"/>
          </w:tcPr>
          <w:p>
            <w:r>
              <w:t>Post count, shift hours, overtime rules, PPE, compliance</w:t>
            </w:r>
          </w:p>
        </w:tc>
        <w:tc>
          <w:tcPr>
            <w:tcW w:type="dxa" w:w="2880"/>
          </w:tcPr>
          <w:p>
            <w:r>
              <w:t>Rate per guard-hour + supervision fee</w:t>
            </w:r>
          </w:p>
        </w:tc>
      </w:tr>
      <w:tr>
        <w:tc>
          <w:tcPr>
            <w:tcW w:type="dxa" w:w="2880"/>
          </w:tcPr>
          <w:p>
            <w:r>
              <w:t>Equipment hire</w:t>
            </w:r>
          </w:p>
        </w:tc>
        <w:tc>
          <w:tcPr>
            <w:tcW w:type="dxa" w:w="2880"/>
          </w:tcPr>
          <w:p>
            <w:r>
              <w:t>Equipment type, duration, operator included?, mobilisation</w:t>
            </w:r>
          </w:p>
        </w:tc>
        <w:tc>
          <w:tcPr>
            <w:tcW w:type="dxa" w:w="2880"/>
          </w:tcPr>
          <w:p>
            <w:r>
              <w:t>Daily/weekly hire rate + mobilisation + fuel surcharge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