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APPENDIX D – GOVERNMENT PROCUREMENT ALIGNMENT FRAMEWORK (V1)</w:t>
      </w:r>
    </w:p>
    <w:p>
      <w:pPr>
        <w:spacing w:after="160"/>
      </w:pPr>
      <w:r>
        <w:t>Country-agnostic public sector procurement controls, configurable thresholds, SoD matrix, and mandatory audit outputs.</w:t>
      </w:r>
    </w:p>
    <w:p>
      <w:pPr>
        <w:pStyle w:val="Heading1"/>
      </w:pPr>
      <w:r>
        <w:t>D1. Public sector procurement methods (configurable)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Procurement Band</w:t>
            </w:r>
          </w:p>
        </w:tc>
        <w:tc>
          <w:tcPr>
            <w:tcW w:type="dxa" w:w="2160"/>
          </w:tcPr>
          <w:p>
            <w:r>
              <w:t>Default Method</w:t>
            </w:r>
          </w:p>
        </w:tc>
        <w:tc>
          <w:tcPr>
            <w:tcW w:type="dxa" w:w="2160"/>
          </w:tcPr>
          <w:p>
            <w:r>
              <w:t>Threshold Handling</w:t>
            </w:r>
          </w:p>
        </w:tc>
        <w:tc>
          <w:tcPr>
            <w:tcW w:type="dxa" w:w="2160"/>
          </w:tcPr>
          <w:p>
            <w:r>
              <w:t>Mandatory Controls</w:t>
            </w:r>
          </w:p>
        </w:tc>
      </w:tr>
      <w:tr>
        <w:tc>
          <w:tcPr>
            <w:tcW w:type="dxa" w:w="2160"/>
          </w:tcPr>
          <w:p>
            <w:r>
              <w:t>Low value procurement</w:t>
            </w:r>
          </w:p>
        </w:tc>
        <w:tc>
          <w:tcPr>
            <w:tcW w:type="dxa" w:w="2160"/>
          </w:tcPr>
          <w:p>
            <w:r>
              <w:t>Written quotation / three quotes</w:t>
            </w:r>
          </w:p>
        </w:tc>
        <w:tc>
          <w:tcPr>
            <w:tcW w:type="dxa" w:w="2160"/>
          </w:tcPr>
          <w:p>
            <w:r>
              <w:t>Configurable thresholds per country/department</w:t>
            </w:r>
          </w:p>
        </w:tc>
        <w:tc>
          <w:tcPr>
            <w:tcW w:type="dxa" w:w="2160"/>
          </w:tcPr>
          <w:p>
            <w:r>
              <w:t>Supplier invite list must be recorded; audit log required</w:t>
            </w:r>
          </w:p>
        </w:tc>
      </w:tr>
      <w:tr>
        <w:tc>
          <w:tcPr>
            <w:tcW w:type="dxa" w:w="2160"/>
          </w:tcPr>
          <w:p>
            <w:r>
              <w:t>Mid value procurement</w:t>
            </w:r>
          </w:p>
        </w:tc>
        <w:tc>
          <w:tcPr>
            <w:tcW w:type="dxa" w:w="2160"/>
          </w:tcPr>
          <w:p>
            <w:r>
              <w:t>RFQ / limited tender</w:t>
            </w:r>
          </w:p>
        </w:tc>
        <w:tc>
          <w:tcPr>
            <w:tcW w:type="dxa" w:w="2160"/>
          </w:tcPr>
          <w:p>
            <w:r>
              <w:t>Configurable</w:t>
            </w:r>
          </w:p>
        </w:tc>
        <w:tc>
          <w:tcPr>
            <w:tcW w:type="dxa" w:w="2160"/>
          </w:tcPr>
          <w:p>
            <w:r>
              <w:t>Minimum invited suppliers enforced by policy</w:t>
            </w:r>
          </w:p>
        </w:tc>
      </w:tr>
      <w:tr>
        <w:tc>
          <w:tcPr>
            <w:tcW w:type="dxa" w:w="2160"/>
          </w:tcPr>
          <w:p>
            <w:r>
              <w:t>High value procurement</w:t>
            </w:r>
          </w:p>
        </w:tc>
        <w:tc>
          <w:tcPr>
            <w:tcW w:type="dxa" w:w="2160"/>
          </w:tcPr>
          <w:p>
            <w:r>
              <w:t>Open tender</w:t>
            </w:r>
          </w:p>
        </w:tc>
        <w:tc>
          <w:tcPr>
            <w:tcW w:type="dxa" w:w="2160"/>
          </w:tcPr>
          <w:p>
            <w:r>
              <w:t>Configurable</w:t>
            </w:r>
          </w:p>
        </w:tc>
        <w:tc>
          <w:tcPr>
            <w:tcW w:type="dxa" w:w="2160"/>
          </w:tcPr>
          <w:p>
            <w:r>
              <w:t>Publication period + clarification addenda + formal evaluation pack</w:t>
            </w:r>
          </w:p>
        </w:tc>
      </w:tr>
      <w:tr>
        <w:tc>
          <w:tcPr>
            <w:tcW w:type="dxa" w:w="2160"/>
          </w:tcPr>
          <w:p>
            <w:r>
              <w:t>Emergency procurement</w:t>
            </w:r>
          </w:p>
        </w:tc>
        <w:tc>
          <w:tcPr>
            <w:tcW w:type="dxa" w:w="2160"/>
          </w:tcPr>
          <w:p>
            <w:r>
              <w:t>Single source / emergency</w:t>
            </w:r>
          </w:p>
        </w:tc>
        <w:tc>
          <w:tcPr>
            <w:tcW w:type="dxa" w:w="2160"/>
          </w:tcPr>
          <w:p>
            <w:r>
              <w:t>Configurable triggers (urgency + reason)</w:t>
            </w:r>
          </w:p>
        </w:tc>
        <w:tc>
          <w:tcPr>
            <w:tcW w:type="dxa" w:w="2160"/>
          </w:tcPr>
          <w:p>
            <w:r>
              <w:t>Mandatory justification + compliance officer sign-off</w:t>
            </w:r>
          </w:p>
        </w:tc>
      </w:tr>
    </w:tbl>
    <w:p>
      <w:pPr>
        <w:pStyle w:val="Heading1"/>
      </w:pPr>
      <w:r>
        <w:t>D2. Separation of Duties (SoD) matrix (locked, configurable)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Primary Actions</w:t>
            </w:r>
          </w:p>
        </w:tc>
        <w:tc>
          <w:tcPr>
            <w:tcW w:type="dxa" w:w="2160"/>
          </w:tcPr>
          <w:p>
            <w:r>
              <w:t>Enabled in V1</w:t>
            </w:r>
          </w:p>
        </w:tc>
        <w:tc>
          <w:tcPr>
            <w:tcW w:type="dxa" w:w="2160"/>
          </w:tcPr>
          <w:p>
            <w:r>
              <w:t>Constraints / Notes</w:t>
            </w:r>
          </w:p>
        </w:tc>
      </w:tr>
      <w:tr>
        <w:tc>
          <w:tcPr>
            <w:tcW w:type="dxa" w:w="2160"/>
          </w:tcPr>
          <w:p>
            <w:r>
              <w:t>Requester</w:t>
            </w:r>
          </w:p>
        </w:tc>
        <w:tc>
          <w:tcPr>
            <w:tcW w:type="dxa" w:w="2160"/>
          </w:tcPr>
          <w:p>
            <w:r>
              <w:t>Create PR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Cannot approve own PR</w:t>
            </w:r>
          </w:p>
        </w:tc>
      </w:tr>
      <w:tr>
        <w:tc>
          <w:tcPr>
            <w:tcW w:type="dxa" w:w="2160"/>
          </w:tcPr>
          <w:p>
            <w:r>
              <w:t>Approver</w:t>
            </w:r>
          </w:p>
        </w:tc>
        <w:tc>
          <w:tcPr>
            <w:tcW w:type="dxa" w:w="2160"/>
          </w:tcPr>
          <w:p>
            <w:r>
              <w:t>Approve PR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Cannot be supplier user; approval limit enforced</w:t>
            </w:r>
          </w:p>
        </w:tc>
      </w:tr>
      <w:tr>
        <w:tc>
          <w:tcPr>
            <w:tcW w:type="dxa" w:w="2160"/>
          </w:tcPr>
          <w:p>
            <w:r>
              <w:t>Procurement Officer</w:t>
            </w:r>
          </w:p>
        </w:tc>
        <w:tc>
          <w:tcPr>
            <w:tcW w:type="dxa" w:w="2160"/>
          </w:tcPr>
          <w:p>
            <w:r>
              <w:t>Release RFQ / manage event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Cannot create invoice; cannot be supplier</w:t>
            </w:r>
          </w:p>
        </w:tc>
      </w:tr>
      <w:tr>
        <w:tc>
          <w:tcPr>
            <w:tcW w:type="dxa" w:w="2160"/>
          </w:tcPr>
          <w:p>
            <w:r>
              <w:t>Evaluation Committee</w:t>
            </w:r>
          </w:p>
        </w:tc>
        <w:tc>
          <w:tcPr>
            <w:tcW w:type="dxa" w:w="2160"/>
          </w:tcPr>
          <w:p>
            <w:r>
              <w:t>Score bids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Government tenants can require multi-user scoring</w:t>
            </w:r>
          </w:p>
        </w:tc>
      </w:tr>
      <w:tr>
        <w:tc>
          <w:tcPr>
            <w:tcW w:type="dxa" w:w="2160"/>
          </w:tcPr>
          <w:p>
            <w:r>
              <w:t>Award Authority</w:t>
            </w:r>
          </w:p>
        </w:tc>
        <w:tc>
          <w:tcPr>
            <w:tcW w:type="dxa" w:w="2160"/>
          </w:tcPr>
          <w:p>
            <w:r>
              <w:t>Award supplier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Override reason required; cannot be supplier</w:t>
            </w:r>
          </w:p>
        </w:tc>
      </w:tr>
      <w:tr>
        <w:tc>
          <w:tcPr>
            <w:tcW w:type="dxa" w:w="2160"/>
          </w:tcPr>
          <w:p>
            <w:r>
              <w:t>Finance Officer</w:t>
            </w:r>
          </w:p>
        </w:tc>
        <w:tc>
          <w:tcPr>
            <w:tcW w:type="dxa" w:w="2160"/>
          </w:tcPr>
          <w:p>
            <w:r>
              <w:t>Validate invoice / approve for payment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Payment occurs in finance system only</w:t>
            </w:r>
          </w:p>
        </w:tc>
      </w:tr>
      <w:tr>
        <w:tc>
          <w:tcPr>
            <w:tcW w:type="dxa" w:w="2160"/>
          </w:tcPr>
          <w:p>
            <w:r>
              <w:t>Auditor</w:t>
            </w:r>
          </w:p>
        </w:tc>
        <w:tc>
          <w:tcPr>
            <w:tcW w:type="dxa" w:w="2160"/>
          </w:tcPr>
          <w:p>
            <w:r>
              <w:t>Read-only access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Access to tender register + audit packs</w:t>
            </w:r>
          </w:p>
        </w:tc>
      </w:tr>
      <w:tr>
        <w:tc>
          <w:tcPr>
            <w:tcW w:type="dxa" w:w="2160"/>
          </w:tcPr>
          <w:p>
            <w:r>
              <w:t>Compliance Officer</w:t>
            </w:r>
          </w:p>
        </w:tc>
        <w:tc>
          <w:tcPr>
            <w:tcW w:type="dxa" w:w="2160"/>
          </w:tcPr>
          <w:p>
            <w:r>
              <w:t>COI review, exception approvals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Required for emergency/single-source</w:t>
            </w:r>
          </w:p>
        </w:tc>
      </w:tr>
    </w:tbl>
    <w:p>
      <w:pPr>
        <w:pStyle w:val="Heading1"/>
      </w:pPr>
      <w:r>
        <w:t>D3. Conflict of Interest (COI) controls (V1)</w:t>
      </w:r>
    </w:p>
    <w:p>
      <w:r>
        <w:t>- User COI declaration required for government tenants (configurable).</w:t>
      </w:r>
    </w:p>
    <w:p>
      <w:r>
        <w:t>- COI flags block award until compliance officer approves.</w:t>
      </w:r>
    </w:p>
    <w:p>
      <w:r>
        <w:t>- COI register exportable per period.</w:t>
      </w:r>
    </w:p>
    <w:p>
      <w:r>
        <w:t>- All COI actions are immutable audit events.</w:t>
      </w:r>
    </w:p>
    <w:p>
      <w:pPr>
        <w:pStyle w:val="Heading1"/>
      </w:pPr>
      <w:r>
        <w:t>D4. Mandatory government audit outputs (exports)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What it contains</w:t>
            </w:r>
          </w:p>
        </w:tc>
        <w:tc>
          <w:tcPr>
            <w:tcW w:type="dxa" w:w="2880"/>
          </w:tcPr>
          <w:p>
            <w:r>
              <w:t>Format</w:t>
            </w:r>
          </w:p>
        </w:tc>
      </w:tr>
      <w:tr>
        <w:tc>
          <w:tcPr>
            <w:tcW w:type="dxa" w:w="2880"/>
          </w:tcPr>
          <w:p>
            <w:r>
              <w:t>Tender Register</w:t>
            </w:r>
          </w:p>
        </w:tc>
        <w:tc>
          <w:tcPr>
            <w:tcW w:type="dxa" w:w="2880"/>
          </w:tcPr>
          <w:p>
            <w:r>
              <w:t>All tenders within period, status, dates, method</w:t>
            </w:r>
          </w:p>
        </w:tc>
        <w:tc>
          <w:tcPr>
            <w:tcW w:type="dxa" w:w="2880"/>
          </w:tcPr>
          <w:p>
            <w:r>
              <w:t>PDF/CSV</w:t>
            </w:r>
          </w:p>
        </w:tc>
      </w:tr>
      <w:tr>
        <w:tc>
          <w:tcPr>
            <w:tcW w:type="dxa" w:w="2880"/>
          </w:tcPr>
          <w:p>
            <w:r>
              <w:t>Bid Opening Record</w:t>
            </w:r>
          </w:p>
        </w:tc>
        <w:tc>
          <w:tcPr>
            <w:tcW w:type="dxa" w:w="2880"/>
          </w:tcPr>
          <w:p>
            <w:r>
              <w:t>Snapshot at RFQ close: bidders, timestamps, revisions</w:t>
            </w:r>
          </w:p>
        </w:tc>
        <w:tc>
          <w:tcPr>
            <w:tcW w:type="dxa" w:w="2880"/>
          </w:tcPr>
          <w:p>
            <w:r>
              <w:t>PDF</w:t>
            </w:r>
          </w:p>
        </w:tc>
      </w:tr>
      <w:tr>
        <w:tc>
          <w:tcPr>
            <w:tcW w:type="dxa" w:w="2880"/>
          </w:tcPr>
          <w:p>
            <w:r>
              <w:t>Evaluation Pack</w:t>
            </w:r>
          </w:p>
        </w:tc>
        <w:tc>
          <w:tcPr>
            <w:tcW w:type="dxa" w:w="2880"/>
          </w:tcPr>
          <w:p>
            <w:r>
              <w:t>Scoring sheets, weights, committee members, results</w:t>
            </w:r>
          </w:p>
        </w:tc>
        <w:tc>
          <w:tcPr>
            <w:tcW w:type="dxa" w:w="2880"/>
          </w:tcPr>
          <w:p>
            <w:r>
              <w:t>PDF</w:t>
            </w:r>
          </w:p>
        </w:tc>
      </w:tr>
      <w:tr>
        <w:tc>
          <w:tcPr>
            <w:tcW w:type="dxa" w:w="2880"/>
          </w:tcPr>
          <w:p>
            <w:r>
              <w:t>Award Recommendation Report</w:t>
            </w:r>
          </w:p>
        </w:tc>
        <w:tc>
          <w:tcPr>
            <w:tcW w:type="dxa" w:w="2880"/>
          </w:tcPr>
          <w:p>
            <w:r>
              <w:t>Recommended supplier + explainability + risk flags</w:t>
            </w:r>
          </w:p>
        </w:tc>
        <w:tc>
          <w:tcPr>
            <w:tcW w:type="dxa" w:w="2880"/>
          </w:tcPr>
          <w:p>
            <w:r>
              <w:t>PDF</w:t>
            </w:r>
          </w:p>
        </w:tc>
      </w:tr>
      <w:tr>
        <w:tc>
          <w:tcPr>
            <w:tcW w:type="dxa" w:w="2880"/>
          </w:tcPr>
          <w:p>
            <w:r>
              <w:t>Award Notice</w:t>
            </w:r>
          </w:p>
        </w:tc>
        <w:tc>
          <w:tcPr>
            <w:tcW w:type="dxa" w:w="2880"/>
          </w:tcPr>
          <w:p>
            <w:r>
              <w:t>Final award decision + justification + approvals</w:t>
            </w:r>
          </w:p>
        </w:tc>
        <w:tc>
          <w:tcPr>
            <w:tcW w:type="dxa" w:w="2880"/>
          </w:tcPr>
          <w:p>
            <w:r>
              <w:t>PDF</w:t>
            </w:r>
          </w:p>
        </w:tc>
      </w:tr>
      <w:tr>
        <w:tc>
          <w:tcPr>
            <w:tcW w:type="dxa" w:w="2880"/>
          </w:tcPr>
          <w:p>
            <w:r>
              <w:t>Supplier Compliance Snapshot</w:t>
            </w:r>
          </w:p>
        </w:tc>
        <w:tc>
          <w:tcPr>
            <w:tcW w:type="dxa" w:w="2880"/>
          </w:tcPr>
          <w:p>
            <w:r>
              <w:t>Documents and validity at award date</w:t>
            </w:r>
          </w:p>
        </w:tc>
        <w:tc>
          <w:tcPr>
            <w:tcW w:type="dxa" w:w="2880"/>
          </w:tcPr>
          <w:p>
            <w:r>
              <w:t>PDF</w:t>
            </w:r>
          </w:p>
        </w:tc>
      </w:tr>
      <w:tr>
        <w:tc>
          <w:tcPr>
            <w:tcW w:type="dxa" w:w="2880"/>
          </w:tcPr>
          <w:p>
            <w:r>
              <w:t>COI Register</w:t>
            </w:r>
          </w:p>
        </w:tc>
        <w:tc>
          <w:tcPr>
            <w:tcW w:type="dxa" w:w="2880"/>
          </w:tcPr>
          <w:p>
            <w:r>
              <w:t>Declared conflicts and resolutions</w:t>
            </w:r>
          </w:p>
        </w:tc>
        <w:tc>
          <w:tcPr>
            <w:tcW w:type="dxa" w:w="2880"/>
          </w:tcPr>
          <w:p>
            <w:r>
              <w:t>PDF/CSV</w:t>
            </w:r>
          </w:p>
        </w:tc>
      </w:tr>
      <w:tr>
        <w:tc>
          <w:tcPr>
            <w:tcW w:type="dxa" w:w="2880"/>
          </w:tcPr>
          <w:p>
            <w:r>
              <w:t>Document Retention Log</w:t>
            </w:r>
          </w:p>
        </w:tc>
        <w:tc>
          <w:tcPr>
            <w:tcW w:type="dxa" w:w="2880"/>
          </w:tcPr>
          <w:p>
            <w:r>
              <w:t>Evidence that records are retained per policy</w:t>
            </w:r>
          </w:p>
        </w:tc>
        <w:tc>
          <w:tcPr>
            <w:tcW w:type="dxa" w:w="2880"/>
          </w:tcPr>
          <w:p>
            <w:r>
              <w:t>PDF</w:t>
            </w:r>
          </w:p>
        </w:tc>
      </w:tr>
    </w:tbl>
    <w:p>
      <w:pPr>
        <w:pStyle w:val="Heading1"/>
      </w:pPr>
      <w:r>
        <w:t>D5. Record retention &amp; immutability</w:t>
      </w:r>
    </w:p>
    <w:p>
      <w:r>
        <w:t>- All PR/RFQ/Bid/Award/PO/Invoice events are appended to an immutable audit log.</w:t>
      </w:r>
    </w:p>
    <w:p>
      <w:r>
        <w:t>- Government tenants must configure retention (e.g., 5–10 years).</w:t>
      </w:r>
    </w:p>
    <w:p>
      <w:r>
        <w:t>- Document storage must support legal hold (Azure Blob + immutability policies recommended).</w:t>
      </w:r>
    </w:p>
    <w:p>
      <w:r>
        <w:t>- Every export must include hashable references (IDs + timestamps) for verification.</w:t>
      </w:r>
    </w:p>
    <w:p>
      <w:pPr>
        <w:pStyle w:val="Heading1"/>
      </w:pPr>
      <w:r>
        <w:t>D6. Cross-border for governments (optional policy)</w:t>
      </w:r>
    </w:p>
    <w:p>
      <w:r>
        <w:t>Cross-border procurement can be enabled for government tenants via policy:</w:t>
      </w:r>
    </w:p>
    <w:p>
      <w:r>
        <w:t>- Supplier countries allowed list</w:t>
      </w:r>
    </w:p>
    <w:p>
      <w:r>
        <w:t>- Incoterms required</w:t>
      </w:r>
    </w:p>
    <w:p>
      <w:r>
        <w:t>- Mandatory customs/clearance documentation</w:t>
      </w:r>
    </w:p>
    <w:p>
      <w:r>
        <w:t>- Currency and FX rate stored from finance system snapshots</w:t>
      </w:r>
    </w:p>
    <w:p>
      <w:r>
        <w:t>These controls are policy-driven and auditable.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