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3"/>
      </w:pPr>
      <w:r>
        <w:t>C.1 BUDAYA MUTU</w:t>
      </w:r>
    </w:p>
    <w:p>
      <w:pPr/>
      <w:r>
        <w:t>Kriteria budaya mutu memuat uraian mengenai proses penetapan, implementasi, evaluasi, pengendalian, serta pengembangan standar pendidikan tinggi beserta indikator-indikator yang relevan. Dokumen ini merupakan Revisi 3 — hasil pembaruan berdasarkan pemetaan standar mutu resmi dari STANDAR MUTU LED RKS.xlsx dan template LED Prodi RKS 2025.docx.</w:t>
      </w:r>
    </w:p>
    <w:p>
      <w:pPr/>
      <w:r>
        <w:t xml:space="preserve">Keterangan markup: </w:t>
      </w:r>
      <w:r>
        <w:rPr>
          <w:highlight w:val="yellow"/>
        </w:rPr>
        <w:t xml:space="preserve"> Konten BARU </w:t>
      </w:r>
      <w:r>
        <w:t xml:space="preserve">  </w:t>
      </w:r>
      <w:r>
        <w:rPr>
          <w:highlight w:val="green"/>
        </w:rPr>
        <w:t xml:space="preserve"> Konten DIPERBARUI </w:t>
      </w:r>
      <w:r>
        <w:t xml:space="preserve">  </w:t>
      </w:r>
      <w:r>
        <w:rPr>
          <w:strike/>
          <w:color w:val="CC0000"/>
        </w:rPr>
        <w:t xml:space="preserve"> Konten DIHAPUS/dipindahkan </w:t>
      </w:r>
      <w:r>
        <w:t xml:space="preserve">  </w:t>
      </w:r>
      <w:r>
        <w:rPr>
          <w:i/>
          <w:color w:val="0044CC"/>
        </w:rPr>
        <w:t>[CATATAN REVISI: ...]</w:t>
      </w:r>
    </w:p>
    <w:p/>
    <w:p>
      <w:pPr/>
      <w:r>
        <w:rPr>
          <w:b/>
        </w:rPr>
        <w:t xml:space="preserve">[PENETAPAN] </w:t>
      </w:r>
      <w:r>
        <w:t>Bagian ini berisi daftar dan penjelasan dokumen kebijakan, standar, dan indikator yang terkait dengan budaya mutu yang ditetapkan oleh Politeknik Siber dan Sandi Negara (Poltek SSN). Penetapan ini mencakup dua sub-aspek: (A) Sistem Tata Kelola Internal UPPS dan/atau PT berikut SOP pada bidang Administrasi Akademik, Keuangan, SDM, dan aspek lain; dan (B) Fungsi SPMI dengan SDM kompeten sebagai pelaksana.</w:t>
      </w:r>
    </w:p>
    <w:p>
      <w:pPr/>
      <w:r>
        <w:rPr>
          <w:b/>
        </w:rPr>
        <w:t>A. Sistem Tata Kelola Internal UPPS dan/atau PT berikut SOP</w:t>
      </w:r>
    </w:p>
    <w:p>
      <w:pPr/>
      <w:r>
        <w:t>Kebijakan yang berkaitan dengan sistem tata kelola internal di Politeknik Siber dan Sandi Negara yang meliputi administrasi akademik, keuangan dan sumber daya manusia adalah sebagai berikut:</w:t>
      </w:r>
    </w:p>
    <w:p>
      <w:pPr>
        <w:spacing w:before="40" w:after="40"/>
        <w:ind w:left="425"/>
      </w:pPr>
      <w:r>
        <w:t>Peraturan Badan Siber dan Sandi Negara Nomor 12 Tahun 2019 tentang Organisasi dan Tata Kerja Politeknik Siber dan Sandi Negara;</w:t>
      </w:r>
    </w:p>
    <w:p>
      <w:pPr>
        <w:spacing w:before="40" w:after="40"/>
        <w:ind w:left="425"/>
      </w:pPr>
      <w:r>
        <w:t>Peraturan Badan Siber dan Sandi Negara Nomor 1 Tahun 2023 tentang Statuta Politeknik Siber dan Sandi Negara;</w:t>
      </w:r>
    </w:p>
    <w:p>
      <w:pPr>
        <w:spacing w:before="40" w:after="40"/>
        <w:ind w:left="425"/>
      </w:pPr>
      <w:r>
        <w:rPr>
          <w:highlight w:val="green"/>
        </w:rPr>
        <w:t>Keputusan Direktur Politeknik Siber dan Sandi Negara Nomor 18 Tahun 2021 tentang Peta Proses Bisnis Politeknik Siber dan Sandi Negara (dasar hukum penyusunan SOP); seluruh SOP tersedia di probis.poltekssn.ac.id;</w:t>
      </w:r>
    </w:p>
    <w:p>
      <w:pPr>
        <w:spacing w:before="20" w:after="60"/>
        <w:ind w:left="850"/>
      </w:pPr>
      <w:r>
        <w:rPr>
          <w:i/>
          <w:color w:val="0044CC"/>
          <w:sz w:val="17"/>
        </w:rPr>
        <w:t>[CATATAN REVISI: Tambahkan referensi probis.poltekssn.ac.id sebagai bukti dukung utama SOP (sesuai GAP-5: Excel kolom J baris 7 mencantumkan "SOP pada probis.poltekssn.ac.id").]</w:t>
      </w:r>
    </w:p>
    <w:p>
      <w:pPr>
        <w:spacing w:before="40" w:after="40"/>
        <w:ind w:left="425"/>
      </w:pPr>
      <w:r>
        <w:rPr>
          <w:strike/>
          <w:color w:val="CC0000"/>
          <w:sz w:val="18"/>
        </w:rPr>
        <w:t xml:space="preserve">Keputusan Direktur Politeknik Siber dan Sandi Negara Nomor 02.1 Tahun 2020 tentang Visi, Misi, Tujuan, dan Strategi Politeknik Siber dan Sandi Negara; → [DIPERBARUI] </w:t>
      </w:r>
      <w:r>
        <w:rPr>
          <w:highlight w:val="green"/>
        </w:rPr>
        <w:t>Keputusan Direktur Politeknik Siber dan Sandi Negara Nomor 06.2 Tahun 2022 tentang Visi, Misi, Tujuan, dan Strategi Program Studi Rekayasa Keamanan Siber Politeknik Siber dan Sandi Negara;</w:t>
      </w:r>
    </w:p>
    <w:p>
      <w:pPr>
        <w:spacing w:before="20" w:after="60"/>
        <w:ind w:left="850"/>
      </w:pPr>
      <w:r>
        <w:rPr>
          <w:i/>
          <w:color w:val="0044CC"/>
          <w:sz w:val="17"/>
        </w:rPr>
        <w:t>[CATATAN REVISI: Ganti dari "Kepdir 02.1 Tahun 2020 (VMTS Poltek SSN)" ke "Kepdir 06.2 Tahun 2022 (VMTS PS RKS)" yang lebih spesifik dan mutakhir.]</w:t>
      </w:r>
    </w:p>
    <w:p>
      <w:pPr>
        <w:spacing w:before="40" w:after="40"/>
        <w:ind w:left="425"/>
      </w:pPr>
      <w:r>
        <w:t>Keputusan Direktur Politeknik Siber dan Sandi Negara Nomor 03 Tahun 2022 tentang Rencana Strategis Politeknik Siber dan Sandi Negara Tahun 2021–2024;</w:t>
      </w:r>
    </w:p>
    <w:p>
      <w:pPr>
        <w:spacing w:before="40" w:after="40"/>
        <w:ind w:left="425"/>
      </w:pPr>
      <w:r>
        <w:rPr>
          <w:highlight w:val="yellow"/>
        </w:rPr>
        <w:t>Keputusan Direktur Poltek SSN Nomor XYZ.1 Tahun 2025 tentang Standar Mutu Internal Politeknik Siber dan Sandi Negara (berlaku sejak 15 Februari 2025);</w:t>
      </w:r>
    </w:p>
    <w:p>
      <w:pPr>
        <w:spacing w:before="20" w:after="60"/>
        <w:ind w:left="850"/>
      </w:pPr>
      <w:r>
        <w:rPr>
          <w:i/>
          <w:color w:val="0044CC"/>
          <w:sz w:val="17"/>
        </w:rPr>
        <w:t>[CATATAN REVISI: Dokumen standar mutu terbaru 2025 — nomor SK "XYZ.1" harus dikonfirmasi dan diperbarui dengan nomor SK resmi sebelum submit ke SALAM LAM Infokom.]</w:t>
      </w:r>
    </w:p>
    <w:p>
      <w:pPr>
        <w:spacing w:before="40" w:after="40"/>
        <w:ind w:left="425"/>
      </w:pPr>
      <w:r>
        <w:t>Keputusan Direktur Politeknik Siber dan Sandi Negara Nomor 7.1 Tahun 2021 tentang Pedoman Pengembangan Kurikulum;</w:t>
      </w:r>
    </w:p>
    <w:p>
      <w:pPr>
        <w:spacing w:before="40" w:after="40"/>
        <w:ind w:left="425"/>
      </w:pPr>
      <w:r>
        <w:rPr>
          <w:highlight w:val="green"/>
        </w:rPr>
        <w:t>Kalender Pendidikan Poltek SSN (Keputusan Direktur tentang Kalender Akademik — terbitkan per tahun ajaran);</w:t>
      </w:r>
    </w:p>
    <w:p>
      <w:pPr>
        <w:spacing w:before="20" w:after="60"/>
        <w:ind w:left="850"/>
      </w:pPr>
      <w:r>
        <w:rPr>
          <w:i/>
          <w:color w:val="0044CC"/>
          <w:sz w:val="17"/>
        </w:rPr>
        <w:t>[CATATAN REVISI: Ganti dari teks generik "Kepdir Kalender pendidikan" ke deskripsi yang lebih spesifik. Isikan nomor SK Kepdir kalender akademik TS yang berlaku.]</w:t>
      </w:r>
    </w:p>
    <w:p>
      <w:pPr>
        <w:spacing w:before="40" w:after="40"/>
        <w:ind w:left="425"/>
      </w:pPr>
      <w:r>
        <w:rPr>
          <w:highlight w:val="green"/>
        </w:rPr>
        <w:t>Keputusan Direktur/Surat Perintah tentang Penetapan Dosen, Tendik, dan Pejabat Akademik/Struktural (terbitkan per semester/tahun);</w:t>
      </w:r>
    </w:p>
    <w:p>
      <w:pPr>
        <w:spacing w:before="20" w:after="60"/>
        <w:ind w:left="850"/>
      </w:pPr>
      <w:r>
        <w:rPr>
          <w:i/>
          <w:color w:val="0044CC"/>
          <w:sz w:val="17"/>
        </w:rPr>
        <w:t>[CATATAN REVISI: Perbarui dari teks generik "Kepdir/SP penetapan dosen, tendik..." ke deskripsi yang lebih spesifik. Isikan nomor SP/Kepdir terbaru.]</w:t>
      </w:r>
    </w:p>
    <w:p>
      <w:pPr>
        <w:spacing w:before="40" w:after="40"/>
        <w:ind w:left="425"/>
      </w:pPr>
      <w:r>
        <w:rPr>
          <w:highlight w:val="yellow"/>
        </w:rPr>
        <w:t>Peraturan Menteri Pendidikan, Kebudayaan, Riset, dan Teknologi Nomor 39 Tahun 2025 tentang Standar Nasional Pendidikan Tinggi (SN-DIKTI).</w:t>
      </w:r>
    </w:p>
    <w:p>
      <w:pPr>
        <w:spacing w:before="20" w:after="60"/>
        <w:ind w:left="850"/>
      </w:pPr>
      <w:r>
        <w:rPr>
          <w:i/>
          <w:color w:val="0044CC"/>
          <w:sz w:val="17"/>
        </w:rPr>
        <w:t>[CATATAN REVISI: Regulasi baru 2025 — menggantikan Permendikbud No. 3 Tahun 2020. Wajib dicantumkan sebagai landasan hukum standar mutu terbaru.]</w:t>
      </w:r>
    </w:p>
    <w:p/>
    <w:p>
      <w:pPr/>
      <w:r>
        <w:rPr>
          <w:highlight w:val="yellow"/>
        </w:rPr>
        <w:t>Tata kelola internal Poltek SSN mencakup empat aspek: (1) administrasi akademik, (2) administrasi keuangan, (3) administrasi SDM, dan (4) aspek lain dalam siklus PPEPP. Keseluruhan aspek ditetapkan melalui dokumen kebijakan, standar mutu, indikator, dan SOP yang dapat diverifikasi asesor melalui laman probis.poltekssn.ac.id. Administrasi akademik dikelola oleh Subbag AAK terintegrasi dengan SIAKAD dan dilaporkan ke PDDikti setiap semester. Pengelolaan keuangan mengacu pada prinsip akuntabilitas dan transparansi sesuai ketentuan BSSN, dengan rata-rata realisasi anggaran [XX]% per tahun. Pengelolaan SDM mencakup rekrutmen, pembinaan kompetensi dosen dan tendik, serta monitoring beban kerja (EWMP) sesuai Permendiktisaintek No. 39/2025.</w:t>
      </w:r>
    </w:p>
    <w:p>
      <w:pPr>
        <w:ind w:left="283"/>
      </w:pPr>
      <w:r>
        <w:rPr>
          <w:i/>
          <w:color w:val="0044CC"/>
          <w:sz w:val="17"/>
        </w:rPr>
        <w:t>[CATATAN REVISI: Narasi ini BARU ditambahkan sebagai pengantar tata kelola. Isi data [XX] dengan realisasi anggaran aktual dari laporan keuangan Poltek SSN. Template asli tidak memiliki narasi pengantar pada bagian ini.]</w:t>
      </w:r>
    </w:p>
    <w:p/>
    <w:p>
      <w:pPr/>
      <w:r>
        <w:t>Berikut standar mutu dan indikator kinerja yang terkait dengan sistem tata kelola internal di Politeknik Siber dan Sandi Negara yang meliputi administrasi akademik, keuangan dan sumber daya manusia:</w:t>
      </w:r>
    </w:p>
    <w:p>
      <w:pPr/>
      <w:r>
        <w:rPr>
          <w:i/>
          <w:color w:val="0044CC"/>
          <w:sz w:val="17"/>
        </w:rPr>
        <w:t>[CATATAN REVISI: Tabel standar mutu berikut diperbarui berdasarkan pemetaan resmi STANDAR MUTU LED RKS.xlsx (Sheet "Indikator Mutu LED", baris 3–12, Kriteria C1 Bagian A). Kolom "PJ" dan "Rujukan Standar" BARU ditambahkan. Target No.1 (SOP) diperbarui dari "70%" ke "≥ 70%". TIDAK ada standar yang missing dari Excel C1 pada bagian ini — semua 4 indikator A sudah ada.]</w:t>
      </w:r>
    </w:p>
    <w:p/>
    <w:tbl>
      <w:tblPr>
        <w:tblStyle w:val="Table2"/>
        <w:tblW w:type="auto" w:w="0"/>
        <w:tblLook w:firstColumn="1" w:firstRow="1" w:lastColumn="0" w:lastRow="0" w:noHBand="0" w:noVBand="1" w:val="04A0"/>
      </w:tblPr>
      <w:tblGrid>
        <w:gridCol w:w="1533"/>
        <w:gridCol w:w="1533"/>
        <w:gridCol w:w="1533"/>
        <w:gridCol w:w="1533"/>
        <w:gridCol w:w="1533"/>
        <w:gridCol w:w="1533"/>
      </w:tblGrid>
      <w:tr>
        <w:tc>
          <w:tcPr>
            <w:tcW w:type="dxa" w:w="1533"/>
            <w:shd w:val="clear" w:color="auto" w:fill="1F497D"/>
          </w:tcPr>
          <w:p>
            <w:pPr>
              <w:jc w:val="center"/>
            </w:pPr>
            <w:r>
              <w:rPr>
                <w:b/>
                <w:color w:val="FFFFFF"/>
                <w:sz w:val="18"/>
              </w:rPr>
              <w:t>No</w:t>
            </w:r>
          </w:p>
        </w:tc>
        <w:tc>
          <w:tcPr>
            <w:tcW w:type="dxa" w:w="1533"/>
            <w:shd w:val="clear" w:color="auto" w:fill="1F497D"/>
          </w:tcPr>
          <w:p>
            <w:pPr>
              <w:jc w:val="center"/>
            </w:pPr>
            <w:r>
              <w:rPr>
                <w:b/>
                <w:color w:val="FFFFFF"/>
                <w:sz w:val="18"/>
              </w:rPr>
              <w:t>Pernyataan Standar Mutu</w:t>
            </w:r>
          </w:p>
        </w:tc>
        <w:tc>
          <w:tcPr>
            <w:tcW w:type="dxa" w:w="1533"/>
            <w:shd w:val="clear" w:color="auto" w:fill="1F497D"/>
          </w:tcPr>
          <w:p>
            <w:pPr>
              <w:jc w:val="center"/>
            </w:pPr>
            <w:r>
              <w:rPr>
                <w:b/>
                <w:color w:val="FFFFFF"/>
                <w:sz w:val="18"/>
              </w:rPr>
              <w:t>Indikator</w:t>
            </w:r>
          </w:p>
        </w:tc>
        <w:tc>
          <w:tcPr>
            <w:tcW w:type="dxa" w:w="1533"/>
            <w:shd w:val="clear" w:color="auto" w:fill="1F497D"/>
          </w:tcPr>
          <w:p>
            <w:pPr>
              <w:jc w:val="center"/>
            </w:pPr>
            <w:r>
              <w:rPr>
                <w:b/>
                <w:color w:val="FFFFFF"/>
                <w:sz w:val="18"/>
              </w:rPr>
              <w:t>Target</w:t>
            </w:r>
          </w:p>
        </w:tc>
        <w:tc>
          <w:tcPr>
            <w:tcW w:type="dxa" w:w="1533"/>
            <w:shd w:val="clear" w:color="auto" w:fill="1F497D"/>
          </w:tcPr>
          <w:p>
            <w:pPr>
              <w:jc w:val="center"/>
            </w:pPr>
            <w:r>
              <w:rPr>
                <w:b/>
                <w:color w:val="FFFFFF"/>
                <w:sz w:val="18"/>
              </w:rPr>
              <w:t>PJ</w:t>
            </w:r>
          </w:p>
        </w:tc>
        <w:tc>
          <w:tcPr>
            <w:tcW w:type="dxa" w:w="1533"/>
            <w:shd w:val="clear" w:color="auto" w:fill="1F497D"/>
          </w:tcPr>
          <w:p>
            <w:pPr>
              <w:jc w:val="center"/>
            </w:pPr>
            <w:r>
              <w:rPr>
                <w:b/>
                <w:color w:val="FFFFFF"/>
                <w:sz w:val="18"/>
              </w:rPr>
              <w:t>Rujukan Standar</w:t>
            </w:r>
          </w:p>
        </w:tc>
      </w:tr>
      <w:tr>
        <w:tc>
          <w:tcPr>
            <w:tcW w:type="dxa" w:w="1533"/>
          </w:tcPr>
          <w:p>
            <w:pPr>
              <w:jc w:val="center"/>
            </w:pPr>
            <w:r>
              <w:rPr>
                <w:sz w:val="18"/>
                <w:highlight w:val="green"/>
              </w:rPr>
              <w:t>1</w:t>
            </w:r>
          </w:p>
        </w:tc>
        <w:tc>
          <w:tcPr>
            <w:tcW w:type="dxa" w:w="1533"/>
          </w:tcPr>
          <w:p>
            <w:r>
              <w:rPr>
                <w:sz w:val="18"/>
                <w:highlight w:val="green"/>
              </w:rPr>
              <w:t>Direktur bertanggung jawab atas tersusunnya sistem tata kelola internal melalui penetapan dan penerapan SOP pada bidang Akademik, Keuangan, SDM dan aspek lain dalam siklus PPEPP</w:t>
            </w:r>
          </w:p>
        </w:tc>
        <w:tc>
          <w:tcPr>
            <w:tcW w:type="dxa" w:w="1533"/>
          </w:tcPr>
          <w:p>
            <w:r>
              <w:rPr>
                <w:sz w:val="18"/>
                <w:highlight w:val="green"/>
              </w:rPr>
              <w:t>Persentase SOP pada bidang Akademik, Keuangan, SDM dan aspek lain yang tersusun dan diterapkan</w:t>
            </w:r>
          </w:p>
        </w:tc>
        <w:tc>
          <w:tcPr>
            <w:tcW w:type="dxa" w:w="1533"/>
          </w:tcPr>
          <w:p>
            <w:r>
              <w:rPr>
                <w:sz w:val="18"/>
                <w:highlight w:val="green"/>
              </w:rPr>
              <w:t>≥ 70%</w:t>
            </w:r>
          </w:p>
        </w:tc>
        <w:tc>
          <w:tcPr>
            <w:tcW w:type="dxa" w:w="1533"/>
          </w:tcPr>
          <w:p>
            <w:r>
              <w:rPr>
                <w:sz w:val="18"/>
                <w:highlight w:val="yellow"/>
              </w:rPr>
              <w:t>Subbag OSDM TU</w:t>
            </w:r>
          </w:p>
        </w:tc>
        <w:tc>
          <w:tcPr>
            <w:tcW w:type="dxa" w:w="1533"/>
          </w:tcPr>
          <w:p>
            <w:r>
              <w:rPr>
                <w:sz w:val="18"/>
                <w:highlight w:val="yellow"/>
              </w:rPr>
              <w:t>Standar Pengelolaan Pembelajaran</w:t>
            </w:r>
          </w:p>
        </w:tc>
      </w:tr>
      <w:tr>
        <w:tc>
          <w:tcPr>
            <w:tcW w:type="dxa" w:w="1533"/>
          </w:tcPr>
          <w:p>
            <w:pPr>
              <w:jc w:val="center"/>
            </w:pPr>
            <w:r>
              <w:rPr>
                <w:sz w:val="18"/>
              </w:rPr>
              <w:t>2</w:t>
            </w:r>
          </w:p>
        </w:tc>
        <w:tc>
          <w:tcPr>
            <w:tcW w:type="dxa" w:w="1533"/>
          </w:tcPr>
          <w:p>
            <w:r>
              <w:rPr>
                <w:sz w:val="18"/>
              </w:rPr>
              <w:t>Direktur menetapkan sistem pengelolaan administrasi akademik berdasarkan peraturan yang berlaku</w:t>
            </w:r>
          </w:p>
        </w:tc>
        <w:tc>
          <w:tcPr>
            <w:tcW w:type="dxa" w:w="1533"/>
          </w:tcPr>
          <w:p>
            <w:r>
              <w:rPr>
                <w:sz w:val="18"/>
              </w:rPr>
              <w:t>Persentase realisasi kesesuaian penyelenggaraan pendidikan berdasarkan kalender akademik setiap tahun ajaran</w:t>
            </w:r>
          </w:p>
        </w:tc>
        <w:tc>
          <w:tcPr>
            <w:tcW w:type="dxa" w:w="1533"/>
          </w:tcPr>
          <w:p>
            <w:r>
              <w:rPr>
                <w:sz w:val="18"/>
              </w:rPr>
              <w:t>30%</w:t>
            </w:r>
          </w:p>
        </w:tc>
        <w:tc>
          <w:tcPr>
            <w:tcW w:type="dxa" w:w="1533"/>
          </w:tcPr>
          <w:p>
            <w:r>
              <w:rPr>
                <w:sz w:val="18"/>
                <w:highlight w:val="yellow"/>
              </w:rPr>
              <w:t>Subbag AAK</w:t>
            </w:r>
          </w:p>
        </w:tc>
        <w:tc>
          <w:tcPr>
            <w:tcW w:type="dxa" w:w="1533"/>
          </w:tcPr>
          <w:p>
            <w:r>
              <w:rPr>
                <w:sz w:val="18"/>
                <w:highlight w:val="yellow"/>
              </w:rPr>
              <w:t>Standar Pengelolaan Pembelajaran</w:t>
            </w:r>
          </w:p>
        </w:tc>
      </w:tr>
      <w:tr>
        <w:tc>
          <w:tcPr>
            <w:tcW w:type="dxa" w:w="1533"/>
          </w:tcPr>
          <w:p>
            <w:pPr>
              <w:jc w:val="center"/>
            </w:pPr>
            <w:r>
              <w:rPr>
                <w:sz w:val="18"/>
              </w:rPr>
            </w:r>
          </w:p>
        </w:tc>
        <w:tc>
          <w:tcPr>
            <w:tcW w:type="dxa" w:w="1533"/>
          </w:tcPr>
          <w:p>
            <w:r>
              <w:rPr>
                <w:sz w:val="18"/>
              </w:rPr>
            </w:r>
          </w:p>
        </w:tc>
        <w:tc>
          <w:tcPr>
            <w:tcW w:type="dxa" w:w="1533"/>
          </w:tcPr>
          <w:p>
            <w:r>
              <w:rPr>
                <w:sz w:val="18"/>
              </w:rPr>
              <w:t>Persentase data perkuliahan dilaporkan ke PDDikti secara lengkap dan tepat waktu pada setiap semester berjalan</w:t>
            </w:r>
          </w:p>
        </w:tc>
        <w:tc>
          <w:tcPr>
            <w:tcW w:type="dxa" w:w="1533"/>
          </w:tcPr>
          <w:p>
            <w:r>
              <w:rPr>
                <w:sz w:val="18"/>
              </w:rPr>
              <w:t>100%</w:t>
            </w:r>
          </w:p>
        </w:tc>
        <w:tc>
          <w:tcPr>
            <w:tcW w:type="dxa" w:w="1533"/>
          </w:tcPr>
          <w:p>
            <w:r>
              <w:rPr>
                <w:sz w:val="18"/>
                <w:highlight w:val="yellow"/>
              </w:rPr>
              <w:t>Subbag AAK</w:t>
            </w:r>
          </w:p>
        </w:tc>
        <w:tc>
          <w:tcPr>
            <w:tcW w:type="dxa" w:w="1533"/>
          </w:tcPr>
          <w:p>
            <w:r>
              <w:rPr>
                <w:sz w:val="18"/>
                <w:highlight w:val="yellow"/>
              </w:rPr>
              <w:t>Standar Pengelolaan Pembelajaran</w:t>
            </w:r>
          </w:p>
        </w:tc>
      </w:tr>
      <w:tr>
        <w:tc>
          <w:tcPr>
            <w:tcW w:type="dxa" w:w="1533"/>
          </w:tcPr>
          <w:p>
            <w:pPr>
              <w:jc w:val="center"/>
            </w:pPr>
            <w:r>
              <w:rPr>
                <w:sz w:val="18"/>
              </w:rPr>
              <w:t>3</w:t>
            </w:r>
          </w:p>
        </w:tc>
        <w:tc>
          <w:tcPr>
            <w:tcW w:type="dxa" w:w="1533"/>
          </w:tcPr>
          <w:p>
            <w:r>
              <w:rPr>
                <w:sz w:val="18"/>
              </w:rPr>
              <w:t>Direktur menetapkan sistem pengelolaan keuangan berdasarkan prinsip tata kelola perguruan tinggi yang baik sesuai dengan ketentuan peraturan perundang-undangan</w:t>
            </w:r>
          </w:p>
        </w:tc>
        <w:tc>
          <w:tcPr>
            <w:tcW w:type="dxa" w:w="1533"/>
          </w:tcPr>
          <w:p>
            <w:r>
              <w:rPr>
                <w:sz w:val="18"/>
              </w:rPr>
              <w:t>Persentase realisasi anggaran tahunan</w:t>
            </w:r>
          </w:p>
        </w:tc>
        <w:tc>
          <w:tcPr>
            <w:tcW w:type="dxa" w:w="1533"/>
          </w:tcPr>
          <w:p>
            <w:r>
              <w:rPr>
                <w:sz w:val="18"/>
              </w:rPr>
              <w:t>95%</w:t>
            </w:r>
          </w:p>
        </w:tc>
        <w:tc>
          <w:tcPr>
            <w:tcW w:type="dxa" w:w="1533"/>
          </w:tcPr>
          <w:p>
            <w:r>
              <w:rPr>
                <w:sz w:val="18"/>
                <w:highlight w:val="yellow"/>
              </w:rPr>
              <w:t>Subbag Renkeu</w:t>
            </w:r>
          </w:p>
        </w:tc>
        <w:tc>
          <w:tcPr>
            <w:tcW w:type="dxa" w:w="1533"/>
          </w:tcPr>
          <w:p>
            <w:r>
              <w:rPr>
                <w:sz w:val="18"/>
                <w:highlight w:val="yellow"/>
              </w:rPr>
              <w:t>Standar Pembiayaan Pembelajaran</w:t>
            </w:r>
          </w:p>
        </w:tc>
      </w:tr>
    </w:tbl>
    <w:p>
      <w:pPr/>
      <w:r>
        <w:rPr>
          <w:i/>
          <w:color w:val="0044CC"/>
          <w:sz w:val="17"/>
        </w:rPr>
        <w:t>[CATATAN REVISI: Kolom "PJ" dan "Rujukan Standar" (disorot kuning) adalah BARU — belum ada di template original. Ditambahkan sesuai pemetaan STANDAR MUTU LED RKS.xlsx kolom C (Unit Kerja PJ) dan kolom H (Nama Standar). Perhatian: "Standar Pengelolaan Pembelajaran" adalah nama standar dari Excel, bukan nama bab dokumen — sesuaikan dengan nama standar resmi di Kepdir XYZ.1/2025.]</w:t>
      </w:r>
    </w:p>
    <w:p/>
    <w:p>
      <w:pPr/>
      <w:r>
        <w:rPr>
          <w:i/>
          <w:color w:val="CC4400"/>
          <w:sz w:val="17"/>
        </w:rPr>
        <w:t>[CATATAN REVISI — STANDAR DIHAPUS DARI BAGIAN INI: Beberapa standar yang ada di REVISI-2 (LED C.1.1.A Aspek 2 dan Aspek 4) TIDAK DITEMUKAN di pemetaan Excel C1 dan teridentifikasi sebagai standar C5 Akuntabilitas: (1) "Persentase ketercapaian IKU Renstra" — pindah ke C5; (2) "Persentase ketersediaan laporan kinerja unit kerja" — pindah ke C5; (3) "Persentase ketersediaan sarana IKU" — pindah ke C5; (4) "Persentase pemenuhan infrastruktur TI" — pindah ke C5. Template original DOCX tidak mengandung standar-standar ini, jadi tidak ada yang dihapus dari template.]</w:t>
      </w:r>
    </w:p>
    <w:p/>
    <w:p>
      <w:pPr/>
      <w:r>
        <w:rPr>
          <w:b/>
        </w:rPr>
        <w:t>B. Fungsi SPMI dengan SDM yang Kompeten sebagai Pelaksana</w:t>
      </w:r>
    </w:p>
    <w:p>
      <w:pPr/>
      <w:r>
        <w:t>Kebijakan yang berkaitan dengan fungsi SPMI dengan SDM yang kompeten sebagai pelaksana di Politeknik Siber dan Sandi Negara adalah sebagai berikut:</w:t>
      </w:r>
    </w:p>
    <w:p>
      <w:pPr>
        <w:spacing w:before="40" w:after="40"/>
        <w:ind w:left="425"/>
      </w:pPr>
      <w:r>
        <w:rPr>
          <w:highlight w:val="yellow"/>
        </w:rPr>
        <w:t>Peraturan Menteri Pendidikan Tinggi, Sains, dan Teknologi Nomor 53 Tahun 2023 tentang Penjaminan Mutu Pendidikan Tinggi — mewajibkan penerapan SPMI berbasis siklus PPEPP di seluruh perguruan tinggi;</w:t>
      </w:r>
    </w:p>
    <w:p>
      <w:pPr>
        <w:spacing w:before="20" w:after="60"/>
        <w:ind w:left="850"/>
      </w:pPr>
      <w:r>
        <w:rPr>
          <w:i/>
          <w:color w:val="0044CC"/>
          <w:sz w:val="17"/>
        </w:rPr>
        <w:t>[CATATAN REVISI: Regulasi baru yang WAJIB dicantumkan. Template original tidak mencantumkan regulasi ini secara eksplisit. Merupakan landasan hukum SPMI terkini.]</w:t>
      </w:r>
    </w:p>
    <w:p>
      <w:pPr>
        <w:spacing w:before="40" w:after="40"/>
        <w:ind w:left="425"/>
      </w:pPr>
      <w:r>
        <w:rPr>
          <w:strike/>
          <w:color w:val="CC0000"/>
          <w:sz w:val="17"/>
        </w:rPr>
        <w:t xml:space="preserve">Keputusan Direktur Politeknik Siber dan Sandi Negara Nomor 20.1 Tahun 2022 tentang Standar Mutu Politeknik Siber dan Sandi Negara; [DIPERBARUI ke 2025] → </w:t>
      </w:r>
      <w:r>
        <w:rPr>
          <w:highlight w:val="green"/>
        </w:rPr>
        <w:t>Keputusan Direktur Politeknik Siber dan Sandi Negara Nomor XYZ.1 Tahun 2025 tentang Standar Mutu Internal Politeknik Siber dan Sandi Negara (berlaku sejak 15 Februari 2025);</w:t>
      </w:r>
    </w:p>
    <w:p>
      <w:pPr>
        <w:spacing w:before="20" w:after="60"/>
        <w:ind w:left="850"/>
      </w:pPr>
      <w:r>
        <w:rPr>
          <w:i/>
          <w:color w:val="0044CC"/>
          <w:sz w:val="17"/>
        </w:rPr>
        <w:t>[CATATAN REVISI: Ganti dari "Kepdir 20.1 Tahun 2022" ke "Kepdir XYZ.1 Tahun 2025" (standar mutu terbaru). Nomor "XYZ.1" harus diganti dengan nomor SK resmi. Kepdir 20.1/2022 sudah tidak berlaku — digantikan oleh standar mutu 2025.]</w:t>
      </w:r>
    </w:p>
    <w:p>
      <w:pPr>
        <w:spacing w:before="40" w:after="40"/>
        <w:ind w:left="425"/>
      </w:pPr>
      <w:r>
        <w:rPr>
          <w:highlight w:val="yellow"/>
        </w:rPr>
        <w:t>Peraturan Badan Siber dan Sandi Negara Nomor 1 Tahun 2023 tentang Statuta Politeknik Siber dan Sandi Negara, Pasal 90 ayat (5) — dasar hukum penerbitan dan penerapan dokumen SPMI Poltek SSN;</w:t>
      </w:r>
    </w:p>
    <w:p>
      <w:pPr>
        <w:spacing w:before="20" w:after="60"/>
        <w:ind w:left="850"/>
      </w:pPr>
      <w:r>
        <w:rPr>
          <w:i/>
          <w:color w:val="0044CC"/>
          <w:sz w:val="17"/>
        </w:rPr>
        <w:t>[CATATAN REVISI: Referensi pasal spesifik (Pasal 90 ayat 5) BARU ditambahkan untuk memperkuat legitimasi. Template original tidak menyebut pasal spesifik Statuta untuk SPMI.]</w:t>
      </w:r>
    </w:p>
    <w:p>
      <w:pPr>
        <w:spacing w:before="40" w:after="40"/>
        <w:ind w:left="425"/>
      </w:pPr>
      <w:r>
        <w:rPr>
          <w:strike/>
          <w:color w:val="CC0000"/>
          <w:sz w:val="17"/>
        </w:rPr>
        <w:t xml:space="preserve">Kepdir terkait SPMI di lingkungan Politeknik Siber dan Sandi Negara; [DIPERINCI] → </w:t>
      </w:r>
      <w:r>
        <w:rPr>
          <w:highlight w:val="green"/>
        </w:rPr>
        <w:t>Keputusan Direktur Poltek SSN tentang Pengangkatan Kepala Pusat Penjaminan Mutu (SK pengangkatan Pus Jamut sebagai unit pelaksana SPMI tingkat PT);</w:t>
      </w:r>
    </w:p>
    <w:p>
      <w:pPr>
        <w:spacing w:before="20" w:after="60"/>
        <w:ind w:left="850"/>
      </w:pPr>
      <w:r>
        <w:rPr>
          <w:i/>
          <w:color w:val="0044CC"/>
          <w:sz w:val="17"/>
        </w:rPr>
        <w:t>[CATATAN REVISI: Template menyebut "Kepdir terkait SPMI" dan "SP auditor mutu internal" secara generik. Perbarui dengan nomor SK pengangkatan resmi Kepala Pus Jamut yang terbaru.]</w:t>
      </w:r>
    </w:p>
    <w:p>
      <w:pPr>
        <w:spacing w:before="40" w:after="40"/>
        <w:ind w:left="425"/>
      </w:pPr>
      <w:r>
        <w:rPr>
          <w:highlight w:val="yellow"/>
        </w:rPr>
        <w:t>Keputusan Direktur Poltek SSN tentang Pengangkatan Gugus Kendali Mutu (GKM) sebagai pelaksana SPMI di tingkat UPPS/PS;</w:t>
      </w:r>
    </w:p>
    <w:p>
      <w:pPr>
        <w:spacing w:before="20" w:after="60"/>
        <w:ind w:left="850"/>
      </w:pPr>
      <w:r>
        <w:rPr>
          <w:i/>
          <w:color w:val="0044CC"/>
          <w:sz w:val="17"/>
        </w:rPr>
        <w:t>[CATATAN REVISI: Kebijakan ini BARU ditambahkan. GKM belum disebutkan secara eksplisit di template. GKM adalah pelaksana SPMI tingkat UPPS yang harus disebutkan sesuai struktur dua lapis.]</w:t>
      </w:r>
    </w:p>
    <w:p>
      <w:pPr>
        <w:spacing w:before="40" w:after="40"/>
        <w:ind w:left="425"/>
      </w:pPr>
      <w:r>
        <w:rPr>
          <w:strike/>
          <w:color w:val="CC0000"/>
          <w:sz w:val="17"/>
        </w:rPr>
        <w:t xml:space="preserve">SP auditor mutu internal di politeknik siber dan sandi negara; [DIPERINCI] → </w:t>
      </w:r>
      <w:r>
        <w:rPr>
          <w:highlight w:val="green"/>
        </w:rPr>
        <w:t>Surat Perintah/SK Direktur tentang Pengangkatan Auditor Mutu Internal di Poltek SSN (per siklus AMI);</w:t>
      </w:r>
    </w:p>
    <w:p>
      <w:pPr>
        <w:spacing w:before="20" w:after="60"/>
        <w:ind w:left="850"/>
      </w:pPr>
      <w:r>
        <w:rPr>
          <w:i/>
          <w:color w:val="0044CC"/>
          <w:sz w:val="17"/>
        </w:rPr>
        <w:t>[CATATAN REVISI: Template generik: "SP auditor mutu internal". Perbarui dengan nomor SP terakhir.]</w:t>
      </w:r>
    </w:p>
    <w:p>
      <w:pPr>
        <w:spacing w:before="40" w:after="40"/>
        <w:ind w:left="425"/>
      </w:pPr>
      <w:r>
        <w:rPr>
          <w:strike/>
          <w:color w:val="CC0000"/>
          <w:sz w:val="17"/>
        </w:rPr>
        <w:t xml:space="preserve">SP pelatihan dan sertifikasi auditor; [DIPERINCI] → </w:t>
      </w:r>
      <w:r>
        <w:rPr>
          <w:highlight w:val="green"/>
        </w:rPr>
        <w:t>Surat Perintah/SK tentang Pelatihan dan Sertifikasi Auditor Mutu Internal.</w:t>
      </w:r>
    </w:p>
    <w:p>
      <w:pPr>
        <w:spacing w:before="20" w:after="60"/>
        <w:ind w:left="850"/>
      </w:pPr>
      <w:r>
        <w:rPr>
          <w:i/>
          <w:color w:val="0044CC"/>
          <w:sz w:val="17"/>
        </w:rPr>
        <w:t>[CATATAN REVISI: Template generik: "SP pelatihan dan sertifikasi auditor". Perbarui dengan nomor SP terbaru.]</w:t>
      </w:r>
    </w:p>
    <w:p/>
    <w:p>
      <w:pPr/>
      <w:r>
        <w:rPr>
          <w:highlight w:val="yellow"/>
        </w:rPr>
        <w:t>Sistem Penjaminan Mutu Internal (SPMI) Poltek SSN dikelola oleh Pusat Penjaminan Mutu (Pus Jamut) di tingkat PT dan Gugus Kendali Mutu (GKM) di tingkat UPPS/PS, membentuk struktur dua lapis yang menjamin konsistensi pelaksanaan siklus PPEPP. Dokumen SPMI terdiri dari empat komponen wajib: (1) Kebijakan Mutu, (2) Manual Mutu (Panduan PPEPP), (3) Standar Mutu (Kepdir XYZ.1/2025), dan (4) Formulir SPMI. Siklus AMI dilaksanakan secara berkala dengan hasil yang dibahas dalam Rapat Tinjauan Manajemen (RTM) setiap tahun, terdokumentasi dalam Laporan RTM T.A. 2024–2025.</w:t>
      </w:r>
    </w:p>
    <w:p>
      <w:pPr>
        <w:ind w:left="283"/>
      </w:pPr>
      <w:r>
        <w:rPr>
          <w:i/>
          <w:color w:val="0044CC"/>
          <w:sz w:val="17"/>
        </w:rPr>
        <w:t>[CATATAN REVISI: Narasi ini BARU ditambahkan. Template original tidak memiliki narasi pengantar SPMI pada bagian PENETAPAN. Narasi ini penting untuk menjelaskan struktur dua lapis SPMI kepada asesor.]</w:t>
      </w:r>
    </w:p>
    <w:p/>
    <w:p>
      <w:pPr/>
      <w:r>
        <w:t>Berikut standar mutu dan indikator kinerja yang terkait dengan fungsi SPMI dengan SDM yang kompeten sebagai pelaksana di Politeknik Siber dan Sandi Negara:</w:t>
      </w:r>
    </w:p>
    <w:p>
      <w:pPr/>
      <w:r>
        <w:rPr>
          <w:i/>
          <w:color w:val="0044CC"/>
          <w:sz w:val="17"/>
        </w:rPr>
        <w:t>[CATATAN REVISI: Tabel standar mutu SPMI diperbarui berdasarkan pemetaan resmi STANDAR MUTU LED RKS.xlsx (Sheet "Indikator Mutu LED", baris 13–17, Kriteria C1 Bagian B). Kolom "PJ" dan "Rujukan Standar" BARU ditambahkan. PENTING: 4 standar AMI tambahan yang ada di REVISI-2 (nilai AMI tupoksi/sarpras/SDM/tata pamong) TIDAK ada di pemetaan Excel C1 dan dipindahkan ke C5 Akuntabilitas. Tabel ini hanya berisi 3 indikator resmi Excel C1.B.]</w:t>
      </w:r>
    </w:p>
    <w:p/>
    <w:tbl>
      <w:tblPr>
        <w:tblStyle w:val="Table2"/>
        <w:tblW w:type="auto" w:w="0"/>
        <w:tblLook w:firstColumn="1" w:firstRow="1" w:lastColumn="0" w:lastRow="0" w:noHBand="0" w:noVBand="1" w:val="04A0"/>
      </w:tblPr>
      <w:tblGrid>
        <w:gridCol w:w="1533"/>
        <w:gridCol w:w="1533"/>
        <w:gridCol w:w="1533"/>
        <w:gridCol w:w="1533"/>
        <w:gridCol w:w="1533"/>
        <w:gridCol w:w="1533"/>
      </w:tblGrid>
      <w:tr>
        <w:tc>
          <w:tcPr>
            <w:tcW w:type="dxa" w:w="1533"/>
            <w:shd w:val="clear" w:color="auto" w:fill="375623"/>
          </w:tcPr>
          <w:p>
            <w:pPr>
              <w:jc w:val="center"/>
            </w:pPr>
            <w:r>
              <w:rPr>
                <w:b/>
                <w:color w:val="FFFFFF"/>
                <w:sz w:val="18"/>
              </w:rPr>
              <w:t>No</w:t>
            </w:r>
          </w:p>
        </w:tc>
        <w:tc>
          <w:tcPr>
            <w:tcW w:type="dxa" w:w="1533"/>
            <w:shd w:val="clear" w:color="auto" w:fill="375623"/>
          </w:tcPr>
          <w:p>
            <w:pPr>
              <w:jc w:val="center"/>
            </w:pPr>
            <w:r>
              <w:rPr>
                <w:b/>
                <w:color w:val="FFFFFF"/>
                <w:sz w:val="18"/>
              </w:rPr>
              <w:t>Pernyataan Standar Mutu</w:t>
            </w:r>
          </w:p>
        </w:tc>
        <w:tc>
          <w:tcPr>
            <w:tcW w:type="dxa" w:w="1533"/>
            <w:shd w:val="clear" w:color="auto" w:fill="375623"/>
          </w:tcPr>
          <w:p>
            <w:pPr>
              <w:jc w:val="center"/>
            </w:pPr>
            <w:r>
              <w:rPr>
                <w:b/>
                <w:color w:val="FFFFFF"/>
                <w:sz w:val="18"/>
              </w:rPr>
              <w:t>Indikator</w:t>
            </w:r>
          </w:p>
        </w:tc>
        <w:tc>
          <w:tcPr>
            <w:tcW w:type="dxa" w:w="1533"/>
            <w:shd w:val="clear" w:color="auto" w:fill="375623"/>
          </w:tcPr>
          <w:p>
            <w:pPr>
              <w:jc w:val="center"/>
            </w:pPr>
            <w:r>
              <w:rPr>
                <w:b/>
                <w:color w:val="FFFFFF"/>
                <w:sz w:val="18"/>
              </w:rPr>
              <w:t>Target</w:t>
            </w:r>
          </w:p>
        </w:tc>
        <w:tc>
          <w:tcPr>
            <w:tcW w:type="dxa" w:w="1533"/>
            <w:shd w:val="clear" w:color="auto" w:fill="375623"/>
          </w:tcPr>
          <w:p>
            <w:pPr>
              <w:jc w:val="center"/>
            </w:pPr>
            <w:r>
              <w:rPr>
                <w:b/>
                <w:color w:val="FFFFFF"/>
                <w:sz w:val="18"/>
              </w:rPr>
              <w:t>PJ</w:t>
            </w:r>
          </w:p>
        </w:tc>
        <w:tc>
          <w:tcPr>
            <w:tcW w:type="dxa" w:w="1533"/>
            <w:shd w:val="clear" w:color="auto" w:fill="375623"/>
          </w:tcPr>
          <w:p>
            <w:pPr>
              <w:jc w:val="center"/>
            </w:pPr>
            <w:r>
              <w:rPr>
                <w:b/>
                <w:color w:val="FFFFFF"/>
                <w:sz w:val="18"/>
              </w:rPr>
              <w:t>Rujukan Standar</w:t>
            </w:r>
          </w:p>
        </w:tc>
      </w:tr>
      <w:tr>
        <w:tc>
          <w:tcPr>
            <w:tcW w:type="dxa" w:w="1533"/>
          </w:tcPr>
          <w:p>
            <w:pPr>
              <w:jc w:val="center"/>
            </w:pPr>
            <w:r>
              <w:rPr>
                <w:sz w:val="18"/>
                <w:highlight w:val="green"/>
              </w:rPr>
              <w:t>1</w:t>
            </w:r>
          </w:p>
        </w:tc>
        <w:tc>
          <w:tcPr>
            <w:tcW w:type="dxa" w:w="1533"/>
          </w:tcPr>
          <w:p>
            <w:r>
              <w:rPr>
                <w:sz w:val="18"/>
                <w:highlight w:val="green"/>
              </w:rPr>
              <w:t>Direktur menetapkan sistem manajemen penjaminan mutu internal</w:t>
            </w:r>
          </w:p>
        </w:tc>
        <w:tc>
          <w:tcPr>
            <w:tcW w:type="dxa" w:w="1533"/>
          </w:tcPr>
          <w:p>
            <w:r>
              <w:rPr>
                <w:sz w:val="18"/>
                <w:highlight w:val="green"/>
              </w:rPr>
              <w:t>Persentase ketersediaan dokumen standar mutu internal (4 komponen SPMI: Kebijakan Mutu, Manual Mutu, Standar Mutu, Formulir SPMI)</w:t>
            </w:r>
          </w:p>
        </w:tc>
        <w:tc>
          <w:tcPr>
            <w:tcW w:type="dxa" w:w="1533"/>
          </w:tcPr>
          <w:p>
            <w:r>
              <w:rPr>
                <w:sz w:val="18"/>
                <w:highlight w:val="green"/>
              </w:rPr>
              <w:t>100%</w:t>
            </w:r>
          </w:p>
        </w:tc>
        <w:tc>
          <w:tcPr>
            <w:tcW w:type="dxa" w:w="1533"/>
          </w:tcPr>
          <w:p>
            <w:r>
              <w:rPr>
                <w:sz w:val="18"/>
                <w:highlight w:val="yellow"/>
              </w:rPr>
              <w:t>Pus Jamut</w:t>
            </w:r>
          </w:p>
        </w:tc>
        <w:tc>
          <w:tcPr>
            <w:tcW w:type="dxa" w:w="1533"/>
          </w:tcPr>
          <w:p>
            <w:r>
              <w:rPr>
                <w:sz w:val="18"/>
                <w:highlight w:val="yellow"/>
              </w:rPr>
              <w:t>Standar Penjaminan Mutu</w:t>
            </w:r>
          </w:p>
        </w:tc>
      </w:tr>
      <w:tr>
        <w:tc>
          <w:tcPr>
            <w:tcW w:type="dxa" w:w="1533"/>
          </w:tcPr>
          <w:p>
            <w:pPr>
              <w:jc w:val="center"/>
            </w:pPr>
            <w:r>
              <w:rPr>
                <w:sz w:val="18"/>
              </w:rPr>
            </w:r>
          </w:p>
        </w:tc>
        <w:tc>
          <w:tcPr>
            <w:tcW w:type="dxa" w:w="1533"/>
          </w:tcPr>
          <w:p>
            <w:r>
              <w:rPr>
                <w:sz w:val="18"/>
              </w:rPr>
            </w:r>
          </w:p>
        </w:tc>
        <w:tc>
          <w:tcPr>
            <w:tcW w:type="dxa" w:w="1533"/>
          </w:tcPr>
          <w:p>
            <w:r>
              <w:rPr>
                <w:sz w:val="18"/>
              </w:rPr>
              <w:t>Persentase realisasi tindak lanjut hasil AMI sesuai dengan hasil RTM yang dilakukan unit kerja terkait sebagai auditee</w:t>
            </w:r>
          </w:p>
        </w:tc>
        <w:tc>
          <w:tcPr>
            <w:tcW w:type="dxa" w:w="1533"/>
          </w:tcPr>
          <w:p>
            <w:r>
              <w:rPr>
                <w:sz w:val="18"/>
              </w:rPr>
              <w:t>50%</w:t>
            </w:r>
          </w:p>
        </w:tc>
        <w:tc>
          <w:tcPr>
            <w:tcW w:type="dxa" w:w="1533"/>
          </w:tcPr>
          <w:p>
            <w:r>
              <w:rPr>
                <w:sz w:val="18"/>
                <w:highlight w:val="yellow"/>
              </w:rPr>
              <w:t>Pus Jamut</w:t>
            </w:r>
          </w:p>
        </w:tc>
        <w:tc>
          <w:tcPr>
            <w:tcW w:type="dxa" w:w="1533"/>
          </w:tcPr>
          <w:p>
            <w:r>
              <w:rPr>
                <w:sz w:val="18"/>
                <w:highlight w:val="yellow"/>
              </w:rPr>
              <w:t>Standar Penjaminan Mutu</w:t>
            </w:r>
          </w:p>
        </w:tc>
      </w:tr>
      <w:tr>
        <w:tc>
          <w:tcPr>
            <w:tcW w:type="dxa" w:w="1533"/>
          </w:tcPr>
          <w:p>
            <w:pPr>
              <w:jc w:val="center"/>
            </w:pPr>
            <w:r>
              <w:rPr>
                <w:sz w:val="18"/>
                <w:highlight w:val="green"/>
              </w:rPr>
              <w:t>2</w:t>
            </w:r>
          </w:p>
        </w:tc>
        <w:tc>
          <w:tcPr>
            <w:tcW w:type="dxa" w:w="1533"/>
          </w:tcPr>
          <w:p>
            <w:r>
              <w:rPr>
                <w:sz w:val="18"/>
                <w:highlight w:val="green"/>
              </w:rPr>
              <w:t>Direktur memastikan ketersediaan SDM pelaksana SPMI yang kompeten dan profesional</w:t>
            </w:r>
          </w:p>
        </w:tc>
        <w:tc>
          <w:tcPr>
            <w:tcW w:type="dxa" w:w="1533"/>
          </w:tcPr>
          <w:p>
            <w:r>
              <w:rPr>
                <w:sz w:val="18"/>
                <w:highlight w:val="green"/>
              </w:rPr>
              <w:t>Persentase jumlah auditor mutu internal yang memiliki sertifikat pelatihan atau sertifikasi kompetensi sebagai auditor</w:t>
            </w:r>
          </w:p>
        </w:tc>
        <w:tc>
          <w:tcPr>
            <w:tcW w:type="dxa" w:w="1533"/>
          </w:tcPr>
          <w:p>
            <w:r>
              <w:rPr>
                <w:sz w:val="18"/>
                <w:highlight w:val="green"/>
              </w:rPr>
              <w:t>80%</w:t>
            </w:r>
          </w:p>
        </w:tc>
        <w:tc>
          <w:tcPr>
            <w:tcW w:type="dxa" w:w="1533"/>
          </w:tcPr>
          <w:p>
            <w:r>
              <w:rPr>
                <w:sz w:val="18"/>
                <w:highlight w:val="yellow"/>
              </w:rPr>
              <w:t>Pus Jamut</w:t>
            </w:r>
          </w:p>
        </w:tc>
        <w:tc>
          <w:tcPr>
            <w:tcW w:type="dxa" w:w="1533"/>
          </w:tcPr>
          <w:p>
            <w:r>
              <w:rPr>
                <w:sz w:val="18"/>
                <w:highlight w:val="yellow"/>
              </w:rPr>
              <w:t>Standar Penjaminan Mutu</w:t>
            </w:r>
          </w:p>
        </w:tc>
      </w:tr>
    </w:tbl>
    <w:p/>
    <w:p>
      <w:pPr/>
      <w:r>
        <w:rPr>
          <w:b/>
          <w:color w:val="CC4400"/>
        </w:rPr>
        <w:t>Standar yang teridentifikasi sebagai C5 Akuntabilitas (BUKAN bagian C1):</w:t>
      </w:r>
    </w:p>
    <w:p>
      <w:pPr>
        <w:ind w:left="425"/>
      </w:pPr>
      <w:r>
        <w:rPr>
          <w:strike/>
          <w:color w:val="CC0000"/>
          <w:sz w:val="18"/>
        </w:rPr>
        <w:t>✕ [PINDAHKAN KE C5] Persentase nilai AMI berdasarkan kesesuaian target indikator mutu (tupoksi) tiap unit kerja — Target: 75%, PJ: Pus Jamut</w:t>
      </w:r>
    </w:p>
    <w:p>
      <w:pPr>
        <w:ind w:left="425"/>
      </w:pPr>
      <w:r>
        <w:rPr>
          <w:strike/>
          <w:color w:val="CC0000"/>
          <w:sz w:val="18"/>
        </w:rPr>
        <w:t>✕ [PINDAHKAN KE C5] Persentase nilai AMI berdasarkan kesesuaian standar sarana prasarana — Target: 75%, PJ: Pus Jamut</w:t>
      </w:r>
    </w:p>
    <w:p>
      <w:pPr>
        <w:ind w:left="425"/>
      </w:pPr>
      <w:r>
        <w:rPr>
          <w:strike/>
          <w:color w:val="CC0000"/>
          <w:sz w:val="18"/>
        </w:rPr>
        <w:t>✕ [PINDAHKAN KE C5] Persentase nilai AMI berdasarkan kesesuaian standar kompetensi SDM dan lulusan — Target: 100%, PJ: Pus Jamut</w:t>
      </w:r>
    </w:p>
    <w:p>
      <w:pPr>
        <w:ind w:left="425"/>
      </w:pPr>
      <w:r>
        <w:rPr>
          <w:strike/>
          <w:color w:val="CC0000"/>
          <w:sz w:val="18"/>
        </w:rPr>
        <w:t>✕ [PINDAHKAN KE C5] Persentase nilai AMI berdasarkan kesesuaian standar tata pamong — Target: 75%, PJ: Pus Jamut</w:t>
      </w:r>
    </w:p>
    <w:p>
      <w:pPr/>
      <w:r>
        <w:rPr>
          <w:i/>
          <w:color w:val="CC4400"/>
          <w:sz w:val="17"/>
        </w:rPr>
        <w:t>[CATATAN REVISI: Keempat standar di atas teridentifikasi pada pemetaan STANDAR MUTU LED RKS.xlsx sebagai bagian dari Kriteria C5 Akuntabilitas, BUKAN C1. Standar-standar ini harus dipindahkan ke LED C.5. Template original (LED Prodi RKS 2025.docx) tidak mengandung standar ini di bagian PENETAPAN, sehingga tidak ada penghapusan yang diperlukan pada template. Namun perlu dipastikan bahwa LED C5 yang akan disusun memuat standar-standar ini.]</w:t>
      </w:r>
    </w:p>
    <w:p/>
    <w:p>
      <w:pPr>
        <w:pStyle w:val="Heading4"/>
      </w:pPr>
      <w:r>
        <w:t>RINGKASAN PERUBAHAN C.1.1 [PENETAPAN] vs Template Original</w:t>
      </w:r>
    </w:p>
    <w:tbl>
      <w:tblPr>
        <w:tblStyle w:val="Table2"/>
        <w:tblW w:type="auto" w:w="0"/>
        <w:tblLook w:firstColumn="1" w:firstRow="1" w:lastColumn="0" w:lastRow="0" w:noHBand="0" w:noVBand="1" w:val="04A0"/>
      </w:tblPr>
      <w:tblGrid>
        <w:gridCol w:w="1840"/>
        <w:gridCol w:w="1840"/>
        <w:gridCol w:w="1840"/>
        <w:gridCol w:w="1840"/>
        <w:gridCol w:w="1840"/>
      </w:tblGrid>
      <w:tr>
        <w:tc>
          <w:tcPr>
            <w:tcW w:type="dxa" w:w="1840"/>
            <w:shd w:val="clear" w:color="auto" w:fill="4F4F4F"/>
          </w:tcPr>
          <w:p>
            <w:r>
              <w:rPr>
                <w:b/>
                <w:color w:val="FFFFFF"/>
                <w:sz w:val="17"/>
              </w:rPr>
              <w:t>No</w:t>
            </w:r>
          </w:p>
        </w:tc>
        <w:tc>
          <w:tcPr>
            <w:tcW w:type="dxa" w:w="1840"/>
            <w:shd w:val="clear" w:color="auto" w:fill="4F4F4F"/>
          </w:tcPr>
          <w:p>
            <w:r>
              <w:rPr>
                <w:b/>
                <w:color w:val="FFFFFF"/>
                <w:sz w:val="17"/>
              </w:rPr>
              <w:t>Aspek Perubahan</w:t>
            </w:r>
          </w:p>
        </w:tc>
        <w:tc>
          <w:tcPr>
            <w:tcW w:type="dxa" w:w="1840"/>
            <w:shd w:val="clear" w:color="auto" w:fill="4F4F4F"/>
          </w:tcPr>
          <w:p>
            <w:r>
              <w:rPr>
                <w:b/>
                <w:color w:val="FFFFFF"/>
                <w:sz w:val="17"/>
              </w:rPr>
              <w:t>Template/REVISI-2 Lama</w:t>
            </w:r>
          </w:p>
        </w:tc>
        <w:tc>
          <w:tcPr>
            <w:tcW w:type="dxa" w:w="1840"/>
            <w:shd w:val="clear" w:color="auto" w:fill="4F4F4F"/>
          </w:tcPr>
          <w:p>
            <w:r>
              <w:rPr>
                <w:b/>
                <w:color w:val="FFFFFF"/>
                <w:sz w:val="17"/>
              </w:rPr>
              <w:t>REVISI-3 Baru</w:t>
            </w:r>
          </w:p>
        </w:tc>
        <w:tc>
          <w:tcPr>
            <w:tcW w:type="dxa" w:w="1840"/>
            <w:shd w:val="clear" w:color="auto" w:fill="4F4F4F"/>
          </w:tcPr>
          <w:p>
            <w:r>
              <w:rPr>
                <w:b/>
                <w:color w:val="FFFFFF"/>
                <w:sz w:val="17"/>
              </w:rPr>
              <w:t>Keterangan</w:t>
            </w:r>
          </w:p>
        </w:tc>
      </w:tr>
      <w:tr>
        <w:tc>
          <w:tcPr>
            <w:tcW w:type="dxa" w:w="1840"/>
          </w:tcPr>
          <w:p>
            <w:pPr>
              <w:jc w:val="center"/>
            </w:pPr>
            <w:r>
              <w:rPr>
                <w:sz w:val="17"/>
              </w:rPr>
              <w:t>1</w:t>
            </w:r>
          </w:p>
        </w:tc>
        <w:tc>
          <w:tcPr>
            <w:tcW w:type="dxa" w:w="1840"/>
          </w:tcPr>
          <w:p>
            <w:r>
              <w:rPr>
                <w:sz w:val="17"/>
              </w:rPr>
              <w:t>Target indikator kalender akademik</w:t>
            </w:r>
          </w:p>
        </w:tc>
        <w:tc>
          <w:tcPr>
            <w:tcW w:type="dxa" w:w="1840"/>
          </w:tcPr>
          <w:p>
            <w:r>
              <w:rPr>
                <w:sz w:val="17"/>
              </w:rPr>
              <w:t>"100%" di REVISI-2 sebelumnya</w:t>
            </w:r>
          </w:p>
        </w:tc>
        <w:tc>
          <w:tcPr>
            <w:tcW w:type="dxa" w:w="1840"/>
          </w:tcPr>
          <w:p>
            <w:r>
              <w:rPr>
                <w:sz w:val="17"/>
              </w:rPr>
              <w:t>"30%" — sesuai STANDAR MUTU LED RKS.xlsx baris 8</w:t>
            </w:r>
          </w:p>
        </w:tc>
        <w:tc>
          <w:tcPr>
            <w:tcW w:type="dxa" w:w="1840"/>
          </w:tcPr>
          <w:p>
            <w:r>
              <w:rPr>
                <w:sz w:val="17"/>
              </w:rPr>
              <w:t>⚠️ Kritis — konfirmasi ke Pus Jamut</w:t>
            </w:r>
          </w:p>
        </w:tc>
      </w:tr>
      <w:tr>
        <w:tc>
          <w:tcPr>
            <w:tcW w:type="dxa" w:w="1840"/>
          </w:tcPr>
          <w:p>
            <w:pPr>
              <w:jc w:val="center"/>
            </w:pPr>
            <w:r>
              <w:rPr>
                <w:sz w:val="17"/>
              </w:rPr>
              <w:t>2</w:t>
            </w:r>
          </w:p>
        </w:tc>
        <w:tc>
          <w:tcPr>
            <w:tcW w:type="dxa" w:w="1840"/>
          </w:tcPr>
          <w:p>
            <w:r>
              <w:rPr>
                <w:sz w:val="17"/>
              </w:rPr>
              <w:t>Kolom PJ dan Rujukan Standar di tabel</w:t>
            </w:r>
          </w:p>
        </w:tc>
        <w:tc>
          <w:tcPr>
            <w:tcW w:type="dxa" w:w="1840"/>
          </w:tcPr>
          <w:p>
            <w:r>
              <w:rPr>
                <w:sz w:val="17"/>
              </w:rPr>
              <w:t>Tidak ada di template</w:t>
            </w:r>
          </w:p>
        </w:tc>
        <w:tc>
          <w:tcPr>
            <w:tcW w:type="dxa" w:w="1840"/>
          </w:tcPr>
          <w:p>
            <w:r>
              <w:rPr>
                <w:sz w:val="17"/>
              </w:rPr>
              <w:t>Ditambahkan di kedua tabel (A dan B)</w:t>
            </w:r>
          </w:p>
        </w:tc>
        <w:tc>
          <w:tcPr>
            <w:tcW w:type="dxa" w:w="1840"/>
          </w:tcPr>
          <w:p>
            <w:r>
              <w:rPr>
                <w:sz w:val="17"/>
              </w:rPr>
              <w:t>🟡 Baru — data dari Excel kolom C dan H</w:t>
            </w:r>
          </w:p>
        </w:tc>
      </w:tr>
      <w:tr>
        <w:tc>
          <w:tcPr>
            <w:tcW w:type="dxa" w:w="1840"/>
          </w:tcPr>
          <w:p>
            <w:pPr>
              <w:jc w:val="center"/>
            </w:pPr>
            <w:r>
              <w:rPr>
                <w:sz w:val="17"/>
              </w:rPr>
              <w:t>3</w:t>
            </w:r>
          </w:p>
        </w:tc>
        <w:tc>
          <w:tcPr>
            <w:tcW w:type="dxa" w:w="1840"/>
          </w:tcPr>
          <w:p>
            <w:r>
              <w:rPr>
                <w:sz w:val="17"/>
              </w:rPr>
              <w:t>Referensi probis.poltekssn.ac.id</w:t>
            </w:r>
          </w:p>
        </w:tc>
        <w:tc>
          <w:tcPr>
            <w:tcW w:type="dxa" w:w="1840"/>
          </w:tcPr>
          <w:p>
            <w:r>
              <w:rPr>
                <w:sz w:val="17"/>
              </w:rPr>
              <w:t>Tidak disebutkan</w:t>
            </w:r>
          </w:p>
        </w:tc>
        <w:tc>
          <w:tcPr>
            <w:tcW w:type="dxa" w:w="1840"/>
          </w:tcPr>
          <w:p>
            <w:r>
              <w:rPr>
                <w:sz w:val="17"/>
              </w:rPr>
              <w:t>Ditambahkan di kebijakan Kepdir 18/2021</w:t>
            </w:r>
          </w:p>
        </w:tc>
        <w:tc>
          <w:tcPr>
            <w:tcW w:type="dxa" w:w="1840"/>
          </w:tcPr>
          <w:p>
            <w:r>
              <w:rPr>
                <w:sz w:val="17"/>
              </w:rPr>
              <w:t>🟡 Baru — sesuai GAP-5</w:t>
            </w:r>
          </w:p>
        </w:tc>
      </w:tr>
      <w:tr>
        <w:tc>
          <w:tcPr>
            <w:tcW w:type="dxa" w:w="1840"/>
          </w:tcPr>
          <w:p>
            <w:pPr>
              <w:jc w:val="center"/>
            </w:pPr>
            <w:r>
              <w:rPr>
                <w:sz w:val="17"/>
              </w:rPr>
              <w:t>4</w:t>
            </w:r>
          </w:p>
        </w:tc>
        <w:tc>
          <w:tcPr>
            <w:tcW w:type="dxa" w:w="1840"/>
          </w:tcPr>
          <w:p>
            <w:r>
              <w:rPr>
                <w:sz w:val="17"/>
              </w:rPr>
              <w:t>Kepdir SPMI: 20.1/2022 → XYZ.1/2025</w:t>
            </w:r>
          </w:p>
        </w:tc>
        <w:tc>
          <w:tcPr>
            <w:tcW w:type="dxa" w:w="1840"/>
          </w:tcPr>
          <w:p>
            <w:r>
              <w:rPr>
                <w:sz w:val="17"/>
              </w:rPr>
              <w:t>Kepdir 20.1 Tahun 2022</w:t>
            </w:r>
          </w:p>
        </w:tc>
        <w:tc>
          <w:tcPr>
            <w:tcW w:type="dxa" w:w="1840"/>
          </w:tcPr>
          <w:p>
            <w:r>
              <w:rPr>
                <w:sz w:val="17"/>
              </w:rPr>
              <w:t>Kepdir XYZ.1 Tahun 2025</w:t>
            </w:r>
          </w:p>
        </w:tc>
        <w:tc>
          <w:tcPr>
            <w:tcW w:type="dxa" w:w="1840"/>
          </w:tcPr>
          <w:p>
            <w:r>
              <w:rPr>
                <w:sz w:val="17"/>
              </w:rPr>
              <w:t>🟢 Diperbarui — konfirmasi nomor SK resmi</w:t>
            </w:r>
          </w:p>
        </w:tc>
      </w:tr>
      <w:tr>
        <w:tc>
          <w:tcPr>
            <w:tcW w:type="dxa" w:w="1840"/>
          </w:tcPr>
          <w:p>
            <w:pPr>
              <w:jc w:val="center"/>
            </w:pPr>
            <w:r>
              <w:rPr>
                <w:sz w:val="17"/>
              </w:rPr>
              <w:t>5</w:t>
            </w:r>
          </w:p>
        </w:tc>
        <w:tc>
          <w:tcPr>
            <w:tcW w:type="dxa" w:w="1840"/>
          </w:tcPr>
          <w:p>
            <w:r>
              <w:rPr>
                <w:sz w:val="17"/>
              </w:rPr>
              <w:t>Kepdir VMTS: 02.1/2020 → 06.2/2022</w:t>
            </w:r>
          </w:p>
        </w:tc>
        <w:tc>
          <w:tcPr>
            <w:tcW w:type="dxa" w:w="1840"/>
          </w:tcPr>
          <w:p>
            <w:r>
              <w:rPr>
                <w:sz w:val="17"/>
              </w:rPr>
              <w:t>Kepdir 02.1 Tahun 2020 (VMTS Poltek SSN)</w:t>
            </w:r>
          </w:p>
        </w:tc>
        <w:tc>
          <w:tcPr>
            <w:tcW w:type="dxa" w:w="1840"/>
          </w:tcPr>
          <w:p>
            <w:r>
              <w:rPr>
                <w:sz w:val="17"/>
              </w:rPr>
              <w:t>Kepdir 06.2 Tahun 2022 (VMTS PS RKS)</w:t>
            </w:r>
          </w:p>
        </w:tc>
        <w:tc>
          <w:tcPr>
            <w:tcW w:type="dxa" w:w="1840"/>
          </w:tcPr>
          <w:p>
            <w:r>
              <w:rPr>
                <w:sz w:val="17"/>
              </w:rPr>
              <w:t>🟢 Diperbarui</w:t>
            </w:r>
          </w:p>
        </w:tc>
      </w:tr>
      <w:tr>
        <w:tc>
          <w:tcPr>
            <w:tcW w:type="dxa" w:w="1840"/>
          </w:tcPr>
          <w:p>
            <w:pPr>
              <w:jc w:val="center"/>
            </w:pPr>
            <w:r>
              <w:rPr>
                <w:sz w:val="17"/>
              </w:rPr>
              <w:t>6</w:t>
            </w:r>
          </w:p>
        </w:tc>
        <w:tc>
          <w:tcPr>
            <w:tcW w:type="dxa" w:w="1840"/>
          </w:tcPr>
          <w:p>
            <w:r>
              <w:rPr>
                <w:sz w:val="17"/>
              </w:rPr>
              <w:t>Permendiktisaintek No. 39/2025</w:t>
            </w:r>
          </w:p>
        </w:tc>
        <w:tc>
          <w:tcPr>
            <w:tcW w:type="dxa" w:w="1840"/>
          </w:tcPr>
          <w:p>
            <w:r>
              <w:rPr>
                <w:sz w:val="17"/>
              </w:rPr>
              <w:t>Tidak ada</w:t>
            </w:r>
          </w:p>
        </w:tc>
        <w:tc>
          <w:tcPr>
            <w:tcW w:type="dxa" w:w="1840"/>
          </w:tcPr>
          <w:p>
            <w:r>
              <w:rPr>
                <w:sz w:val="17"/>
              </w:rPr>
              <w:t>Ditambahkan</w:t>
            </w:r>
          </w:p>
        </w:tc>
        <w:tc>
          <w:tcPr>
            <w:tcW w:type="dxa" w:w="1840"/>
          </w:tcPr>
          <w:p>
            <w:r>
              <w:rPr>
                <w:sz w:val="17"/>
              </w:rPr>
              <w:t>🟡 Baru — regulasi SN-DIKTI terbaru</w:t>
            </w:r>
          </w:p>
        </w:tc>
      </w:tr>
      <w:tr>
        <w:tc>
          <w:tcPr>
            <w:tcW w:type="dxa" w:w="1840"/>
          </w:tcPr>
          <w:p>
            <w:pPr>
              <w:jc w:val="center"/>
            </w:pPr>
            <w:r>
              <w:rPr>
                <w:sz w:val="17"/>
              </w:rPr>
              <w:t>7</w:t>
            </w:r>
          </w:p>
        </w:tc>
        <w:tc>
          <w:tcPr>
            <w:tcW w:type="dxa" w:w="1840"/>
          </w:tcPr>
          <w:p>
            <w:r>
              <w:rPr>
                <w:sz w:val="17"/>
              </w:rPr>
              <w:t>Permen 53/2023 tentang Penjaminan Mutu</w:t>
            </w:r>
          </w:p>
        </w:tc>
        <w:tc>
          <w:tcPr>
            <w:tcW w:type="dxa" w:w="1840"/>
          </w:tcPr>
          <w:p>
            <w:r>
              <w:rPr>
                <w:sz w:val="17"/>
              </w:rPr>
              <w:t>Tidak ada</w:t>
            </w:r>
          </w:p>
        </w:tc>
        <w:tc>
          <w:tcPr>
            <w:tcW w:type="dxa" w:w="1840"/>
          </w:tcPr>
          <w:p>
            <w:r>
              <w:rPr>
                <w:sz w:val="17"/>
              </w:rPr>
              <w:t>Ditambahkan di kebijakan SPMI</w:t>
            </w:r>
          </w:p>
        </w:tc>
        <w:tc>
          <w:tcPr>
            <w:tcW w:type="dxa" w:w="1840"/>
          </w:tcPr>
          <w:p>
            <w:r>
              <w:rPr>
                <w:sz w:val="17"/>
              </w:rPr>
              <w:t>🟡 Baru — landasan hukum SPMI</w:t>
            </w:r>
          </w:p>
        </w:tc>
      </w:tr>
      <w:tr>
        <w:tc>
          <w:tcPr>
            <w:tcW w:type="dxa" w:w="1840"/>
          </w:tcPr>
          <w:p>
            <w:pPr>
              <w:jc w:val="center"/>
            </w:pPr>
            <w:r>
              <w:rPr>
                <w:sz w:val="17"/>
              </w:rPr>
              <w:t>8</w:t>
            </w:r>
          </w:p>
        </w:tc>
        <w:tc>
          <w:tcPr>
            <w:tcW w:type="dxa" w:w="1840"/>
          </w:tcPr>
          <w:p>
            <w:r>
              <w:rPr>
                <w:sz w:val="17"/>
              </w:rPr>
              <w:t>GKM disebutkan eksplisit</w:t>
            </w:r>
          </w:p>
        </w:tc>
        <w:tc>
          <w:tcPr>
            <w:tcW w:type="dxa" w:w="1840"/>
          </w:tcPr>
          <w:p>
            <w:r>
              <w:rPr>
                <w:sz w:val="17"/>
              </w:rPr>
              <w:t>Tidak ada</w:t>
            </w:r>
          </w:p>
        </w:tc>
        <w:tc>
          <w:tcPr>
            <w:tcW w:type="dxa" w:w="1840"/>
          </w:tcPr>
          <w:p>
            <w:r>
              <w:rPr>
                <w:sz w:val="17"/>
              </w:rPr>
              <w:t>Ditambahkan sebagai pelaksana SPMI tingkat UPPS/PS</w:t>
            </w:r>
          </w:p>
        </w:tc>
        <w:tc>
          <w:tcPr>
            <w:tcW w:type="dxa" w:w="1840"/>
          </w:tcPr>
          <w:p>
            <w:r>
              <w:rPr>
                <w:sz w:val="17"/>
              </w:rPr>
              <w:t>🟡 Baru</w:t>
            </w:r>
          </w:p>
        </w:tc>
      </w:tr>
      <w:tr>
        <w:tc>
          <w:tcPr>
            <w:tcW w:type="dxa" w:w="1840"/>
          </w:tcPr>
          <w:p>
            <w:pPr>
              <w:jc w:val="center"/>
            </w:pPr>
            <w:r>
              <w:rPr>
                <w:sz w:val="17"/>
              </w:rPr>
              <w:t>9</w:t>
            </w:r>
          </w:p>
        </w:tc>
        <w:tc>
          <w:tcPr>
            <w:tcW w:type="dxa" w:w="1840"/>
          </w:tcPr>
          <w:p>
            <w:r>
              <w:rPr>
                <w:sz w:val="17"/>
              </w:rPr>
              <w:t>Narasi pengantar A dan B</w:t>
            </w:r>
          </w:p>
        </w:tc>
        <w:tc>
          <w:tcPr>
            <w:tcW w:type="dxa" w:w="1840"/>
          </w:tcPr>
          <w:p>
            <w:r>
              <w:rPr>
                <w:sz w:val="17"/>
              </w:rPr>
              <w:t>Tidak ada</w:t>
            </w:r>
          </w:p>
        </w:tc>
        <w:tc>
          <w:tcPr>
            <w:tcW w:type="dxa" w:w="1840"/>
          </w:tcPr>
          <w:p>
            <w:r>
              <w:rPr>
                <w:sz w:val="17"/>
              </w:rPr>
              <w:t>Ditambahkan sebagai narasi deskriptif tiap sub-aspek</w:t>
            </w:r>
          </w:p>
        </w:tc>
        <w:tc>
          <w:tcPr>
            <w:tcW w:type="dxa" w:w="1840"/>
          </w:tcPr>
          <w:p>
            <w:r>
              <w:rPr>
                <w:sz w:val="17"/>
              </w:rPr>
              <w:t>🟡 Baru — memperkuat deskripsi</w:t>
            </w:r>
          </w:p>
        </w:tc>
      </w:tr>
      <w:tr>
        <w:tc>
          <w:tcPr>
            <w:tcW w:type="dxa" w:w="1840"/>
          </w:tcPr>
          <w:p>
            <w:pPr>
              <w:jc w:val="center"/>
            </w:pPr>
            <w:r>
              <w:rPr>
                <w:sz w:val="17"/>
              </w:rPr>
              <w:t>10</w:t>
            </w:r>
          </w:p>
        </w:tc>
        <w:tc>
          <w:tcPr>
            <w:tcW w:type="dxa" w:w="1840"/>
          </w:tcPr>
          <w:p>
            <w:r>
              <w:rPr>
                <w:sz w:val="17"/>
              </w:rPr>
              <w:t>4 standar AMI (nilai AMI tupoksi/sarpras/SDM/tata pamong)</w:t>
            </w:r>
          </w:p>
        </w:tc>
        <w:tc>
          <w:tcPr>
            <w:tcW w:type="dxa" w:w="1840"/>
          </w:tcPr>
          <w:p>
            <w:r>
              <w:rPr>
                <w:sz w:val="17"/>
              </w:rPr>
              <w:t>Ada di REVISI-2 (tapi tidak di template DOCX)</w:t>
            </w:r>
          </w:p>
        </w:tc>
        <w:tc>
          <w:tcPr>
            <w:tcW w:type="dxa" w:w="1840"/>
          </w:tcPr>
          <w:p>
            <w:r>
              <w:rPr>
                <w:sz w:val="17"/>
              </w:rPr>
              <w:t>Dipindahkan ke C5 Akuntabilitas</w:t>
            </w:r>
          </w:p>
        </w:tc>
        <w:tc>
          <w:tcPr>
            <w:tcW w:type="dxa" w:w="1840"/>
          </w:tcPr>
          <w:p>
            <w:r>
              <w:rPr>
                <w:sz w:val="17"/>
              </w:rPr>
              <w:t>🔴 Dipindahkan — bukan bagian C1</w:t>
            </w:r>
          </w:p>
        </w:tc>
      </w:tr>
    </w:tbl>
    <w:p/>
    <w:p>
      <w:pPr/>
      <w:r>
        <w:rPr>
          <w:i/>
          <w:sz w:val="17"/>
        </w:rPr>
        <w:t>Dokumen ini merupakan pembaruan C.1.1 [PENETAPAN] berdasarkan:</w:t>
        <w:br/>
        <w:t>• STANDAR MUTU LED RKS.xlsx — Sheet "Indikator Mutu LED" baris 3–17 (C1 Budaya Mutu)</w:t>
        <w:br/>
        <w:t>• GAP-C1.1-Standar-Mutu-vs-LED.md — Analisis gap 21 April 2026</w:t>
        <w:br/>
        <w:t>• LED Prodi RKS 2025.docx — Template struktur</w:t>
        <w:br/>
        <w:t>• LED-C1.1-Penetapan-Budaya-Mutu-REVISI-3.md — Versi narasi lengkap</w:t>
        <w:br/>
        <w:br/>
        <w:t>Tanggal revisi: 21 April 2026 | Konfirmasi final: Pusat Penjaminan Mutu Poltek SSN</w:t>
      </w:r>
    </w:p>
    <w:sectPr>
      <w:type w:val="nextPage"/>
      <w:pgSz w:h="16850" w:w="11920" w:orient="portrait"/>
      <w:pgMar w:bottom="1120" w:top="1160" w:left="1474" w:right="1247" w:header="0" w:footer="9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ampuriezt" w:id="7" w:date="2025-09-22T08:08:33Z">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abdimas yang berupa narasumber dari DTPR?</w:t>
      </w:r>
    </w:p>
  </w:comment>
  <w:comment w:author="rampuriezt" w:id="8" w:date="2025-09-23T04:07:46Z">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narasi singkat terkait hibah PkM</w:t>
      </w:r>
    </w:p>
  </w:comment>
  <w:comment w:author="Susila Windarta" w:id="11" w:date="2025-09-24T04:30:58Z">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Tambahkan cuplikan layar untuk laman web yang tidak bisa diakses dari jaringan luar Poltek SSN.</w:t>
      </w:r>
    </w:p>
  </w:comment>
  <w:comment w:author="Susila Windarta" w:id="12" w:date="2025-09-26T07:04:31Z">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Cuplikan layar disimpan pada drive akreditasi.</w:t>
      </w:r>
    </w:p>
  </w:comment>
  <w:comment w:author="rampuriezt" w:id="5" w:date="2025-09-24T04:11:22Z">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apakah kerjasama penelitian dengan universitas LN disebut kerjasama internasional ? contoh cardiff</w:t>
      </w:r>
    </w:p>
  </w:comment>
  <w:comment w:author="Ira Rosianal Hikmah" w:id="6" w:date="2025-09-25T02:13:08Z">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selama ada MoU dan PKS, iya.</w:t>
      </w:r>
    </w:p>
  </w:comment>
  <w:comment w:author="rampuriezt" w:id="9" w:date="2025-09-24T04:11:22Z">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apakah kerjasama penelitian dengan universitas LN disebut kerjasama internasional ? contoh cardiff</w:t>
      </w:r>
    </w:p>
  </w:comment>
  <w:comment w:author="Ira Rosianal Hikmah" w:id="10" w:date="2025-09-25T02:13:08Z">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selama ada MoU dan PKS, iya.</w:t>
      </w:r>
    </w:p>
  </w:comment>
  <w:comment w:author="Ira Rosianal Hikmah" w:id="3" w:date="2025-09-25T02:37:20Z">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konfirm ke unit yang terkait sarpras (unit TI, perpus, part, labdu, dll)</w:t>
      </w:r>
    </w:p>
  </w:comment>
  <w:comment w:author="Anonymous" w:id="0" w:date="2025-09-24T06:48:01Z">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PP 4 2014 mencabut PP ini mencabut ketentuan Pasal 5 ayat (6), ayat (8), dan ayat (9), Pasal 14, dan Pasal 15 Peraturan Pemerintah Nomor 14 Tahun 2010.</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Cek kembali.</w:t>
      </w:r>
    </w:p>
  </w:comment>
  <w:comment w:author="Ira Rosianal Hikmah" w:id="4" w:date="2025-09-25T02:36:21Z">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konfirm pusat lit dan pkm (?)</w:t>
      </w:r>
    </w:p>
  </w:comment>
  <w:comment w:author="Susila Windarta" w:id="1" w:date="2025-09-24T07:45:34Z">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Data-data yang lama sebaiknya diperbarui.</w:t>
      </w:r>
    </w:p>
  </w:comment>
  <w:comment w:author="Susila Windarta" w:id="2" w:date="2025-09-24T07:46:34Z">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Klaim seperti ini perlu data dukung/bukti.</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Arial Unicode MS"/>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-114299</wp:posOffset>
              </wp:positionH>
              <wp:positionV relativeFrom="paragraph">
                <wp:posOffset>9715500</wp:posOffset>
              </wp:positionV>
              <wp:extent cx="3393440" cy="477520"/>
              <wp:effectExtent b="0" l="0" r="0" t="0"/>
              <wp:wrapNone/>
              <wp:docPr id="10" name=""/>
              <a:graphic>
                <a:graphicData uri="http://schemas.microsoft.com/office/word/2010/wordprocessingShape">
                  <wps:wsp>
                    <wps:cNvSpPr/>
                    <wps:cNvPr id="15" name="Shape 15"/>
                    <wps:spPr>
                      <a:xfrm>
                        <a:off x="4590033" y="3546003"/>
                        <a:ext cx="3383915" cy="467995"/>
                      </a:xfrm>
                      <a:custGeom>
                        <a:rect b="b" l="l" r="r" t="t"/>
                        <a:pathLst>
                          <a:path extrusionOk="0" h="467995" w="3383915">
                            <a:moveTo>
                              <a:pt x="0" y="0"/>
                            </a:moveTo>
                            <a:lnTo>
                              <a:pt x="0" y="467995"/>
                            </a:lnTo>
                            <a:lnTo>
                              <a:pt x="3383915" y="467995"/>
                            </a:lnTo>
                            <a:lnTo>
                              <a:pt x="3383915" y="0"/>
                            </a:lnTo>
                            <a:close/>
                          </a:path>
                        </a:pathLst>
                      </a:custGeom>
                      <a:noFill/>
                      <a:ln>
                        <a:noFill/>
                      </a:ln>
                    </wps:spPr>
                    <wps:txbx>
                      <w:txbxContent>
                        <w:p w:rsidR="00000000" w:rsidDel="00000000" w:rsidP="00000000" w:rsidRDefault="00000000" w:rsidRPr="00000000">
                          <w:pPr>
                            <w:spacing w:after="0" w:before="158.00000190734863" w:line="275.9999942779541"/>
                            <w:ind w:left="0" w:right="113.00000190734863"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Laporan Evaluasi Diri LAM INFOKOM 2.0 - 2025</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-114299</wp:posOffset>
              </wp:positionH>
              <wp:positionV relativeFrom="paragraph">
                <wp:posOffset>9715500</wp:posOffset>
              </wp:positionV>
              <wp:extent cx="3393440" cy="477520"/>
              <wp:effectExtent b="0" l="0" r="0" t="0"/>
              <wp:wrapNone/>
              <wp:docPr id="10"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3393440" cy="477520"/>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5778500</wp:posOffset>
              </wp:positionH>
              <wp:positionV relativeFrom="paragraph">
                <wp:posOffset>9652000</wp:posOffset>
              </wp:positionV>
              <wp:extent cx="173990" cy="363220"/>
              <wp:effectExtent b="0" l="0" r="0" t="0"/>
              <wp:wrapNone/>
              <wp:docPr id="2" name=""/>
              <a:graphic>
                <a:graphicData uri="http://schemas.microsoft.com/office/word/2010/wordprocessingShape">
                  <wps:wsp>
                    <wps:cNvSpPr/>
                    <wps:cNvPr id="3" name="Shape 3"/>
                    <wps:spPr>
                      <a:xfrm>
                        <a:off x="6199758" y="3603153"/>
                        <a:ext cx="164465" cy="353695"/>
                      </a:xfrm>
                      <a:custGeom>
                        <a:rect b="b" l="l" r="r" t="t"/>
                        <a:pathLst>
                          <a:path extrusionOk="0" h="353695" w="164465">
                            <a:moveTo>
                              <a:pt x="0" y="0"/>
                            </a:moveTo>
                            <a:lnTo>
                              <a:pt x="0" y="353695"/>
                            </a:lnTo>
                            <a:lnTo>
                              <a:pt x="164465" y="353695"/>
                            </a:lnTo>
                            <a:lnTo>
                              <a:pt x="164465" y="0"/>
                            </a:lnTo>
                            <a:close/>
                          </a:path>
                        </a:pathLst>
                      </a:custGeom>
                      <a:noFill/>
                      <a:ln>
                        <a:noFill/>
                      </a:ln>
                    </wps:spPr>
                    <wps:txbx>
                      <w:txbxContent>
                        <w:p w:rsidR="00000000" w:rsidDel="00000000" w:rsidP="00000000" w:rsidRDefault="00000000" w:rsidRPr="00000000">
                          <w:pPr>
                            <w:spacing w:after="0" w:before="158.00000190734863" w:line="275.9999942779541"/>
                            <w:ind w:left="0" w:right="113.00000190734863"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 PAGE 28</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5778500</wp:posOffset>
              </wp:positionH>
              <wp:positionV relativeFrom="paragraph">
                <wp:posOffset>9652000</wp:posOffset>
              </wp:positionV>
              <wp:extent cx="173990" cy="363220"/>
              <wp:effectExtent b="0" l="0" r="0" t="0"/>
              <wp:wrapNone/>
              <wp:docPr id="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73990" cy="363220"/>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-114299</wp:posOffset>
              </wp:positionH>
              <wp:positionV relativeFrom="paragraph">
                <wp:posOffset>9626600</wp:posOffset>
              </wp:positionV>
              <wp:extent cx="5607050" cy="87630"/>
              <wp:effectExtent b="0" l="0" r="0" t="0"/>
              <wp:wrapNone/>
              <wp:docPr id="14" name=""/>
              <a:graphic>
                <a:graphicData uri="http://schemas.microsoft.com/office/word/2010/wordprocessingGroup">
                  <wpg:wgp>
                    <wpg:cNvGrpSpPr/>
                    <wpg:grpSpPr>
                      <a:xfrm>
                        <a:off x="3478450" y="3736175"/>
                        <a:ext cx="5607050" cy="87630"/>
                        <a:chOff x="3478450" y="3736175"/>
                        <a:chExt cx="5607075" cy="87650"/>
                      </a:xfrm>
                    </wpg:grpSpPr>
                    <wpg:grpSp>
                      <wpg:cNvGrpSpPr/>
                      <wpg:grpSpPr>
                        <a:xfrm>
                          <a:off x="3478465" y="3736185"/>
                          <a:ext cx="5607050" cy="87625"/>
                          <a:chOff x="0" y="0"/>
                          <a:chExt cx="5607050" cy="87625"/>
                        </a:xfrm>
                      </wpg:grpSpPr>
                      <wps:wsp>
                        <wps:cNvSpPr/>
                        <wps:cNvPr id="5" name="Shape 5"/>
                        <wps:spPr>
                          <a:xfrm>
                            <a:off x="0" y="0"/>
                            <a:ext cx="5607050" cy="8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33020" y="26035"/>
                            <a:ext cx="5549900" cy="0"/>
                          </a:xfrm>
                          <a:prstGeom prst="straightConnector1">
                            <a:avLst/>
                          </a:prstGeom>
                          <a:solidFill>
                            <a:srgbClr val="FFFFFF"/>
                          </a:solid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column">
                <wp:posOffset>-114299</wp:posOffset>
              </wp:positionH>
              <wp:positionV relativeFrom="paragraph">
                <wp:posOffset>9626600</wp:posOffset>
              </wp:positionV>
              <wp:extent cx="5607050" cy="87630"/>
              <wp:effectExtent b="0" l="0" r="0" t="0"/>
              <wp:wrapNone/>
              <wp:docPr id="14"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5607050" cy="8763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113666</wp:posOffset>
          </wp:positionH>
          <wp:positionV relativeFrom="paragraph">
            <wp:posOffset>-634</wp:posOffset>
          </wp:positionV>
          <wp:extent cx="5607050" cy="87630"/>
          <wp:effectExtent b="0" l="0" r="0" t="0"/>
          <wp:wrapNone/>
          <wp:docPr id="17"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5607050" cy="8763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-114299</wp:posOffset>
              </wp:positionH>
              <wp:positionV relativeFrom="paragraph">
                <wp:posOffset>10007600</wp:posOffset>
              </wp:positionV>
              <wp:extent cx="4225290" cy="331470"/>
              <wp:effectExtent b="0" l="0" r="0" t="0"/>
              <wp:wrapNone/>
              <wp:docPr id="8" name=""/>
              <a:graphic>
                <a:graphicData uri="http://schemas.microsoft.com/office/word/2010/wordprocessingShape">
                  <wps:wsp>
                    <wps:cNvSpPr/>
                    <wps:cNvPr id="13" name="Shape 13"/>
                    <wps:spPr>
                      <a:xfrm>
                        <a:off x="4174108" y="3619028"/>
                        <a:ext cx="4215765" cy="321945"/>
                      </a:xfrm>
                      <a:custGeom>
                        <a:rect b="b" l="l" r="r" t="t"/>
                        <a:pathLst>
                          <a:path extrusionOk="0" h="321945" w="4215765">
                            <a:moveTo>
                              <a:pt x="0" y="0"/>
                            </a:moveTo>
                            <a:lnTo>
                              <a:pt x="0" y="321945"/>
                            </a:lnTo>
                            <a:lnTo>
                              <a:pt x="4215765" y="321945"/>
                            </a:lnTo>
                            <a:lnTo>
                              <a:pt x="4215765" y="0"/>
                            </a:lnTo>
                            <a:close/>
                          </a:path>
                        </a:pathLst>
                      </a:custGeom>
                      <a:noFill/>
                      <a:ln>
                        <a:noFill/>
                      </a:ln>
                    </wps:spPr>
                    <wps:txbx>
                      <w:txbxContent>
                        <w:p w:rsidR="00000000" w:rsidDel="00000000" w:rsidP="00000000" w:rsidRDefault="00000000" w:rsidRPr="00000000">
                          <w:pPr>
                            <w:spacing w:after="0" w:before="158.00000190734863" w:line="275.9999942779541"/>
                            <w:ind w:left="0" w:right="113.00000190734863"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Laporan Evaluasi Diri LAM INFOKOM 2.0 - 2025</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-114299</wp:posOffset>
              </wp:positionH>
              <wp:positionV relativeFrom="paragraph">
                <wp:posOffset>10007600</wp:posOffset>
              </wp:positionV>
              <wp:extent cx="4225290" cy="331470"/>
              <wp:effectExtent b="0" l="0" r="0" t="0"/>
              <wp:wrapNone/>
              <wp:docPr id="8"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4225290" cy="331470"/>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5816600</wp:posOffset>
              </wp:positionH>
              <wp:positionV relativeFrom="paragraph">
                <wp:posOffset>9804400</wp:posOffset>
              </wp:positionV>
              <wp:extent cx="254000" cy="241935"/>
              <wp:effectExtent b="0" l="0" r="0" t="0"/>
              <wp:wrapNone/>
              <wp:docPr id="13" name=""/>
              <a:graphic>
                <a:graphicData uri="http://schemas.microsoft.com/office/word/2010/wordprocessingShape">
                  <wps:wsp>
                    <wps:cNvSpPr/>
                    <wps:cNvPr id="18" name="Shape 18"/>
                    <wps:spPr>
                      <a:xfrm>
                        <a:off x="6159753" y="3663795"/>
                        <a:ext cx="244475" cy="232410"/>
                      </a:xfrm>
                      <a:custGeom>
                        <a:rect b="b" l="l" r="r" t="t"/>
                        <a:pathLst>
                          <a:path extrusionOk="0" h="232410" w="244475">
                            <a:moveTo>
                              <a:pt x="0" y="0"/>
                            </a:moveTo>
                            <a:lnTo>
                              <a:pt x="0" y="232410"/>
                            </a:lnTo>
                            <a:lnTo>
                              <a:pt x="244475" y="232410"/>
                            </a:lnTo>
                            <a:lnTo>
                              <a:pt x="244475" y="0"/>
                            </a:lnTo>
                            <a:close/>
                          </a:path>
                        </a:pathLst>
                      </a:custGeom>
                      <a:noFill/>
                      <a:ln>
                        <a:noFill/>
                      </a:ln>
                    </wps:spPr>
                    <wps:txbx>
                      <w:txbxContent>
                        <w:p w:rsidR="00000000" w:rsidDel="00000000" w:rsidP="00000000" w:rsidRDefault="00000000" w:rsidRPr="00000000">
                          <w:pPr>
                            <w:spacing w:after="0" w:before="158.00000190734863" w:line="275.9999942779541"/>
                            <w:ind w:left="0" w:right="113.00000190734863"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 PAGE 36</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5816600</wp:posOffset>
              </wp:positionH>
              <wp:positionV relativeFrom="paragraph">
                <wp:posOffset>9804400</wp:posOffset>
              </wp:positionV>
              <wp:extent cx="254000" cy="241935"/>
              <wp:effectExtent b="0" l="0" r="0" t="0"/>
              <wp:wrapNone/>
              <wp:docPr id="13"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254000" cy="241935"/>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-114299</wp:posOffset>
              </wp:positionH>
              <wp:positionV relativeFrom="paragraph">
                <wp:posOffset>9880600</wp:posOffset>
              </wp:positionV>
              <wp:extent cx="5607050" cy="87630"/>
              <wp:effectExtent b="0" l="0" r="0" t="0"/>
              <wp:wrapNone/>
              <wp:docPr id="3" name=""/>
              <a:graphic>
                <a:graphicData uri="http://schemas.microsoft.com/office/word/2010/wordprocessingGroup">
                  <wpg:wgp>
                    <wpg:cNvGrpSpPr/>
                    <wpg:grpSpPr>
                      <a:xfrm>
                        <a:off x="3478450" y="3736175"/>
                        <a:ext cx="5607050" cy="87630"/>
                        <a:chOff x="3478450" y="3736175"/>
                        <a:chExt cx="5607075" cy="87650"/>
                      </a:xfrm>
                    </wpg:grpSpPr>
                    <wpg:grpSp>
                      <wpg:cNvGrpSpPr/>
                      <wpg:grpSpPr>
                        <a:xfrm>
                          <a:off x="3478465" y="3736185"/>
                          <a:ext cx="5607050" cy="87625"/>
                          <a:chOff x="0" y="0"/>
                          <a:chExt cx="5607050" cy="87625"/>
                        </a:xfrm>
                      </wpg:grpSpPr>
                      <wps:wsp>
                        <wps:cNvSpPr/>
                        <wps:cNvPr id="5" name="Shape 5"/>
                        <wps:spPr>
                          <a:xfrm>
                            <a:off x="0" y="0"/>
                            <a:ext cx="5607050" cy="8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33020" y="26035"/>
                            <a:ext cx="5549900" cy="0"/>
                          </a:xfrm>
                          <a:prstGeom prst="straightConnector1">
                            <a:avLst/>
                          </a:prstGeom>
                          <a:solidFill>
                            <a:srgbClr val="FFFFFF"/>
                          </a:solid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column">
                <wp:posOffset>-114299</wp:posOffset>
              </wp:positionH>
              <wp:positionV relativeFrom="paragraph">
                <wp:posOffset>9880600</wp:posOffset>
              </wp:positionV>
              <wp:extent cx="5607050" cy="87630"/>
              <wp:effectExtent b="0" l="0" r="0" t="0"/>
              <wp:wrapNone/>
              <wp:docPr id="3"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5607050" cy="8763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113666</wp:posOffset>
          </wp:positionH>
          <wp:positionV relativeFrom="paragraph">
            <wp:posOffset>0</wp:posOffset>
          </wp:positionV>
          <wp:extent cx="5607050" cy="87630"/>
          <wp:effectExtent b="0" l="0" r="0" t="0"/>
          <wp:wrapNone/>
          <wp:docPr id="16"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5607050" cy="87630"/>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-38099</wp:posOffset>
              </wp:positionH>
              <wp:positionV relativeFrom="paragraph">
                <wp:posOffset>10020300</wp:posOffset>
              </wp:positionV>
              <wp:extent cx="5607050" cy="87630"/>
              <wp:effectExtent b="0" l="0" r="0" t="0"/>
              <wp:wrapNone/>
              <wp:docPr id="6" name=""/>
              <a:graphic>
                <a:graphicData uri="http://schemas.microsoft.com/office/word/2010/wordprocessingGroup">
                  <wpg:wgp>
                    <wpg:cNvGrpSpPr/>
                    <wpg:grpSpPr>
                      <a:xfrm>
                        <a:off x="2541825" y="3735525"/>
                        <a:ext cx="5607050" cy="87630"/>
                        <a:chOff x="2541825" y="3735525"/>
                        <a:chExt cx="5607075" cy="87675"/>
                      </a:xfrm>
                    </wpg:grpSpPr>
                    <wpg:grpSp>
                      <wpg:cNvGrpSpPr/>
                      <wpg:grpSpPr>
                        <a:xfrm>
                          <a:off x="2541840" y="3735550"/>
                          <a:ext cx="5607050" cy="87630"/>
                          <a:chOff x="1113" y="15169"/>
                          <a:chExt cx="8830" cy="138"/>
                        </a:xfrm>
                      </wpg:grpSpPr>
                      <wps:wsp>
                        <wps:cNvSpPr/>
                        <wps:cNvPr id="5" name="Shape 5"/>
                        <wps:spPr>
                          <a:xfrm>
                            <a:off x="1114" y="15170"/>
                            <a:ext cx="8825" cy="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1">
                            <a:alphaModFix/>
                          </a:blip>
                          <a:srcRect b="0" l="0" r="0" t="0"/>
                          <a:stretch/>
                        </pic:blipFill>
                        <pic:spPr>
                          <a:xfrm>
                            <a:off x="1113" y="15169"/>
                            <a:ext cx="8830" cy="138"/>
                          </a:xfrm>
                          <a:prstGeom prst="rect">
                            <a:avLst/>
                          </a:prstGeom>
                          <a:noFill/>
                          <a:ln>
                            <a:noFill/>
                          </a:ln>
                        </pic:spPr>
                      </pic:pic>
                      <wps:wsp>
                        <wps:cNvCnPr/>
                        <wps:spPr>
                          <a:xfrm>
                            <a:off x="1166" y="15211"/>
                            <a:ext cx="8740" cy="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-38099</wp:posOffset>
              </wp:positionH>
              <wp:positionV relativeFrom="paragraph">
                <wp:posOffset>10020300</wp:posOffset>
              </wp:positionV>
              <wp:extent cx="5607050" cy="87630"/>
              <wp:effectExtent b="0" l="0" r="0" t="0"/>
              <wp:wrapNone/>
              <wp:docPr id="6" name="image11.png"/>
              <a:graphic>
                <a:graphicData uri="http://schemas.openxmlformats.org/drawingml/2006/picture">
                  <pic:pic>
                    <pic:nvPicPr>
                      <pic:cNvPr id="0" name="image11.png"/>
                      <pic:cNvPicPr preferRelativeResize="0"/>
                    </pic:nvPicPr>
                    <pic:blipFill>
                      <a:blip r:embed="rId2"/>
                      <a:srcRect/>
                      <a:stretch>
                        <a:fillRect/>
                      </a:stretch>
                    </pic:blipFill>
                    <pic:spPr>
                      <a:xfrm>
                        <a:off x="0" y="0"/>
                        <a:ext cx="5607050" cy="8763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5600700</wp:posOffset>
              </wp:positionH>
              <wp:positionV relativeFrom="paragraph">
                <wp:posOffset>9969500</wp:posOffset>
              </wp:positionV>
              <wp:extent cx="222250" cy="415925"/>
              <wp:effectExtent b="0" l="0" r="0" t="0"/>
              <wp:wrapNone/>
              <wp:docPr id="12" name=""/>
              <a:graphic>
                <a:graphicData uri="http://schemas.microsoft.com/office/word/2010/wordprocessingShape">
                  <wps:wsp>
                    <wps:cNvSpPr/>
                    <wps:cNvPr id="17" name="Shape 17"/>
                    <wps:spPr>
                      <a:xfrm>
                        <a:off x="5239638" y="3576800"/>
                        <a:ext cx="212725" cy="406400"/>
                      </a:xfrm>
                      <a:prstGeom prst="rect">
                        <a:avLst/>
                      </a:prstGeom>
                      <a:noFill/>
                      <a:ln>
                        <a:noFill/>
                      </a:ln>
                    </wps:spPr>
                    <wps:txbx>
                      <w:txbxContent>
                        <w:p w:rsidR="00000000" w:rsidDel="00000000" w:rsidP="00000000" w:rsidRDefault="00000000" w:rsidRPr="00000000">
                          <w:pPr>
                            <w:spacing w:after="0" w:before="158.00000190734863" w:line="275.9999942779541"/>
                            <w:ind w:left="0" w:right="113.00000190734863"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 PAGE 28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5600700</wp:posOffset>
              </wp:positionH>
              <wp:positionV relativeFrom="paragraph">
                <wp:posOffset>9969500</wp:posOffset>
              </wp:positionV>
              <wp:extent cx="222250" cy="415925"/>
              <wp:effectExtent b="0" l="0" r="0" t="0"/>
              <wp:wrapNone/>
              <wp:docPr id="12" name="image17.png"/>
              <a:graphic>
                <a:graphicData uri="http://schemas.openxmlformats.org/drawingml/2006/picture">
                  <pic:pic>
                    <pic:nvPicPr>
                      <pic:cNvPr id="0" name="image17.png"/>
                      <pic:cNvPicPr preferRelativeResize="0"/>
                    </pic:nvPicPr>
                    <pic:blipFill>
                      <a:blip r:embed="rId2"/>
                      <a:srcRect/>
                      <a:stretch>
                        <a:fillRect/>
                      </a:stretch>
                    </pic:blipFill>
                    <pic:spPr>
                      <a:xfrm>
                        <a:off x="0" y="0"/>
                        <a:ext cx="222250" cy="4159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10058400</wp:posOffset>
              </wp:positionV>
              <wp:extent cx="3241675" cy="409575"/>
              <wp:effectExtent b="0" l="0" r="0" t="0"/>
              <wp:wrapNone/>
              <wp:docPr id="4" name=""/>
              <a:graphic>
                <a:graphicData uri="http://schemas.microsoft.com/office/word/2010/wordprocessingShape">
                  <wps:wsp>
                    <wps:cNvSpPr/>
                    <wps:cNvPr id="7" name="Shape 7"/>
                    <wps:spPr>
                      <a:xfrm>
                        <a:off x="3729925" y="3579975"/>
                        <a:ext cx="3232150" cy="400050"/>
                      </a:xfrm>
                      <a:prstGeom prst="rect">
                        <a:avLst/>
                      </a:prstGeom>
                      <a:noFill/>
                      <a:ln>
                        <a:noFill/>
                      </a:ln>
                    </wps:spPr>
                    <wps:txbx>
                      <w:txbxContent>
                        <w:p w:rsidR="00000000" w:rsidDel="00000000" w:rsidP="00000000" w:rsidRDefault="00000000" w:rsidRPr="00000000">
                          <w:pPr>
                            <w:spacing w:after="0" w:before="158.00000190734863" w:line="275.9999942779541"/>
                            <w:ind w:left="0" w:right="113.00000190734863"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Laporan Evaluasi Diri LAM INFOKOM 2.0 - 2025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10058400</wp:posOffset>
              </wp:positionV>
              <wp:extent cx="3241675" cy="409575"/>
              <wp:effectExtent b="0" l="0" r="0" t="0"/>
              <wp:wrapNone/>
              <wp:docPr id="4" name="image9.png"/>
              <a:graphic>
                <a:graphicData uri="http://schemas.openxmlformats.org/drawingml/2006/picture">
                  <pic:pic>
                    <pic:nvPicPr>
                      <pic:cNvPr id="0" name="image9.png"/>
                      <pic:cNvPicPr preferRelativeResize="0"/>
                    </pic:nvPicPr>
                    <pic:blipFill>
                      <a:blip r:embed="rId2"/>
                      <a:srcRect/>
                      <a:stretch>
                        <a:fillRect/>
                      </a:stretch>
                    </pic:blipFill>
                    <pic:spPr>
                      <a:xfrm>
                        <a:off x="0" y="0"/>
                        <a:ext cx="3241675" cy="40957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6">
    <w:lvl w:ilvl="0">
      <w:start w:val="1"/>
      <w:numFmt w:val="decimalZero"/>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8">
    <w:lvl w:ilvl="0">
      <w:start w:val="2"/>
      <w:numFmt w:val="decimal"/>
      <w:lvlText w:val="%1"/>
      <w:lvlJc w:val="left"/>
      <w:pPr>
        <w:ind w:left="1126" w:hanging="428"/>
      </w:pPr>
      <w:rPr/>
    </w:lvl>
    <w:lvl w:ilvl="1">
      <w:start w:val="1"/>
      <w:numFmt w:val="decimal"/>
      <w:lvlText w:val="%1.%2."/>
      <w:lvlJc w:val="left"/>
      <w:pPr>
        <w:ind w:left="1126" w:hanging="428"/>
      </w:pPr>
      <w:rPr>
        <w:rFonts w:ascii="Arial" w:cs="Arial" w:eastAsia="Arial" w:hAnsi="Arial"/>
        <w:b w:val="0"/>
        <w:bCs w:val="0"/>
        <w:i w:val="0"/>
        <w:iCs w:val="0"/>
        <w:sz w:val="22"/>
        <w:szCs w:val="22"/>
      </w:rPr>
    </w:lvl>
    <w:lvl w:ilvl="2">
      <w:start w:val="1"/>
      <w:numFmt w:val="upperLetter"/>
      <w:lvlText w:val="%3."/>
      <w:lvlJc w:val="left"/>
      <w:pPr>
        <w:ind w:left="1551" w:hanging="425"/>
      </w:pPr>
      <w:rPr>
        <w:rFonts w:ascii="Arial" w:cs="Arial" w:eastAsia="Arial" w:hAnsi="Arial"/>
        <w:b w:val="0"/>
        <w:bCs w:val="0"/>
        <w:i w:val="0"/>
        <w:iCs w:val="0"/>
        <w:sz w:val="22"/>
        <w:szCs w:val="22"/>
      </w:rPr>
    </w:lvl>
    <w:lvl w:ilvl="3">
      <w:start w:val="0"/>
      <w:numFmt w:val="bullet"/>
      <w:lvlText w:val="•"/>
      <w:lvlJc w:val="left"/>
      <w:pPr>
        <w:ind w:left="3411" w:hanging="425"/>
      </w:pPr>
      <w:rPr/>
    </w:lvl>
    <w:lvl w:ilvl="4">
      <w:start w:val="0"/>
      <w:numFmt w:val="bullet"/>
      <w:lvlText w:val="•"/>
      <w:lvlJc w:val="left"/>
      <w:pPr>
        <w:ind w:left="4337" w:hanging="425"/>
      </w:pPr>
      <w:rPr/>
    </w:lvl>
    <w:lvl w:ilvl="5">
      <w:start w:val="0"/>
      <w:numFmt w:val="bullet"/>
      <w:lvlText w:val="•"/>
      <w:lvlJc w:val="left"/>
      <w:pPr>
        <w:ind w:left="5262" w:hanging="425"/>
      </w:pPr>
      <w:rPr/>
    </w:lvl>
    <w:lvl w:ilvl="6">
      <w:start w:val="0"/>
      <w:numFmt w:val="bullet"/>
      <w:lvlText w:val="•"/>
      <w:lvlJc w:val="left"/>
      <w:pPr>
        <w:ind w:left="6188" w:hanging="425"/>
      </w:pPr>
      <w:rPr/>
    </w:lvl>
    <w:lvl w:ilvl="7">
      <w:start w:val="0"/>
      <w:numFmt w:val="bullet"/>
      <w:lvlText w:val="•"/>
      <w:lvlJc w:val="left"/>
      <w:pPr>
        <w:ind w:left="7114" w:hanging="425"/>
      </w:pPr>
      <w:rPr/>
    </w:lvl>
    <w:lvl w:ilvl="8">
      <w:start w:val="0"/>
      <w:numFmt w:val="bullet"/>
      <w:lvlText w:val="•"/>
      <w:lvlJc w:val="left"/>
      <w:pPr>
        <w:ind w:left="8039" w:hanging="425"/>
      </w:pPr>
      <w:rPr/>
    </w:lvl>
  </w:abstractNum>
  <w:abstractNum w:abstractNumId="39">
    <w:lvl w:ilvl="0">
      <w:start w:val="2"/>
      <w:numFmt w:val="decimal"/>
      <w:lvlText w:val="%1"/>
      <w:lvlJc w:val="left"/>
      <w:pPr>
        <w:ind w:left="1126" w:hanging="428"/>
      </w:pPr>
      <w:rPr/>
    </w:lvl>
    <w:lvl w:ilvl="1">
      <w:start w:val="1"/>
      <w:numFmt w:val="decimal"/>
      <w:lvlText w:val="%1.%2."/>
      <w:lvlJc w:val="left"/>
      <w:pPr>
        <w:ind w:left="1126" w:hanging="428"/>
      </w:pPr>
      <w:rPr>
        <w:rFonts w:ascii="Arial" w:cs="Arial" w:eastAsia="Arial" w:hAnsi="Arial"/>
        <w:b w:val="0"/>
        <w:bCs w:val="0"/>
        <w:i w:val="0"/>
        <w:iCs w:val="0"/>
        <w:sz w:val="22"/>
        <w:szCs w:val="22"/>
      </w:rPr>
    </w:lvl>
    <w:lvl w:ilvl="2">
      <w:start w:val="1"/>
      <w:numFmt w:val="upperLetter"/>
      <w:lvlText w:val="%3."/>
      <w:lvlJc w:val="left"/>
      <w:pPr>
        <w:ind w:left="1551" w:hanging="425"/>
      </w:pPr>
      <w:rPr>
        <w:rFonts w:ascii="Arial" w:cs="Arial" w:eastAsia="Arial" w:hAnsi="Arial"/>
        <w:b w:val="0"/>
        <w:bCs w:val="0"/>
        <w:i w:val="0"/>
        <w:iCs w:val="0"/>
        <w:sz w:val="22"/>
        <w:szCs w:val="22"/>
      </w:rPr>
    </w:lvl>
    <w:lvl w:ilvl="3">
      <w:start w:val="0"/>
      <w:numFmt w:val="bullet"/>
      <w:lvlText w:val="•"/>
      <w:lvlJc w:val="left"/>
      <w:pPr>
        <w:ind w:left="3411" w:hanging="425"/>
      </w:pPr>
      <w:rPr/>
    </w:lvl>
    <w:lvl w:ilvl="4">
      <w:start w:val="0"/>
      <w:numFmt w:val="bullet"/>
      <w:lvlText w:val="•"/>
      <w:lvlJc w:val="left"/>
      <w:pPr>
        <w:ind w:left="4337" w:hanging="425"/>
      </w:pPr>
      <w:rPr/>
    </w:lvl>
    <w:lvl w:ilvl="5">
      <w:start w:val="0"/>
      <w:numFmt w:val="bullet"/>
      <w:lvlText w:val="•"/>
      <w:lvlJc w:val="left"/>
      <w:pPr>
        <w:ind w:left="5262" w:hanging="425"/>
      </w:pPr>
      <w:rPr/>
    </w:lvl>
    <w:lvl w:ilvl="6">
      <w:start w:val="0"/>
      <w:numFmt w:val="bullet"/>
      <w:lvlText w:val="•"/>
      <w:lvlJc w:val="left"/>
      <w:pPr>
        <w:ind w:left="6188" w:hanging="425"/>
      </w:pPr>
      <w:rPr/>
    </w:lvl>
    <w:lvl w:ilvl="7">
      <w:start w:val="0"/>
      <w:numFmt w:val="bullet"/>
      <w:lvlText w:val="•"/>
      <w:lvlJc w:val="left"/>
      <w:pPr>
        <w:ind w:left="7114" w:hanging="425"/>
      </w:pPr>
      <w:rPr/>
    </w:lvl>
    <w:lvl w:ilvl="8">
      <w:start w:val="0"/>
      <w:numFmt w:val="bullet"/>
      <w:lvlText w:val="•"/>
      <w:lvlJc w:val="left"/>
      <w:pPr>
        <w:ind w:left="8039" w:hanging="425"/>
      </w:pPr>
      <w:rPr/>
    </w:lvl>
  </w:abstractNum>
  <w:abstractNum w:abstractNumId="40">
    <w:lvl w:ilvl="0">
      <w:start w:val="4"/>
      <w:numFmt w:val="decimal"/>
      <w:lvlText w:val="%1"/>
      <w:lvlJc w:val="left"/>
      <w:pPr>
        <w:ind w:left="1126" w:hanging="444.0000000000001"/>
      </w:pPr>
      <w:rPr/>
    </w:lvl>
    <w:lvl w:ilvl="1">
      <w:start w:val="1"/>
      <w:numFmt w:val="decimal"/>
      <w:lvlText w:val="%1.%2"/>
      <w:lvlJc w:val="left"/>
      <w:pPr>
        <w:ind w:left="1126" w:hanging="444.0000000000001"/>
      </w:pPr>
      <w:rPr>
        <w:rFonts w:ascii="Arial" w:cs="Arial" w:eastAsia="Arial" w:hAnsi="Arial"/>
        <w:b w:val="0"/>
        <w:bCs w:val="0"/>
        <w:i w:val="0"/>
        <w:iCs w:val="0"/>
        <w:sz w:val="22"/>
        <w:szCs w:val="22"/>
      </w:rPr>
    </w:lvl>
    <w:lvl w:ilvl="2">
      <w:start w:val="1"/>
      <w:numFmt w:val="upperLetter"/>
      <w:lvlText w:val="%3."/>
      <w:lvlJc w:val="left"/>
      <w:pPr>
        <w:ind w:left="1561" w:hanging="360"/>
      </w:pPr>
      <w:rPr/>
    </w:lvl>
    <w:lvl w:ilvl="3">
      <w:start w:val="1"/>
      <w:numFmt w:val="decimal"/>
      <w:lvlText w:val="%4."/>
      <w:lvlJc w:val="left"/>
      <w:pPr>
        <w:ind w:left="870" w:hanging="363"/>
      </w:pPr>
      <w:rPr/>
    </w:lvl>
    <w:lvl w:ilvl="4">
      <w:start w:val="0"/>
      <w:numFmt w:val="bullet"/>
      <w:lvlText w:val="•"/>
      <w:lvlJc w:val="left"/>
      <w:pPr>
        <w:ind w:left="2750" w:hanging="363"/>
      </w:pPr>
      <w:rPr/>
    </w:lvl>
    <w:lvl w:ilvl="5">
      <w:start w:val="0"/>
      <w:numFmt w:val="bullet"/>
      <w:lvlText w:val="•"/>
      <w:lvlJc w:val="left"/>
      <w:pPr>
        <w:ind w:left="3940" w:hanging="363"/>
      </w:pPr>
      <w:rPr/>
    </w:lvl>
    <w:lvl w:ilvl="6">
      <w:start w:val="0"/>
      <w:numFmt w:val="bullet"/>
      <w:lvlText w:val="•"/>
      <w:lvlJc w:val="left"/>
      <w:pPr>
        <w:ind w:left="5130" w:hanging="363"/>
      </w:pPr>
      <w:rPr/>
    </w:lvl>
    <w:lvl w:ilvl="7">
      <w:start w:val="0"/>
      <w:numFmt w:val="bullet"/>
      <w:lvlText w:val="•"/>
      <w:lvlJc w:val="left"/>
      <w:pPr>
        <w:ind w:left="6320" w:hanging="363"/>
      </w:pPr>
      <w:rPr/>
    </w:lvl>
    <w:lvl w:ilvl="8">
      <w:start w:val="0"/>
      <w:numFmt w:val="bullet"/>
      <w:lvlText w:val="•"/>
      <w:lvlJc w:val="left"/>
      <w:pPr>
        <w:ind w:left="7510" w:hanging="363"/>
      </w:pPr>
      <w:rPr/>
    </w:lvl>
  </w:abstractNum>
  <w:abstractNum w:abstractNumId="41">
    <w:lvl w:ilvl="0">
      <w:start w:val="4"/>
      <w:numFmt w:val="decimal"/>
      <w:lvlText w:val="%1"/>
      <w:lvlJc w:val="left"/>
      <w:pPr>
        <w:ind w:left="1126" w:hanging="444.0000000000001"/>
      </w:pPr>
      <w:rPr/>
    </w:lvl>
    <w:lvl w:ilvl="1">
      <w:start w:val="1"/>
      <w:numFmt w:val="decimal"/>
      <w:lvlText w:val="%1.%2"/>
      <w:lvlJc w:val="left"/>
      <w:pPr>
        <w:ind w:left="1126" w:hanging="444.0000000000001"/>
      </w:pPr>
      <w:rPr>
        <w:rFonts w:ascii="Arial" w:cs="Arial" w:eastAsia="Arial" w:hAnsi="Arial"/>
        <w:b w:val="0"/>
        <w:bCs w:val="0"/>
        <w:i w:val="0"/>
        <w:iCs w:val="0"/>
        <w:sz w:val="22"/>
        <w:szCs w:val="22"/>
      </w:rPr>
    </w:lvl>
    <w:lvl w:ilvl="2">
      <w:start w:val="1"/>
      <w:numFmt w:val="upperLetter"/>
      <w:lvlText w:val="%3."/>
      <w:lvlJc w:val="left"/>
      <w:pPr>
        <w:ind w:left="1561" w:hanging="360"/>
      </w:pPr>
      <w:rPr/>
    </w:lvl>
    <w:lvl w:ilvl="3">
      <w:start w:val="1"/>
      <w:numFmt w:val="decimal"/>
      <w:lvlText w:val="%4."/>
      <w:lvlJc w:val="left"/>
      <w:pPr>
        <w:ind w:left="870" w:hanging="363"/>
      </w:pPr>
      <w:rPr/>
    </w:lvl>
    <w:lvl w:ilvl="4">
      <w:start w:val="0"/>
      <w:numFmt w:val="bullet"/>
      <w:lvlText w:val="•"/>
      <w:lvlJc w:val="left"/>
      <w:pPr>
        <w:ind w:left="2750" w:hanging="363"/>
      </w:pPr>
      <w:rPr/>
    </w:lvl>
    <w:lvl w:ilvl="5">
      <w:start w:val="0"/>
      <w:numFmt w:val="bullet"/>
      <w:lvlText w:val="•"/>
      <w:lvlJc w:val="left"/>
      <w:pPr>
        <w:ind w:left="3940" w:hanging="363"/>
      </w:pPr>
      <w:rPr/>
    </w:lvl>
    <w:lvl w:ilvl="6">
      <w:start w:val="0"/>
      <w:numFmt w:val="bullet"/>
      <w:lvlText w:val="•"/>
      <w:lvlJc w:val="left"/>
      <w:pPr>
        <w:ind w:left="5130" w:hanging="363"/>
      </w:pPr>
      <w:rPr/>
    </w:lvl>
    <w:lvl w:ilvl="7">
      <w:start w:val="0"/>
      <w:numFmt w:val="bullet"/>
      <w:lvlText w:val="•"/>
      <w:lvlJc w:val="left"/>
      <w:pPr>
        <w:ind w:left="6320" w:hanging="363"/>
      </w:pPr>
      <w:rPr/>
    </w:lvl>
    <w:lvl w:ilvl="8">
      <w:start w:val="0"/>
      <w:numFmt w:val="bullet"/>
      <w:lvlText w:val="•"/>
      <w:lvlJc w:val="left"/>
      <w:pPr>
        <w:ind w:left="7510" w:hanging="363"/>
      </w:pPr>
      <w:rPr/>
    </w:lvl>
  </w:abstractNum>
  <w:abstractNum w:abstractNumId="42">
    <w:lvl w:ilvl="0">
      <w:start w:val="4"/>
      <w:numFmt w:val="decimal"/>
      <w:lvlText w:val="%1"/>
      <w:lvlJc w:val="left"/>
      <w:pPr>
        <w:ind w:left="1126" w:hanging="444.0000000000001"/>
      </w:pPr>
      <w:rPr/>
    </w:lvl>
    <w:lvl w:ilvl="1">
      <w:start w:val="1"/>
      <w:numFmt w:val="decimal"/>
      <w:lvlText w:val="%1.%2"/>
      <w:lvlJc w:val="left"/>
      <w:pPr>
        <w:ind w:left="1126" w:hanging="444.0000000000001"/>
      </w:pPr>
      <w:rPr>
        <w:rFonts w:ascii="Arial" w:cs="Arial" w:eastAsia="Arial" w:hAnsi="Arial"/>
        <w:b w:val="0"/>
        <w:bCs w:val="0"/>
        <w:i w:val="0"/>
        <w:iCs w:val="0"/>
        <w:sz w:val="22"/>
        <w:szCs w:val="22"/>
      </w:rPr>
    </w:lvl>
    <w:lvl w:ilvl="2">
      <w:start w:val="1"/>
      <w:numFmt w:val="upperLetter"/>
      <w:lvlText w:val="%3."/>
      <w:lvlJc w:val="left"/>
      <w:pPr>
        <w:ind w:left="1561" w:hanging="360"/>
      </w:pPr>
      <w:rPr/>
    </w:lvl>
    <w:lvl w:ilvl="3">
      <w:start w:val="1"/>
      <w:numFmt w:val="decimal"/>
      <w:lvlText w:val="%4."/>
      <w:lvlJc w:val="left"/>
      <w:pPr>
        <w:ind w:left="870" w:hanging="363"/>
      </w:pPr>
      <w:rPr/>
    </w:lvl>
    <w:lvl w:ilvl="4">
      <w:start w:val="0"/>
      <w:numFmt w:val="bullet"/>
      <w:lvlText w:val="•"/>
      <w:lvlJc w:val="left"/>
      <w:pPr>
        <w:ind w:left="2750" w:hanging="363"/>
      </w:pPr>
      <w:rPr/>
    </w:lvl>
    <w:lvl w:ilvl="5">
      <w:start w:val="0"/>
      <w:numFmt w:val="bullet"/>
      <w:lvlText w:val="•"/>
      <w:lvlJc w:val="left"/>
      <w:pPr>
        <w:ind w:left="3940" w:hanging="363"/>
      </w:pPr>
      <w:rPr/>
    </w:lvl>
    <w:lvl w:ilvl="6">
      <w:start w:val="0"/>
      <w:numFmt w:val="bullet"/>
      <w:lvlText w:val="•"/>
      <w:lvlJc w:val="left"/>
      <w:pPr>
        <w:ind w:left="5130" w:hanging="363"/>
      </w:pPr>
      <w:rPr/>
    </w:lvl>
    <w:lvl w:ilvl="7">
      <w:start w:val="0"/>
      <w:numFmt w:val="bullet"/>
      <w:lvlText w:val="•"/>
      <w:lvlJc w:val="left"/>
      <w:pPr>
        <w:ind w:left="6320" w:hanging="363"/>
      </w:pPr>
      <w:rPr/>
    </w:lvl>
    <w:lvl w:ilvl="8">
      <w:start w:val="0"/>
      <w:numFmt w:val="bullet"/>
      <w:lvlText w:val="•"/>
      <w:lvlJc w:val="left"/>
      <w:pPr>
        <w:ind w:left="7510" w:hanging="363"/>
      </w:pPr>
      <w:rPr/>
    </w:lvl>
  </w:abstractNum>
  <w:abstractNum w:abstractNumId="43">
    <w:lvl w:ilvl="0">
      <w:start w:val="4"/>
      <w:numFmt w:val="decimal"/>
      <w:lvlText w:val="%1"/>
      <w:lvlJc w:val="left"/>
      <w:pPr>
        <w:ind w:left="1126" w:hanging="444.0000000000001"/>
      </w:pPr>
      <w:rPr/>
    </w:lvl>
    <w:lvl w:ilvl="1">
      <w:start w:val="1"/>
      <w:numFmt w:val="decimal"/>
      <w:lvlText w:val="%1.%2"/>
      <w:lvlJc w:val="left"/>
      <w:pPr>
        <w:ind w:left="1126" w:hanging="444.0000000000001"/>
      </w:pPr>
      <w:rPr>
        <w:rFonts w:ascii="Arial" w:cs="Arial" w:eastAsia="Arial" w:hAnsi="Arial"/>
        <w:b w:val="0"/>
        <w:bCs w:val="0"/>
        <w:i w:val="0"/>
        <w:iCs w:val="0"/>
        <w:sz w:val="22"/>
        <w:szCs w:val="22"/>
      </w:rPr>
    </w:lvl>
    <w:lvl w:ilvl="2">
      <w:start w:val="1"/>
      <w:numFmt w:val="upperLetter"/>
      <w:lvlText w:val="%3."/>
      <w:lvlJc w:val="left"/>
      <w:pPr>
        <w:ind w:left="1561" w:hanging="360"/>
      </w:pPr>
      <w:rPr/>
    </w:lvl>
    <w:lvl w:ilvl="3">
      <w:start w:val="1"/>
      <w:numFmt w:val="decimal"/>
      <w:lvlText w:val="%4."/>
      <w:lvlJc w:val="left"/>
      <w:pPr>
        <w:ind w:left="870" w:hanging="363"/>
      </w:pPr>
      <w:rPr/>
    </w:lvl>
    <w:lvl w:ilvl="4">
      <w:start w:val="0"/>
      <w:numFmt w:val="bullet"/>
      <w:lvlText w:val="•"/>
      <w:lvlJc w:val="left"/>
      <w:pPr>
        <w:ind w:left="2750" w:hanging="363"/>
      </w:pPr>
      <w:rPr/>
    </w:lvl>
    <w:lvl w:ilvl="5">
      <w:start w:val="0"/>
      <w:numFmt w:val="bullet"/>
      <w:lvlText w:val="•"/>
      <w:lvlJc w:val="left"/>
      <w:pPr>
        <w:ind w:left="3940" w:hanging="363"/>
      </w:pPr>
      <w:rPr/>
    </w:lvl>
    <w:lvl w:ilvl="6">
      <w:start w:val="0"/>
      <w:numFmt w:val="bullet"/>
      <w:lvlText w:val="•"/>
      <w:lvlJc w:val="left"/>
      <w:pPr>
        <w:ind w:left="5130" w:hanging="363"/>
      </w:pPr>
      <w:rPr/>
    </w:lvl>
    <w:lvl w:ilvl="7">
      <w:start w:val="0"/>
      <w:numFmt w:val="bullet"/>
      <w:lvlText w:val="•"/>
      <w:lvlJc w:val="left"/>
      <w:pPr>
        <w:ind w:left="6320" w:hanging="363"/>
      </w:pPr>
      <w:rPr/>
    </w:lvl>
    <w:lvl w:ilvl="8">
      <w:start w:val="0"/>
      <w:numFmt w:val="bullet"/>
      <w:lvlText w:val="•"/>
      <w:lvlJc w:val="left"/>
      <w:pPr>
        <w:ind w:left="7510" w:hanging="363"/>
      </w:pPr>
      <w:rPr/>
    </w:lvl>
  </w:abstractNum>
  <w:abstractNum w:abstractNumId="44">
    <w:lvl w:ilvl="0">
      <w:start w:val="4"/>
      <w:numFmt w:val="decimal"/>
      <w:lvlText w:val="%1"/>
      <w:lvlJc w:val="left"/>
      <w:pPr>
        <w:ind w:left="1126" w:hanging="444.0000000000001"/>
      </w:pPr>
      <w:rPr/>
    </w:lvl>
    <w:lvl w:ilvl="1">
      <w:start w:val="1"/>
      <w:numFmt w:val="decimal"/>
      <w:lvlText w:val="%1.%2"/>
      <w:lvlJc w:val="left"/>
      <w:pPr>
        <w:ind w:left="1126" w:hanging="444.0000000000001"/>
      </w:pPr>
      <w:rPr>
        <w:rFonts w:ascii="Arial" w:cs="Arial" w:eastAsia="Arial" w:hAnsi="Arial"/>
        <w:b w:val="0"/>
        <w:bCs w:val="0"/>
        <w:i w:val="0"/>
        <w:iCs w:val="0"/>
        <w:sz w:val="22"/>
        <w:szCs w:val="22"/>
      </w:rPr>
    </w:lvl>
    <w:lvl w:ilvl="2">
      <w:start w:val="1"/>
      <w:numFmt w:val="upperLetter"/>
      <w:lvlText w:val="%3."/>
      <w:lvlJc w:val="left"/>
      <w:pPr>
        <w:ind w:left="1561" w:hanging="360"/>
      </w:pPr>
      <w:rPr/>
    </w:lvl>
    <w:lvl w:ilvl="3">
      <w:start w:val="1"/>
      <w:numFmt w:val="decimal"/>
      <w:lvlText w:val="%4."/>
      <w:lvlJc w:val="left"/>
      <w:pPr>
        <w:ind w:left="870" w:hanging="363"/>
      </w:pPr>
      <w:rPr/>
    </w:lvl>
    <w:lvl w:ilvl="4">
      <w:start w:val="0"/>
      <w:numFmt w:val="bullet"/>
      <w:lvlText w:val="•"/>
      <w:lvlJc w:val="left"/>
      <w:pPr>
        <w:ind w:left="2750" w:hanging="363"/>
      </w:pPr>
      <w:rPr/>
    </w:lvl>
    <w:lvl w:ilvl="5">
      <w:start w:val="0"/>
      <w:numFmt w:val="bullet"/>
      <w:lvlText w:val="•"/>
      <w:lvlJc w:val="left"/>
      <w:pPr>
        <w:ind w:left="3940" w:hanging="363"/>
      </w:pPr>
      <w:rPr/>
    </w:lvl>
    <w:lvl w:ilvl="6">
      <w:start w:val="0"/>
      <w:numFmt w:val="bullet"/>
      <w:lvlText w:val="•"/>
      <w:lvlJc w:val="left"/>
      <w:pPr>
        <w:ind w:left="5130" w:hanging="363"/>
      </w:pPr>
      <w:rPr/>
    </w:lvl>
    <w:lvl w:ilvl="7">
      <w:start w:val="0"/>
      <w:numFmt w:val="bullet"/>
      <w:lvlText w:val="•"/>
      <w:lvlJc w:val="left"/>
      <w:pPr>
        <w:ind w:left="6320" w:hanging="363"/>
      </w:pPr>
      <w:rPr/>
    </w:lvl>
    <w:lvl w:ilvl="8">
      <w:start w:val="0"/>
      <w:numFmt w:val="bullet"/>
      <w:lvlText w:val="•"/>
      <w:lvlJc w:val="left"/>
      <w:pPr>
        <w:ind w:left="7510" w:hanging="363"/>
      </w:pPr>
      <w:rPr/>
    </w:lvl>
  </w:abstractNum>
  <w:abstractNum w:abstractNumId="45">
    <w:lvl w:ilvl="0">
      <w:start w:val="6"/>
      <w:numFmt w:val="decimal"/>
      <w:lvlText w:val="%1"/>
      <w:lvlJc w:val="left"/>
      <w:pPr>
        <w:ind w:left="1126" w:hanging="444.0000000000001"/>
      </w:pPr>
      <w:rPr/>
    </w:lvl>
    <w:lvl w:ilvl="1">
      <w:start w:val="1"/>
      <w:numFmt w:val="decimal"/>
      <w:lvlText w:val="%1.%2"/>
      <w:lvlJc w:val="left"/>
      <w:pPr>
        <w:ind w:left="1126" w:hanging="444.0000000000001"/>
      </w:pPr>
      <w:rPr>
        <w:rFonts w:ascii="Arial" w:cs="Arial" w:eastAsia="Arial" w:hAnsi="Arial"/>
        <w:b w:val="0"/>
        <w:bCs w:val="0"/>
        <w:i w:val="0"/>
        <w:iCs w:val="0"/>
        <w:sz w:val="22"/>
        <w:szCs w:val="22"/>
      </w:rPr>
    </w:lvl>
    <w:lvl w:ilvl="2">
      <w:start w:val="0"/>
      <w:numFmt w:val="bullet"/>
      <w:lvlText w:val="•"/>
      <w:lvlJc w:val="left"/>
      <w:pPr>
        <w:ind w:left="2874" w:hanging="444.00000000000045"/>
      </w:pPr>
      <w:rPr/>
    </w:lvl>
    <w:lvl w:ilvl="3">
      <w:start w:val="0"/>
      <w:numFmt w:val="bullet"/>
      <w:lvlText w:val="•"/>
      <w:lvlJc w:val="left"/>
      <w:pPr>
        <w:ind w:left="3751" w:hanging="443.99999999999955"/>
      </w:pPr>
      <w:rPr/>
    </w:lvl>
    <w:lvl w:ilvl="4">
      <w:start w:val="0"/>
      <w:numFmt w:val="bullet"/>
      <w:lvlText w:val="•"/>
      <w:lvlJc w:val="left"/>
      <w:pPr>
        <w:ind w:left="4628" w:hanging="444"/>
      </w:pPr>
      <w:rPr/>
    </w:lvl>
    <w:lvl w:ilvl="5">
      <w:start w:val="0"/>
      <w:numFmt w:val="bullet"/>
      <w:lvlText w:val="•"/>
      <w:lvlJc w:val="left"/>
      <w:pPr>
        <w:ind w:left="5505" w:hanging="444"/>
      </w:pPr>
      <w:rPr/>
    </w:lvl>
    <w:lvl w:ilvl="6">
      <w:start w:val="0"/>
      <w:numFmt w:val="bullet"/>
      <w:lvlText w:val="•"/>
      <w:lvlJc w:val="left"/>
      <w:pPr>
        <w:ind w:left="6382" w:hanging="443.9999999999991"/>
      </w:pPr>
      <w:rPr/>
    </w:lvl>
    <w:lvl w:ilvl="7">
      <w:start w:val="0"/>
      <w:numFmt w:val="bullet"/>
      <w:lvlText w:val="•"/>
      <w:lvlJc w:val="left"/>
      <w:pPr>
        <w:ind w:left="7259" w:hanging="444"/>
      </w:pPr>
      <w:rPr/>
    </w:lvl>
    <w:lvl w:ilvl="8">
      <w:start w:val="0"/>
      <w:numFmt w:val="bullet"/>
      <w:lvlText w:val="•"/>
      <w:lvlJc w:val="left"/>
      <w:pPr>
        <w:ind w:left="8136" w:hanging="444"/>
      </w:pPr>
      <w:rPr/>
    </w:lvl>
  </w:abstractNum>
  <w:abstractNum w:abstractNumId="46">
    <w:lvl w:ilvl="0">
      <w:start w:val="5"/>
      <w:numFmt w:val="decimal"/>
      <w:lvlText w:val="%1"/>
      <w:lvlJc w:val="left"/>
      <w:pPr>
        <w:ind w:left="1126" w:hanging="428"/>
      </w:pPr>
      <w:rPr/>
    </w:lvl>
    <w:lvl w:ilvl="1">
      <w:start w:val="1"/>
      <w:numFmt w:val="decimal"/>
      <w:lvlText w:val="%1.%2"/>
      <w:lvlJc w:val="left"/>
      <w:pPr>
        <w:ind w:left="1126" w:hanging="428"/>
      </w:pPr>
      <w:rPr>
        <w:rFonts w:ascii="Arial" w:cs="Arial" w:eastAsia="Arial" w:hAnsi="Arial"/>
        <w:b w:val="0"/>
        <w:bCs w:val="0"/>
        <w:i w:val="0"/>
        <w:iCs w:val="0"/>
        <w:sz w:val="22"/>
        <w:szCs w:val="22"/>
      </w:rPr>
    </w:lvl>
    <w:lvl w:ilvl="2">
      <w:start w:val="1"/>
      <w:numFmt w:val="upperLetter"/>
      <w:lvlText w:val="%3."/>
      <w:lvlJc w:val="left"/>
      <w:pPr>
        <w:ind w:left="1561" w:hanging="435"/>
      </w:pPr>
      <w:rPr>
        <w:rFonts w:ascii="Arial" w:cs="Arial" w:eastAsia="Arial" w:hAnsi="Arial"/>
        <w:b w:val="0"/>
        <w:bCs w:val="0"/>
        <w:i w:val="0"/>
        <w:iCs w:val="0"/>
        <w:sz w:val="22"/>
        <w:szCs w:val="22"/>
      </w:rPr>
    </w:lvl>
    <w:lvl w:ilvl="3">
      <w:start w:val="0"/>
      <w:numFmt w:val="bullet"/>
      <w:lvlText w:val="•"/>
      <w:lvlJc w:val="left"/>
      <w:pPr>
        <w:ind w:left="3411" w:hanging="435"/>
      </w:pPr>
      <w:rPr/>
    </w:lvl>
    <w:lvl w:ilvl="4">
      <w:start w:val="0"/>
      <w:numFmt w:val="bullet"/>
      <w:lvlText w:val="•"/>
      <w:lvlJc w:val="left"/>
      <w:pPr>
        <w:ind w:left="4337" w:hanging="435"/>
      </w:pPr>
      <w:rPr/>
    </w:lvl>
    <w:lvl w:ilvl="5">
      <w:start w:val="0"/>
      <w:numFmt w:val="bullet"/>
      <w:lvlText w:val="•"/>
      <w:lvlJc w:val="left"/>
      <w:pPr>
        <w:ind w:left="5262" w:hanging="435"/>
      </w:pPr>
      <w:rPr/>
    </w:lvl>
    <w:lvl w:ilvl="6">
      <w:start w:val="0"/>
      <w:numFmt w:val="bullet"/>
      <w:lvlText w:val="•"/>
      <w:lvlJc w:val="left"/>
      <w:pPr>
        <w:ind w:left="6188" w:hanging="435"/>
      </w:pPr>
      <w:rPr/>
    </w:lvl>
    <w:lvl w:ilvl="7">
      <w:start w:val="0"/>
      <w:numFmt w:val="bullet"/>
      <w:lvlText w:val="•"/>
      <w:lvlJc w:val="left"/>
      <w:pPr>
        <w:ind w:left="7114" w:hanging="435"/>
      </w:pPr>
      <w:rPr/>
    </w:lvl>
    <w:lvl w:ilvl="8">
      <w:start w:val="0"/>
      <w:numFmt w:val="bullet"/>
      <w:lvlText w:val="•"/>
      <w:lvlJc w:val="left"/>
      <w:pPr>
        <w:ind w:left="8039" w:hanging="435"/>
      </w:pPr>
      <w:rPr/>
    </w:lvl>
  </w:abstractNum>
  <w:abstractNum w:abstractNumId="47">
    <w:lvl w:ilvl="0">
      <w:start w:val="4"/>
      <w:numFmt w:val="decimal"/>
      <w:lvlText w:val="%1"/>
      <w:lvlJc w:val="left"/>
      <w:pPr>
        <w:ind w:left="1126" w:hanging="444.0000000000001"/>
      </w:pPr>
      <w:rPr/>
    </w:lvl>
    <w:lvl w:ilvl="1">
      <w:start w:val="1"/>
      <w:numFmt w:val="decimal"/>
      <w:lvlText w:val="%1.%2"/>
      <w:lvlJc w:val="left"/>
      <w:pPr>
        <w:ind w:left="1126" w:hanging="444.0000000000001"/>
      </w:pPr>
      <w:rPr>
        <w:rFonts w:ascii="Arial" w:cs="Arial" w:eastAsia="Arial" w:hAnsi="Arial"/>
        <w:b w:val="0"/>
        <w:bCs w:val="0"/>
        <w:i w:val="0"/>
        <w:iCs w:val="0"/>
        <w:sz w:val="22"/>
        <w:szCs w:val="22"/>
      </w:rPr>
    </w:lvl>
    <w:lvl w:ilvl="2">
      <w:start w:val="1"/>
      <w:numFmt w:val="upperLetter"/>
      <w:lvlText w:val="%3."/>
      <w:lvlJc w:val="left"/>
      <w:pPr>
        <w:ind w:left="1561" w:hanging="360"/>
      </w:pPr>
      <w:rPr/>
    </w:lvl>
    <w:lvl w:ilvl="3">
      <w:start w:val="1"/>
      <w:numFmt w:val="decimal"/>
      <w:lvlText w:val="%4."/>
      <w:lvlJc w:val="left"/>
      <w:pPr>
        <w:ind w:left="870" w:hanging="363"/>
      </w:pPr>
      <w:rPr/>
    </w:lvl>
    <w:lvl w:ilvl="4">
      <w:start w:val="0"/>
      <w:numFmt w:val="bullet"/>
      <w:lvlText w:val="•"/>
      <w:lvlJc w:val="left"/>
      <w:pPr>
        <w:ind w:left="2750" w:hanging="363"/>
      </w:pPr>
      <w:rPr/>
    </w:lvl>
    <w:lvl w:ilvl="5">
      <w:start w:val="0"/>
      <w:numFmt w:val="bullet"/>
      <w:lvlText w:val="•"/>
      <w:lvlJc w:val="left"/>
      <w:pPr>
        <w:ind w:left="3940" w:hanging="363"/>
      </w:pPr>
      <w:rPr/>
    </w:lvl>
    <w:lvl w:ilvl="6">
      <w:start w:val="0"/>
      <w:numFmt w:val="bullet"/>
      <w:lvlText w:val="•"/>
      <w:lvlJc w:val="left"/>
      <w:pPr>
        <w:ind w:left="5130" w:hanging="363"/>
      </w:pPr>
      <w:rPr/>
    </w:lvl>
    <w:lvl w:ilvl="7">
      <w:start w:val="0"/>
      <w:numFmt w:val="bullet"/>
      <w:lvlText w:val="•"/>
      <w:lvlJc w:val="left"/>
      <w:pPr>
        <w:ind w:left="6320" w:hanging="363"/>
      </w:pPr>
      <w:rPr/>
    </w:lvl>
    <w:lvl w:ilvl="8">
      <w:start w:val="0"/>
      <w:numFmt w:val="bullet"/>
      <w:lvlText w:val="•"/>
      <w:lvlJc w:val="left"/>
      <w:pPr>
        <w:ind w:left="7510" w:hanging="363"/>
      </w:pPr>
      <w:rPr/>
    </w:lvl>
  </w:abstractNum>
  <w:abstractNum w:abstractNumId="48">
    <w:lvl w:ilvl="0">
      <w:start w:val="3"/>
      <w:numFmt w:val="decimal"/>
      <w:lvlText w:val="%1"/>
      <w:lvlJc w:val="left"/>
      <w:pPr>
        <w:ind w:left="1126" w:hanging="428"/>
      </w:pPr>
      <w:rPr/>
    </w:lvl>
    <w:lvl w:ilvl="1">
      <w:start w:val="1"/>
      <w:numFmt w:val="decimal"/>
      <w:lvlText w:val="%1.%2"/>
      <w:lvlJc w:val="left"/>
      <w:pPr>
        <w:ind w:left="1126" w:hanging="428"/>
      </w:pPr>
      <w:rPr>
        <w:rFonts w:ascii="Arial" w:cs="Arial" w:eastAsia="Arial" w:hAnsi="Arial"/>
        <w:b w:val="0"/>
        <w:bCs w:val="0"/>
        <w:i w:val="0"/>
        <w:iCs w:val="0"/>
        <w:sz w:val="22"/>
        <w:szCs w:val="22"/>
      </w:rPr>
    </w:lvl>
    <w:lvl w:ilvl="2">
      <w:start w:val="1"/>
      <w:numFmt w:val="upperLetter"/>
      <w:lvlText w:val="%3."/>
      <w:lvlJc w:val="left"/>
      <w:pPr>
        <w:ind w:left="1551" w:hanging="425"/>
      </w:pPr>
      <w:rPr>
        <w:rFonts w:ascii="Arial" w:cs="Arial" w:eastAsia="Arial" w:hAnsi="Arial"/>
        <w:b w:val="0"/>
        <w:bCs w:val="0"/>
        <w:i w:val="0"/>
        <w:iCs w:val="0"/>
        <w:sz w:val="22"/>
        <w:szCs w:val="22"/>
      </w:rPr>
    </w:lvl>
    <w:lvl w:ilvl="3">
      <w:start w:val="0"/>
      <w:numFmt w:val="bullet"/>
      <w:lvlText w:val="•"/>
      <w:lvlJc w:val="left"/>
      <w:pPr>
        <w:ind w:left="3411" w:hanging="425"/>
      </w:pPr>
      <w:rPr/>
    </w:lvl>
    <w:lvl w:ilvl="4">
      <w:start w:val="0"/>
      <w:numFmt w:val="bullet"/>
      <w:lvlText w:val="•"/>
      <w:lvlJc w:val="left"/>
      <w:pPr>
        <w:ind w:left="4337" w:hanging="425"/>
      </w:pPr>
      <w:rPr/>
    </w:lvl>
    <w:lvl w:ilvl="5">
      <w:start w:val="0"/>
      <w:numFmt w:val="bullet"/>
      <w:lvlText w:val="•"/>
      <w:lvlJc w:val="left"/>
      <w:pPr>
        <w:ind w:left="5262" w:hanging="425"/>
      </w:pPr>
      <w:rPr/>
    </w:lvl>
    <w:lvl w:ilvl="6">
      <w:start w:val="0"/>
      <w:numFmt w:val="bullet"/>
      <w:lvlText w:val="•"/>
      <w:lvlJc w:val="left"/>
      <w:pPr>
        <w:ind w:left="6188" w:hanging="425"/>
      </w:pPr>
      <w:rPr/>
    </w:lvl>
    <w:lvl w:ilvl="7">
      <w:start w:val="0"/>
      <w:numFmt w:val="bullet"/>
      <w:lvlText w:val="•"/>
      <w:lvlJc w:val="left"/>
      <w:pPr>
        <w:ind w:left="7114" w:hanging="425"/>
      </w:pPr>
      <w:rPr/>
    </w:lvl>
    <w:lvl w:ilvl="8">
      <w:start w:val="0"/>
      <w:numFmt w:val="bullet"/>
      <w:lvlText w:val="•"/>
      <w:lvlJc w:val="left"/>
      <w:pPr>
        <w:ind w:left="8039" w:hanging="425"/>
      </w:pPr>
      <w:rPr/>
    </w:lvl>
  </w:abstractNum>
  <w:abstractNum w:abstractNumId="49">
    <w:lvl w:ilvl="0">
      <w:start w:val="2"/>
      <w:numFmt w:val="decimal"/>
      <w:lvlText w:val="%1"/>
      <w:lvlJc w:val="left"/>
      <w:pPr>
        <w:ind w:left="1126" w:hanging="428"/>
      </w:pPr>
      <w:rPr/>
    </w:lvl>
    <w:lvl w:ilvl="1">
      <w:start w:val="1"/>
      <w:numFmt w:val="decimal"/>
      <w:lvlText w:val="%1.%2."/>
      <w:lvlJc w:val="left"/>
      <w:pPr>
        <w:ind w:left="1126" w:hanging="428"/>
      </w:pPr>
      <w:rPr>
        <w:rFonts w:ascii="Arial" w:cs="Arial" w:eastAsia="Arial" w:hAnsi="Arial"/>
        <w:b w:val="0"/>
        <w:bCs w:val="0"/>
        <w:i w:val="0"/>
        <w:iCs w:val="0"/>
        <w:sz w:val="22"/>
        <w:szCs w:val="22"/>
      </w:rPr>
    </w:lvl>
    <w:lvl w:ilvl="2">
      <w:start w:val="1"/>
      <w:numFmt w:val="upperLetter"/>
      <w:lvlText w:val="%3."/>
      <w:lvlJc w:val="left"/>
      <w:pPr>
        <w:ind w:left="1551" w:hanging="425"/>
      </w:pPr>
      <w:rPr>
        <w:rFonts w:ascii="Arial" w:cs="Arial" w:eastAsia="Arial" w:hAnsi="Arial"/>
        <w:b w:val="0"/>
        <w:bCs w:val="0"/>
        <w:i w:val="0"/>
        <w:iCs w:val="0"/>
        <w:color w:val="351c75"/>
        <w:sz w:val="22"/>
        <w:szCs w:val="22"/>
      </w:rPr>
    </w:lvl>
    <w:lvl w:ilvl="3">
      <w:start w:val="0"/>
      <w:numFmt w:val="bullet"/>
      <w:lvlText w:val="•"/>
      <w:lvlJc w:val="left"/>
      <w:pPr>
        <w:ind w:left="3411" w:hanging="425"/>
      </w:pPr>
      <w:rPr/>
    </w:lvl>
    <w:lvl w:ilvl="4">
      <w:start w:val="0"/>
      <w:numFmt w:val="bullet"/>
      <w:lvlText w:val="•"/>
      <w:lvlJc w:val="left"/>
      <w:pPr>
        <w:ind w:left="4337" w:hanging="425"/>
      </w:pPr>
      <w:rPr/>
    </w:lvl>
    <w:lvl w:ilvl="5">
      <w:start w:val="0"/>
      <w:numFmt w:val="bullet"/>
      <w:lvlText w:val="•"/>
      <w:lvlJc w:val="left"/>
      <w:pPr>
        <w:ind w:left="5262" w:hanging="425"/>
      </w:pPr>
      <w:rPr/>
    </w:lvl>
    <w:lvl w:ilvl="6">
      <w:start w:val="0"/>
      <w:numFmt w:val="bullet"/>
      <w:lvlText w:val="•"/>
      <w:lvlJc w:val="left"/>
      <w:pPr>
        <w:ind w:left="6188" w:hanging="425"/>
      </w:pPr>
      <w:rPr/>
    </w:lvl>
    <w:lvl w:ilvl="7">
      <w:start w:val="0"/>
      <w:numFmt w:val="bullet"/>
      <w:lvlText w:val="•"/>
      <w:lvlJc w:val="left"/>
      <w:pPr>
        <w:ind w:left="7114" w:hanging="425"/>
      </w:pPr>
      <w:rPr/>
    </w:lvl>
    <w:lvl w:ilvl="8">
      <w:start w:val="0"/>
      <w:numFmt w:val="bullet"/>
      <w:lvlText w:val="•"/>
      <w:lvlJc w:val="left"/>
      <w:pPr>
        <w:ind w:left="8039" w:hanging="425"/>
      </w:pPr>
      <w:rPr/>
    </w:lvl>
  </w:abstractNum>
  <w:abstractNum w:abstractNumId="50">
    <w:lvl w:ilvl="0">
      <w:start w:val="1"/>
      <w:numFmt w:val="decimal"/>
      <w:lvlText w:val="%1"/>
      <w:lvlJc w:val="left"/>
      <w:pPr>
        <w:ind w:left="1126" w:hanging="480"/>
      </w:pPr>
      <w:rPr/>
    </w:lvl>
    <w:lvl w:ilvl="1">
      <w:start w:val="3"/>
      <w:numFmt w:val="decimal"/>
      <w:lvlText w:val="%1.%2."/>
      <w:lvlJc w:val="left"/>
      <w:pPr>
        <w:ind w:left="1126" w:hanging="480"/>
      </w:pPr>
      <w:rPr>
        <w:rFonts w:ascii="Arial" w:cs="Arial" w:eastAsia="Arial" w:hAnsi="Arial"/>
        <w:b w:val="0"/>
        <w:bCs w:val="0"/>
        <w:i w:val="0"/>
        <w:iCs w:val="0"/>
        <w:sz w:val="22"/>
        <w:szCs w:val="22"/>
      </w:rPr>
    </w:lvl>
    <w:lvl w:ilvl="2">
      <w:start w:val="1"/>
      <w:numFmt w:val="upperLetter"/>
      <w:lvlText w:val="%3."/>
      <w:lvlJc w:val="left"/>
      <w:pPr>
        <w:ind w:left="1573" w:hanging="360"/>
      </w:pPr>
      <w:rPr>
        <w:rFonts w:ascii="Arial" w:cs="Arial" w:eastAsia="Arial" w:hAnsi="Arial"/>
        <w:b w:val="0"/>
        <w:bCs w:val="0"/>
        <w:i w:val="0"/>
        <w:iCs w:val="0"/>
        <w:sz w:val="22"/>
        <w:szCs w:val="22"/>
      </w:rPr>
    </w:lvl>
    <w:lvl w:ilvl="3">
      <w:start w:val="0"/>
      <w:numFmt w:val="bullet"/>
      <w:lvlText w:val="•"/>
      <w:lvlJc w:val="left"/>
      <w:pPr>
        <w:ind w:left="3426" w:hanging="360"/>
      </w:pPr>
      <w:rPr/>
    </w:lvl>
    <w:lvl w:ilvl="4">
      <w:start w:val="0"/>
      <w:numFmt w:val="bullet"/>
      <w:lvlText w:val="•"/>
      <w:lvlJc w:val="left"/>
      <w:pPr>
        <w:ind w:left="4350" w:hanging="360"/>
      </w:pPr>
      <w:rPr/>
    </w:lvl>
    <w:lvl w:ilvl="5">
      <w:start w:val="0"/>
      <w:numFmt w:val="bullet"/>
      <w:lvlText w:val="•"/>
      <w:lvlJc w:val="left"/>
      <w:pPr>
        <w:ind w:left="5273" w:hanging="360"/>
      </w:pPr>
      <w:rPr/>
    </w:lvl>
    <w:lvl w:ilvl="6">
      <w:start w:val="0"/>
      <w:numFmt w:val="bullet"/>
      <w:lvlText w:val="•"/>
      <w:lvlJc w:val="left"/>
      <w:pPr>
        <w:ind w:left="6197" w:hanging="360"/>
      </w:pPr>
      <w:rPr/>
    </w:lvl>
    <w:lvl w:ilvl="7">
      <w:start w:val="0"/>
      <w:numFmt w:val="bullet"/>
      <w:lvlText w:val="•"/>
      <w:lvlJc w:val="left"/>
      <w:pPr>
        <w:ind w:left="7120" w:hanging="360"/>
      </w:pPr>
      <w:rPr/>
    </w:lvl>
    <w:lvl w:ilvl="8">
      <w:start w:val="0"/>
      <w:numFmt w:val="bullet"/>
      <w:lvlText w:val="•"/>
      <w:lvlJc w:val="left"/>
      <w:pPr>
        <w:ind w:left="8044" w:hanging="360"/>
      </w:pPr>
      <w:rPr/>
    </w:lvl>
  </w:abstractNum>
  <w:abstractNum w:abstractNumId="51">
    <w:lvl w:ilvl="0">
      <w:start w:val="1"/>
      <w:numFmt w:val="decimal"/>
      <w:lvlText w:val="%1"/>
      <w:lvlJc w:val="left"/>
      <w:pPr>
        <w:ind w:left="1126" w:hanging="444.0000000000001"/>
      </w:pPr>
      <w:rPr/>
    </w:lvl>
    <w:lvl w:ilvl="1">
      <w:start w:val="1"/>
      <w:numFmt w:val="decimal"/>
      <w:lvlText w:val="%1.%2"/>
      <w:lvlJc w:val="left"/>
      <w:pPr>
        <w:ind w:left="1126" w:hanging="444.0000000000001"/>
      </w:pPr>
      <w:rPr>
        <w:rFonts w:ascii="Arial" w:cs="Arial" w:eastAsia="Arial" w:hAnsi="Arial"/>
        <w:b w:val="0"/>
        <w:bCs w:val="0"/>
        <w:i w:val="0"/>
        <w:iCs w:val="0"/>
        <w:sz w:val="22"/>
        <w:szCs w:val="22"/>
      </w:rPr>
    </w:lvl>
    <w:lvl w:ilvl="2">
      <w:start w:val="1"/>
      <w:numFmt w:val="upperLetter"/>
      <w:lvlText w:val="%3."/>
      <w:lvlJc w:val="left"/>
      <w:pPr>
        <w:ind w:left="1551" w:hanging="425"/>
      </w:pPr>
      <w:rPr>
        <w:rFonts w:ascii="Arial" w:cs="Arial" w:eastAsia="Arial" w:hAnsi="Arial"/>
        <w:b w:val="0"/>
        <w:bCs w:val="0"/>
        <w:i w:val="0"/>
        <w:iCs w:val="0"/>
        <w:sz w:val="22"/>
        <w:szCs w:val="22"/>
      </w:rPr>
    </w:lvl>
    <w:lvl w:ilvl="3">
      <w:start w:val="0"/>
      <w:numFmt w:val="bullet"/>
      <w:lvlText w:val="•"/>
      <w:lvlJc w:val="left"/>
      <w:pPr>
        <w:ind w:left="2618" w:hanging="425"/>
      </w:pPr>
      <w:rPr/>
    </w:lvl>
    <w:lvl w:ilvl="4">
      <w:start w:val="0"/>
      <w:numFmt w:val="bullet"/>
      <w:lvlText w:val="•"/>
      <w:lvlJc w:val="left"/>
      <w:pPr>
        <w:ind w:left="3657" w:hanging="425"/>
      </w:pPr>
      <w:rPr/>
    </w:lvl>
    <w:lvl w:ilvl="5">
      <w:start w:val="0"/>
      <w:numFmt w:val="bullet"/>
      <w:lvlText w:val="•"/>
      <w:lvlJc w:val="left"/>
      <w:pPr>
        <w:ind w:left="4696" w:hanging="425"/>
      </w:pPr>
      <w:rPr/>
    </w:lvl>
    <w:lvl w:ilvl="6">
      <w:start w:val="0"/>
      <w:numFmt w:val="bullet"/>
      <w:lvlText w:val="•"/>
      <w:lvlJc w:val="left"/>
      <w:pPr>
        <w:ind w:left="5735" w:hanging="425"/>
      </w:pPr>
      <w:rPr/>
    </w:lvl>
    <w:lvl w:ilvl="7">
      <w:start w:val="0"/>
      <w:numFmt w:val="bullet"/>
      <w:lvlText w:val="•"/>
      <w:lvlJc w:val="left"/>
      <w:pPr>
        <w:ind w:left="6774" w:hanging="425"/>
      </w:pPr>
      <w:rPr/>
    </w:lvl>
    <w:lvl w:ilvl="8">
      <w:start w:val="0"/>
      <w:numFmt w:val="bullet"/>
      <w:lvlText w:val="•"/>
      <w:lvlJc w:val="left"/>
      <w:pPr>
        <w:ind w:left="7813" w:hanging="425"/>
      </w:pPr>
      <w:rPr/>
    </w:lvl>
  </w:abstractNum>
  <w:abstractNum w:abstractNumId="5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4">
    <w:lvl w:ilvl="0">
      <w:start w:val="2"/>
      <w:numFmt w:val="decimal"/>
      <w:lvlText w:val="%1"/>
      <w:lvlJc w:val="left"/>
      <w:pPr>
        <w:ind w:left="1126" w:hanging="428"/>
      </w:pPr>
      <w:rPr/>
    </w:lvl>
    <w:lvl w:ilvl="1">
      <w:start w:val="1"/>
      <w:numFmt w:val="decimal"/>
      <w:lvlText w:val="%1.%2."/>
      <w:lvlJc w:val="left"/>
      <w:pPr>
        <w:ind w:left="1126" w:hanging="428"/>
      </w:pPr>
      <w:rPr>
        <w:rFonts w:ascii="Arial" w:cs="Arial" w:eastAsia="Arial" w:hAnsi="Arial"/>
        <w:b w:val="0"/>
        <w:bCs w:val="0"/>
        <w:i w:val="0"/>
        <w:iCs w:val="0"/>
        <w:sz w:val="22"/>
        <w:szCs w:val="22"/>
      </w:rPr>
    </w:lvl>
    <w:lvl w:ilvl="2">
      <w:start w:val="1"/>
      <w:numFmt w:val="upperLetter"/>
      <w:lvlText w:val="%3."/>
      <w:lvlJc w:val="left"/>
      <w:pPr>
        <w:ind w:left="1551" w:hanging="425"/>
      </w:pPr>
      <w:rPr>
        <w:rFonts w:ascii="Arial" w:cs="Arial" w:eastAsia="Arial" w:hAnsi="Arial"/>
        <w:b w:val="0"/>
        <w:bCs w:val="0"/>
        <w:i w:val="0"/>
        <w:iCs w:val="0"/>
        <w:sz w:val="22"/>
        <w:szCs w:val="22"/>
      </w:rPr>
    </w:lvl>
    <w:lvl w:ilvl="3">
      <w:start w:val="0"/>
      <w:numFmt w:val="bullet"/>
      <w:lvlText w:val="•"/>
      <w:lvlJc w:val="left"/>
      <w:pPr>
        <w:ind w:left="3411" w:hanging="425"/>
      </w:pPr>
      <w:rPr/>
    </w:lvl>
    <w:lvl w:ilvl="4">
      <w:start w:val="0"/>
      <w:numFmt w:val="bullet"/>
      <w:lvlText w:val="•"/>
      <w:lvlJc w:val="left"/>
      <w:pPr>
        <w:ind w:left="4337" w:hanging="425"/>
      </w:pPr>
      <w:rPr/>
    </w:lvl>
    <w:lvl w:ilvl="5">
      <w:start w:val="0"/>
      <w:numFmt w:val="bullet"/>
      <w:lvlText w:val="•"/>
      <w:lvlJc w:val="left"/>
      <w:pPr>
        <w:ind w:left="5262" w:hanging="425"/>
      </w:pPr>
      <w:rPr/>
    </w:lvl>
    <w:lvl w:ilvl="6">
      <w:start w:val="0"/>
      <w:numFmt w:val="bullet"/>
      <w:lvlText w:val="•"/>
      <w:lvlJc w:val="left"/>
      <w:pPr>
        <w:ind w:left="6188" w:hanging="425"/>
      </w:pPr>
      <w:rPr/>
    </w:lvl>
    <w:lvl w:ilvl="7">
      <w:start w:val="0"/>
      <w:numFmt w:val="bullet"/>
      <w:lvlText w:val="•"/>
      <w:lvlJc w:val="left"/>
      <w:pPr>
        <w:ind w:left="7114" w:hanging="425"/>
      </w:pPr>
      <w:rPr/>
    </w:lvl>
    <w:lvl w:ilvl="8">
      <w:start w:val="0"/>
      <w:numFmt w:val="bullet"/>
      <w:lvlText w:val="•"/>
      <w:lvlJc w:val="left"/>
      <w:pPr>
        <w:ind w:left="8039" w:hanging="425"/>
      </w:pPr>
      <w:rPr/>
    </w:lvl>
  </w:abstractNum>
  <w:abstractNum w:abstractNumId="55">
    <w:lvl w:ilvl="0">
      <w:start w:val="2"/>
      <w:numFmt w:val="decimal"/>
      <w:lvlText w:val="%1"/>
      <w:lvlJc w:val="left"/>
      <w:pPr>
        <w:ind w:left="1126" w:hanging="428"/>
      </w:pPr>
      <w:rPr/>
    </w:lvl>
    <w:lvl w:ilvl="1">
      <w:start w:val="1"/>
      <w:numFmt w:val="decimal"/>
      <w:lvlText w:val="%1.%2."/>
      <w:lvlJc w:val="left"/>
      <w:pPr>
        <w:ind w:left="1126" w:hanging="428"/>
      </w:pPr>
      <w:rPr>
        <w:rFonts w:ascii="Arial" w:cs="Arial" w:eastAsia="Arial" w:hAnsi="Arial"/>
        <w:b w:val="0"/>
        <w:bCs w:val="0"/>
        <w:i w:val="0"/>
        <w:iCs w:val="0"/>
        <w:sz w:val="22"/>
        <w:szCs w:val="22"/>
      </w:rPr>
    </w:lvl>
    <w:lvl w:ilvl="2">
      <w:start w:val="1"/>
      <w:numFmt w:val="upperLetter"/>
      <w:lvlText w:val="%3."/>
      <w:lvlJc w:val="left"/>
      <w:pPr>
        <w:ind w:left="1551" w:hanging="425"/>
      </w:pPr>
      <w:rPr>
        <w:rFonts w:ascii="Arial" w:cs="Arial" w:eastAsia="Arial" w:hAnsi="Arial"/>
        <w:b w:val="0"/>
        <w:bCs w:val="0"/>
        <w:i w:val="0"/>
        <w:iCs w:val="0"/>
        <w:sz w:val="22"/>
        <w:szCs w:val="22"/>
      </w:rPr>
    </w:lvl>
    <w:lvl w:ilvl="3">
      <w:start w:val="0"/>
      <w:numFmt w:val="bullet"/>
      <w:lvlText w:val="•"/>
      <w:lvlJc w:val="left"/>
      <w:pPr>
        <w:ind w:left="3411" w:hanging="425"/>
      </w:pPr>
      <w:rPr/>
    </w:lvl>
    <w:lvl w:ilvl="4">
      <w:start w:val="0"/>
      <w:numFmt w:val="bullet"/>
      <w:lvlText w:val="•"/>
      <w:lvlJc w:val="left"/>
      <w:pPr>
        <w:ind w:left="4337" w:hanging="425"/>
      </w:pPr>
      <w:rPr/>
    </w:lvl>
    <w:lvl w:ilvl="5">
      <w:start w:val="0"/>
      <w:numFmt w:val="bullet"/>
      <w:lvlText w:val="•"/>
      <w:lvlJc w:val="left"/>
      <w:pPr>
        <w:ind w:left="5262" w:hanging="425"/>
      </w:pPr>
      <w:rPr/>
    </w:lvl>
    <w:lvl w:ilvl="6">
      <w:start w:val="0"/>
      <w:numFmt w:val="bullet"/>
      <w:lvlText w:val="•"/>
      <w:lvlJc w:val="left"/>
      <w:pPr>
        <w:ind w:left="6188" w:hanging="425"/>
      </w:pPr>
      <w:rPr/>
    </w:lvl>
    <w:lvl w:ilvl="7">
      <w:start w:val="0"/>
      <w:numFmt w:val="bullet"/>
      <w:lvlText w:val="•"/>
      <w:lvlJc w:val="left"/>
      <w:pPr>
        <w:ind w:left="7114" w:hanging="425"/>
      </w:pPr>
      <w:rPr/>
    </w:lvl>
    <w:lvl w:ilvl="8">
      <w:start w:val="0"/>
      <w:numFmt w:val="bullet"/>
      <w:lvlText w:val="•"/>
      <w:lvlJc w:val="left"/>
      <w:pPr>
        <w:ind w:left="8039" w:hanging="425"/>
      </w:pPr>
      <w:rPr/>
    </w:lvl>
  </w:abstractNum>
  <w:abstractNum w:abstractNumId="56">
    <w:lvl w:ilvl="0">
      <w:start w:val="2"/>
      <w:numFmt w:val="decimal"/>
      <w:lvlText w:val="%1"/>
      <w:lvlJc w:val="left"/>
      <w:pPr>
        <w:ind w:left="1126" w:hanging="428"/>
      </w:pPr>
      <w:rPr/>
    </w:lvl>
    <w:lvl w:ilvl="1">
      <w:start w:val="1"/>
      <w:numFmt w:val="decimal"/>
      <w:lvlText w:val="%1.%2."/>
      <w:lvlJc w:val="left"/>
      <w:pPr>
        <w:ind w:left="1126" w:hanging="428"/>
      </w:pPr>
      <w:rPr>
        <w:rFonts w:ascii="Arial" w:cs="Arial" w:eastAsia="Arial" w:hAnsi="Arial"/>
        <w:b w:val="0"/>
        <w:bCs w:val="0"/>
        <w:i w:val="0"/>
        <w:iCs w:val="0"/>
        <w:sz w:val="22"/>
        <w:szCs w:val="22"/>
      </w:rPr>
    </w:lvl>
    <w:lvl w:ilvl="2">
      <w:start w:val="1"/>
      <w:numFmt w:val="upperLetter"/>
      <w:lvlText w:val="%3."/>
      <w:lvlJc w:val="left"/>
      <w:pPr>
        <w:ind w:left="1551" w:hanging="425"/>
      </w:pPr>
      <w:rPr>
        <w:rFonts w:ascii="Arial" w:cs="Arial" w:eastAsia="Arial" w:hAnsi="Arial"/>
        <w:b w:val="0"/>
        <w:bCs w:val="0"/>
        <w:i w:val="0"/>
        <w:iCs w:val="0"/>
        <w:sz w:val="22"/>
        <w:szCs w:val="22"/>
      </w:rPr>
    </w:lvl>
    <w:lvl w:ilvl="3">
      <w:start w:val="0"/>
      <w:numFmt w:val="bullet"/>
      <w:lvlText w:val="•"/>
      <w:lvlJc w:val="left"/>
      <w:pPr>
        <w:ind w:left="3411" w:hanging="425"/>
      </w:pPr>
      <w:rPr/>
    </w:lvl>
    <w:lvl w:ilvl="4">
      <w:start w:val="0"/>
      <w:numFmt w:val="bullet"/>
      <w:lvlText w:val="•"/>
      <w:lvlJc w:val="left"/>
      <w:pPr>
        <w:ind w:left="4337" w:hanging="425"/>
      </w:pPr>
      <w:rPr/>
    </w:lvl>
    <w:lvl w:ilvl="5">
      <w:start w:val="0"/>
      <w:numFmt w:val="bullet"/>
      <w:lvlText w:val="•"/>
      <w:lvlJc w:val="left"/>
      <w:pPr>
        <w:ind w:left="5262" w:hanging="425"/>
      </w:pPr>
      <w:rPr/>
    </w:lvl>
    <w:lvl w:ilvl="6">
      <w:start w:val="0"/>
      <w:numFmt w:val="bullet"/>
      <w:lvlText w:val="•"/>
      <w:lvlJc w:val="left"/>
      <w:pPr>
        <w:ind w:left="6188" w:hanging="425"/>
      </w:pPr>
      <w:rPr/>
    </w:lvl>
    <w:lvl w:ilvl="7">
      <w:start w:val="0"/>
      <w:numFmt w:val="bullet"/>
      <w:lvlText w:val="•"/>
      <w:lvlJc w:val="left"/>
      <w:pPr>
        <w:ind w:left="7114" w:hanging="425"/>
      </w:pPr>
      <w:rPr/>
    </w:lvl>
    <w:lvl w:ilvl="8">
      <w:start w:val="0"/>
      <w:numFmt w:val="bullet"/>
      <w:lvlText w:val="•"/>
      <w:lvlJc w:val="left"/>
      <w:pPr>
        <w:ind w:left="8039" w:hanging="425"/>
      </w:pPr>
      <w:rPr/>
    </w:lvl>
  </w:abstractNum>
  <w:abstractNum w:abstractNumId="5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decimal"/>
      <w:lvlText w:val="%1."/>
      <w:lvlJc w:val="left"/>
      <w:pPr>
        <w:ind w:left="720" w:firstLine="130.3937007874017"/>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840" w:before="480" w:line="276" w:lineRule="auto"/>
      <w:ind w:left="-11"/>
      <w:jc w:val="center"/>
    </w:pPr>
    <w:rPr>
      <w:b w:val="1"/>
      <w:bCs w:val="1"/>
    </w:rPr>
  </w:style>
  <w:style w:type="paragraph" w:styleId="Heading2">
    <w:name w:val="heading 2"/>
    <w:basedOn w:val="Normal"/>
    <w:next w:val="Normal"/>
    <w:pPr>
      <w:tabs>
        <w:tab w:val="left" w:leader="none" w:pos="284"/>
      </w:tabs>
      <w:spacing w:after="160" w:before="240" w:lineRule="auto"/>
      <w:ind w:left="266" w:hanging="266"/>
    </w:pPr>
    <w:rPr>
      <w:b w:val="1"/>
      <w:bCs w:val="1"/>
    </w:rPr>
  </w:style>
  <w:style w:type="paragraph" w:styleId="Heading3">
    <w:name w:val="heading 3"/>
    <w:basedOn w:val="Normal"/>
    <w:next w:val="Normal"/>
    <w:pPr>
      <w:keepNext w:val="1"/>
      <w:keepLines w:val="1"/>
      <w:spacing w:after="120" w:before="200" w:line="276" w:lineRule="auto"/>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720" w:right="546" w:firstLine="20.999999999999943"/>
    </w:pPr>
    <w:rPr>
      <w:rFonts w:ascii="Century Gothic" w:cs="Century Gothic" w:eastAsia="Century Gothic" w:hAnsi="Century Gothic"/>
      <w:b w:val="1"/>
      <w:bCs w:val="1"/>
      <w:sz w:val="62"/>
      <w:szCs w:val="6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drive/folders/1yo_ChUsORFeLhqBTOuTQ9WCNfPGGrzlp?usp=sharing" TargetMode="External"/><Relationship Id="rId22" Type="http://schemas.openxmlformats.org/officeDocument/2006/relationships/image" Target="media/image3.png"/><Relationship Id="rId21" Type="http://schemas.openxmlformats.org/officeDocument/2006/relationships/hyperlink" Target="https://drive.google.com/drive/folders/16xEyMcx_fINtqM2gc4U8ZxKF3sIg6RPW?usp=sharing" TargetMode="External"/><Relationship Id="rId24" Type="http://schemas.openxmlformats.org/officeDocument/2006/relationships/hyperlink" Target="https://spektro-bi.org/event/pengumuman-pemenang-research-grant-bank-indonesia-tahun-2023-1" TargetMode="External"/><Relationship Id="rId23" Type="http://schemas.openxmlformats.org/officeDocument/2006/relationships/hyperlink" Target="https://www.spektro-bi.org/event/resarch-grant-bank-indonesia-tahun-2023-1"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humas@Poltekssn.ac.id" TargetMode="External"/><Relationship Id="rId26" Type="http://schemas.openxmlformats.org/officeDocument/2006/relationships/hyperlink" Target="https://poltekssn.ac.id" TargetMode="External"/><Relationship Id="rId25" Type="http://schemas.openxmlformats.org/officeDocument/2006/relationships/image" Target="media/image4.png"/><Relationship Id="rId28" Type="http://schemas.openxmlformats.org/officeDocument/2006/relationships/footer" Target="footer3.xml"/><Relationship Id="rId27" Type="http://schemas.openxmlformats.org/officeDocument/2006/relationships/hyperlink" Target="https://poltekssn.ac.id"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5.png"/><Relationship Id="rId8" Type="http://schemas.openxmlformats.org/officeDocument/2006/relationships/header" Target="header1.xml"/><Relationship Id="rId11" Type="http://schemas.openxmlformats.org/officeDocument/2006/relationships/hyperlink" Target="https://drive.google.com/file/d/1RTDLEKEwU9GaAdEmAmuhNM5vhiYxRumd/view?usp=sharing" TargetMode="External"/><Relationship Id="rId10" Type="http://schemas.openxmlformats.org/officeDocument/2006/relationships/hyperlink" Target="https://poltekssn.ac.id/" TargetMode="External"/><Relationship Id="rId13" Type="http://schemas.openxmlformats.org/officeDocument/2006/relationships/hyperlink" Target="https://drive.google.com/file/d/1kSBsz50E7DbexaSdHjejEulWj60DGx_E/view?usp=sharing" TargetMode="External"/><Relationship Id="rId12" Type="http://schemas.openxmlformats.org/officeDocument/2006/relationships/hyperlink" Target="https://drive.google.com/file/d/1tErdEpQwOVFNPYiHYfOQBtvdEVen2bKn/view?usp=sharing" TargetMode="External"/><Relationship Id="rId15" Type="http://schemas.openxmlformats.org/officeDocument/2006/relationships/hyperlink" Target="https://drive.google.com/file/d/1NOjYNJFOhHGSZsyHKJgNzYoQFulGG31j/view?usp=sharing" TargetMode="External"/><Relationship Id="rId14" Type="http://schemas.openxmlformats.org/officeDocument/2006/relationships/hyperlink" Target="https://drive.google.com/file/d/1DxIg9CEY2J35c0pXu-zlry18XYzdd91k/view?usp=sharing" TargetMode="External"/><Relationship Id="rId17" Type="http://schemas.openxmlformats.org/officeDocument/2006/relationships/footer" Target="footer1.xml"/><Relationship Id="rId16" Type="http://schemas.openxmlformats.org/officeDocument/2006/relationships/hyperlink" Target="https://drive.google.com/file/d/1qghPQSi3zgU29ts_0txB64Vx2rgkQPDi/view?usp=sharing" TargetMode="External"/><Relationship Id="rId19" Type="http://schemas.openxmlformats.org/officeDocument/2006/relationships/footer" Target="footer2.xml"/><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0.png"/><Relationship Id="rId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2025-04-29T00:00:00Z</vt:lpwstr>
  </property>
  <property fmtid="{D5CDD505-2E9C-101B-9397-08002B2CF9AE}" pid="3" name="Creator">
    <vt:lpwstr>Microsoft® Word for Microsoft 365</vt:lpwstr>
  </property>
  <property fmtid="{D5CDD505-2E9C-101B-9397-08002B2CF9AE}" pid="4" name="LastSaved">
    <vt:lpwstr>2025-06-19T00:00:00Z</vt:lpwstr>
  </property>
</Properties>
</file>