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3"/>
      </w:pPr>
      <w:r>
        <w:t>C.1 BUDAYA MUTU</w:t>
      </w:r>
    </w:p>
    <w:p>
      <w:pPr>
        <w:spacing w:before="80" w:after="80"/>
        <w:ind w:left="0"/>
      </w:pPr>
      <w:r>
        <w:rPr>
          <w:b w:val="0"/>
          <w:i w:val="0"/>
          <w:strike w:val="0"/>
          <w:sz w:val="20"/>
        </w:rPr>
        <w:t>Kriteria budaya mutu memuat uraian mengenai proses penetapan, implementasi, evaluasi, pengendalian, serta pengembangan standar pendidikan tinggi beserta indikator-indikator yang relevan. Standar yang dimaksud berkaitan dengan sistem pengelolaan dan peran SPMI dalam membentuk budaya mutu yang diterapkan di Politeknik Siber dan Sandi Negara khususnya Program Studi Rekayasa Keamanan Siber. Standar ini juga mencerminkan penerapan lima elemen utama Good University Governance (GUG), yaitu pengambil kebijakan, pelaksana akademik, penjaminan mutu, penunjang akademik, dan pelaksana administrasi, termasuk nilai-nilai dan norma yang mendukung terciptanya budaya mutu.</w:t>
      </w:r>
    </w:p>
    <w:p>
      <w:pPr>
        <w:spacing w:before="200" w:after="80"/>
        <w:ind w:left="0"/>
      </w:pPr>
      <w:r>
        <w:rPr>
          <w:b/>
          <w:i w:val="0"/>
          <w:strike w:val="0"/>
          <w:sz w:val="20"/>
        </w:rPr>
        <w:t xml:space="preserve">[PENETAPAN]  </w:t>
      </w:r>
      <w:r>
        <w:rPr>
          <w:sz w:val="20"/>
        </w:rPr>
        <w:t>Bagian ini berisi daftar dan penjelasan dokumen kebijakan, standar, dan indikator yang terkait dengan budaya mutu yang ditetapkan oleh Politeknik Siber dan Sandi Negara. Penetapan mencakup dua sub-aspek: (A) Sistem Tata Kelola Internal UPPS dan/atau PT berikut SOP; dan (B) Fungsi SPMI dengan SDM yang kompeten sebagai pelaksana.</w:t>
      </w:r>
    </w:p>
    <w:p>
      <w:pPr>
        <w:spacing w:before="200" w:after="80"/>
        <w:ind w:left="0"/>
      </w:pPr>
      <w:r>
        <w:rPr>
          <w:b/>
          <w:i w:val="0"/>
          <w:strike w:val="0"/>
          <w:sz w:val="20"/>
        </w:rPr>
        <w:t>A.  Sistem Tata Kelola UPPS dan/atau PT berikut SOP</w:t>
      </w:r>
    </w:p>
    <w:p>
      <w:pPr>
        <w:spacing w:before="80" w:after="40"/>
        <w:ind w:left="0"/>
      </w:pPr>
      <w:r>
        <w:rPr>
          <w:b w:val="0"/>
          <w:i w:val="0"/>
          <w:strike w:val="0"/>
          <w:sz w:val="20"/>
        </w:rPr>
        <w:t>Kebijakan yang berkaitan dengan sistem tata kelola internal di Politeknik Siber dan Sandi Negara yang meliputi administrasi akademik, keuangan, sumber daya manusia, dan aspek lain adalah sebagai berikut:</w:t>
      </w:r>
    </w:p>
    <w:p>
      <w:pPr>
        <w:spacing w:before="40" w:after="40"/>
        <w:ind w:left="425"/>
      </w:pPr>
      <w:r>
        <w:rPr>
          <w:b w:val="0"/>
          <w:i w:val="0"/>
          <w:strike w:val="0"/>
          <w:sz w:val="20"/>
        </w:rPr>
        <w:t>Peraturan Badan Siber dan Sandi Negara Nomor 12 Tahun 2019 tentang Organisasi dan Tata Kerja Politeknik Siber dan Sandi Negara;</w:t>
      </w:r>
    </w:p>
    <w:p>
      <w:pPr>
        <w:spacing w:before="40" w:after="40"/>
        <w:ind w:left="425"/>
      </w:pPr>
      <w:r>
        <w:rPr>
          <w:b w:val="0"/>
          <w:i w:val="0"/>
          <w:strike w:val="0"/>
          <w:sz w:val="20"/>
        </w:rPr>
        <w:t>Keputusan Direktur Politeknik Siber dan Sandi Negara Nomor 02.1 Tahun 2020 tentang Visi, Misi, Tujuan, dan Strategi Politeknik Siber dan Sandi Negara;</w:t>
      </w:r>
    </w:p>
    <w:p>
      <w:pPr>
        <w:spacing w:before="40" w:after="40"/>
        <w:ind w:left="425"/>
      </w:pPr>
      <w:r>
        <w:rPr>
          <w:b w:val="0"/>
          <w:i w:val="0"/>
          <w:strike w:val="0"/>
          <w:sz w:val="20"/>
          <w:highlight w:val="green"/>
        </w:rPr>
        <w:t>Keputusan Direktur Politeknik Siber dan Sandi Negara Nomor 18 Tahun 2021 tentang Peta Proses Bisnis Politeknik Siber dan Sandi Negara (seluruh SOP tersedia di probis.poltekssn.ac.id);</w:t>
      </w:r>
    </w:p>
    <w:p>
      <w:pPr>
        <w:spacing w:before="40" w:after="120"/>
        <w:ind w:left="850"/>
      </w:pPr>
      <w:r>
        <w:rPr>
          <w:b w:val="0"/>
          <w:i/>
          <w:strike w:val="0"/>
          <w:color w:val="0044CC"/>
          <w:sz w:val="17"/>
        </w:rPr>
        <w:t>[Catatan: Tambahkan tautan bukti probis.poltekssn.ac.id sebagai referensi SOP (sesuai STANDAR MUTU LED RKS.xlsx kolom J baris 7).]</w:t>
      </w:r>
    </w:p>
    <w:p>
      <w:pPr>
        <w:spacing w:before="40" w:after="40"/>
        <w:ind w:left="425"/>
      </w:pPr>
      <w:r>
        <w:rPr>
          <w:b w:val="0"/>
          <w:i w:val="0"/>
          <w:strike w:val="0"/>
          <w:sz w:val="20"/>
        </w:rPr>
        <w:t>Keputusan Direktur Politeknik Siber dan Sandi Negara Nomor 7.1 Tahun 2021 tentang Pedoman Pengembangan Kurikulum;</w:t>
      </w:r>
    </w:p>
    <w:p>
      <w:pPr>
        <w:spacing w:before="40" w:after="40"/>
        <w:ind w:left="425"/>
      </w:pPr>
      <w:r>
        <w:rPr>
          <w:b w:val="0"/>
          <w:i w:val="0"/>
          <w:strike w:val="0"/>
          <w:sz w:val="20"/>
        </w:rPr>
        <w:t>Keputusan Direktur Politeknik Siber dan Sandi Negara Nomor 06.2 Tahun 2022 tentang Visi, Misi, Tujuan, dan Strategi Program Studi Rekayasa Keamanan Siber Politeknik Siber dan Sandi Negara;</w:t>
      </w:r>
    </w:p>
    <w:p>
      <w:pPr>
        <w:spacing w:before="40" w:after="40"/>
        <w:ind w:left="425"/>
      </w:pPr>
      <w:r>
        <w:rPr>
          <w:b w:val="0"/>
          <w:i w:val="0"/>
          <w:strike w:val="0"/>
          <w:sz w:val="20"/>
        </w:rPr>
        <w:t>Keputusan Direktur Politeknik Siber dan Sandi Negara Nomor 03 Tahun 2022 tentang Rencana Strategis Politeknik Siber dan Sandi Negara Tahun 2021–2024;</w:t>
      </w:r>
    </w:p>
    <w:p>
      <w:pPr>
        <w:spacing w:before="40" w:after="40"/>
        <w:ind w:left="425"/>
      </w:pPr>
      <w:r>
        <w:rPr>
          <w:b w:val="0"/>
          <w:i w:val="0"/>
          <w:strike w:val="0"/>
          <w:sz w:val="20"/>
        </w:rPr>
        <w:t>Peraturan Badan Siber dan Sandi Negara Nomor 1 Tahun 2023 tentang Statuta Politeknik Siber dan Sandi Negara;</w:t>
      </w:r>
    </w:p>
    <w:p>
      <w:pPr>
        <w:spacing w:before="40" w:after="40"/>
        <w:ind w:left="425"/>
      </w:pPr>
      <w:r>
        <w:rPr>
          <w:b w:val="0"/>
          <w:i w:val="0"/>
          <w:strike/>
          <w:color w:val="CC0000"/>
          <w:sz w:val="18"/>
        </w:rPr>
        <w:t xml:space="preserve">Penetapan Standar Biaya Per Mahasiswa oleh Bagian Keuangan;  →  </w:t>
      </w:r>
      <w:r>
        <w:rPr>
          <w:b w:val="0"/>
          <w:i w:val="0"/>
          <w:strike w:val="0"/>
          <w:sz w:val="20"/>
          <w:highlight w:val="green"/>
        </w:rPr>
        <w:t>Keputusan Direktur Poltek SSN Nomor [No SK] Tahun [Tahun] tentang Penetapan Standar Biaya Per Mahasiswa;</w:t>
      </w:r>
    </w:p>
    <w:p>
      <w:pPr>
        <w:spacing w:before="40" w:after="120"/>
        <w:ind w:left="850"/>
      </w:pPr>
      <w:r>
        <w:rPr>
          <w:b w:val="0"/>
          <w:i/>
          <w:strike w:val="0"/>
          <w:color w:val="0044CC"/>
          <w:sz w:val="17"/>
        </w:rPr>
        <w:t>[Catatan: Isikan nomor SK dan tahun resmi Kepdir tentang standar biaya.]</w:t>
      </w:r>
    </w:p>
    <w:p>
      <w:pPr>
        <w:spacing w:before="40" w:after="40"/>
        <w:ind w:left="425"/>
      </w:pPr>
      <w:r>
        <w:rPr>
          <w:b w:val="0"/>
          <w:i w:val="0"/>
          <w:strike/>
          <w:color w:val="CC0000"/>
          <w:sz w:val="18"/>
        </w:rPr>
        <w:t xml:space="preserve">Kepdir Kalender pendidikan;  →  </w:t>
      </w:r>
      <w:r>
        <w:rPr>
          <w:b w:val="0"/>
          <w:i w:val="0"/>
          <w:strike w:val="0"/>
          <w:sz w:val="20"/>
          <w:highlight w:val="green"/>
        </w:rPr>
        <w:t>Keputusan Direktur Poltek SSN Nomor [No SK] Tahun [Tahun] tentang Kalender Pendidikan Poltek SSN Tahun Akademik [TA];</w:t>
      </w:r>
    </w:p>
    <w:p>
      <w:pPr>
        <w:spacing w:before="40" w:after="120"/>
        <w:ind w:left="850"/>
      </w:pPr>
      <w:r>
        <w:rPr>
          <w:b w:val="0"/>
          <w:i/>
          <w:strike w:val="0"/>
          <w:color w:val="0044CC"/>
          <w:sz w:val="17"/>
        </w:rPr>
        <w:t>[Catatan: Isikan nomor SK, tahun, dan tahun akademik yang berlaku.]</w:t>
      </w:r>
    </w:p>
    <w:p>
      <w:pPr>
        <w:spacing w:before="40" w:after="40"/>
        <w:ind w:left="425"/>
      </w:pPr>
      <w:r>
        <w:rPr>
          <w:b w:val="0"/>
          <w:i w:val="0"/>
          <w:strike/>
          <w:color w:val="CC0000"/>
          <w:sz w:val="18"/>
        </w:rPr>
        <w:t xml:space="preserve">Kepdir/SP penetapan dosen, tendik, dan pejabat akademik/struktural.  →  </w:t>
      </w:r>
      <w:r>
        <w:rPr>
          <w:b w:val="0"/>
          <w:i w:val="0"/>
          <w:strike w:val="0"/>
          <w:sz w:val="20"/>
          <w:highlight w:val="green"/>
        </w:rPr>
        <w:t>Keputusan Direktur/Surat Perintah Nomor [No SP] Tahun [Tahun] tentang Penetapan Dosen, Tenaga Kependidikan, dan Pejabat Akademik/Struktural;</w:t>
      </w:r>
    </w:p>
    <w:p>
      <w:pPr>
        <w:spacing w:before="40" w:after="120"/>
        <w:ind w:left="850"/>
      </w:pPr>
      <w:r>
        <w:rPr>
          <w:b w:val="0"/>
          <w:i/>
          <w:strike w:val="0"/>
          <w:color w:val="0044CC"/>
          <w:sz w:val="17"/>
        </w:rPr>
        <w:t>[Catatan: Isikan nomor dan tahun dokumen resmi terbaru.]</w:t>
      </w:r>
    </w:p>
    <w:p>
      <w:pPr>
        <w:spacing w:before="40" w:after="40"/>
        <w:ind w:left="425"/>
      </w:pPr>
      <w:r>
        <w:rPr>
          <w:b w:val="0"/>
          <w:i w:val="0"/>
          <w:strike w:val="0"/>
          <w:sz w:val="20"/>
          <w:highlight w:val="yellow"/>
        </w:rPr>
        <w:t>Peraturan Menteri Pendidikan, Kebudayaan, Riset, dan Teknologi Nomor 39 Tahun 2025 tentang Standar Nasional Pendidikan Tinggi (SN-DIKTI) — sebagai acuan standar mutu nasional yang berlaku;</w:t>
      </w:r>
    </w:p>
    <w:p>
      <w:pPr>
        <w:spacing w:before="40" w:after="120"/>
        <w:ind w:left="850"/>
      </w:pPr>
      <w:r>
        <w:rPr>
          <w:b w:val="0"/>
          <w:i/>
          <w:strike w:val="0"/>
          <w:color w:val="0044CC"/>
          <w:sz w:val="17"/>
        </w:rPr>
        <w:t>[Catatan: Regulasi SN-DIKTI terbaru 2025 — BARU. Menggantikan Permendikbud No. 3 Tahun 2020.]</w:t>
      </w:r>
    </w:p>
    <w:p>
      <w:pPr>
        <w:spacing w:before="40" w:after="40"/>
        <w:ind w:left="425"/>
      </w:pPr>
      <w:r>
        <w:rPr>
          <w:b w:val="0"/>
          <w:i w:val="0"/>
          <w:strike w:val="0"/>
          <w:sz w:val="20"/>
          <w:highlight w:val="yellow"/>
        </w:rPr>
        <w:t>Keputusan Direktur Poltek SSN Nomor [No SK] Tahun 2025 tentang Standar Mutu Internal Politeknik Siber dan Sandi Negara (berlaku sejak 15 Februari 2025).</w:t>
      </w:r>
    </w:p>
    <w:p>
      <w:pPr>
        <w:spacing w:before="40" w:after="120"/>
        <w:ind w:left="850"/>
      </w:pPr>
      <w:r>
        <w:rPr>
          <w:b w:val="0"/>
          <w:i/>
          <w:strike w:val="0"/>
          <w:color w:val="0044CC"/>
          <w:sz w:val="17"/>
        </w:rPr>
        <w:t>[Catatan: Standar mutu 2025 — BARU. Nomor SK wajib dikonfirmasi ke Pus Jamut sebelum submit ke SALAM LAM Infokom.]</w:t>
      </w:r>
    </w:p>
    <w:p>
      <w:pPr>
        <w:spacing w:before="240" w:after="40"/>
        <w:ind w:left="0"/>
      </w:pPr>
    </w:p>
    <w:p>
      <w:pPr>
        <w:spacing w:before="0" w:after="40"/>
        <w:ind w:left="0"/>
      </w:pPr>
      <w:r>
        <w:rPr>
          <w:b/>
          <w:i w:val="0"/>
          <w:strike w:val="0"/>
          <w:color w:val="444444"/>
          <w:sz w:val="20"/>
        </w:rPr>
        <w:t>Penjelasan Sistem Tata Kelola Internal</w:t>
      </w:r>
    </w:p>
    <w:p>
      <w:pPr>
        <w:spacing w:before="160" w:after="40"/>
        <w:ind w:left="0"/>
      </w:pPr>
      <w:r>
        <w:rPr>
          <w:b/>
          <w:i/>
          <w:strike w:val="0"/>
          <w:color w:val="444444"/>
          <w:sz w:val="20"/>
        </w:rPr>
        <w:t>Kerangka Umum Tata Kelola</w:t>
      </w:r>
    </w:p>
    <w:p>
      <w:pPr>
        <w:spacing w:before="40" w:after="80"/>
        <w:ind w:left="0"/>
      </w:pPr>
      <w:r>
        <w:rPr>
          <w:b w:val="0"/>
          <w:i w:val="0"/>
          <w:strike w:val="0"/>
          <w:sz w:val="20"/>
        </w:rPr>
        <w:t>Politeknik Siber dan Sandi Negara (Poltek SSN) telah menetapkan sistem tata kelola internal yang komprehensif, mencakup aspek administrasi akademik, keuangan, sumber daya manusia (SDM), dan aspek lain dalam kerangka siklus Penetapan-Pelaksanaan-Evaluasi-Pengendalian-Peningkatan (PPEPP). Penetapan sistem ini merupakan perwujudan komitmen institusi terhadap lima unsur Good University Governance (GUG): pengambil kebijakan, pelaksana akademik, penjaminan mutu, penunjang akademik, dan pelaksana administrasi.</w:t>
      </w:r>
    </w:p>
    <w:p>
      <w:pPr>
        <w:spacing w:before="40" w:after="80"/>
        <w:ind w:left="0"/>
      </w:pPr>
      <w:r>
        <w:rPr>
          <w:b w:val="0"/>
          <w:i w:val="0"/>
          <w:strike w:val="0"/>
          <w:sz w:val="20"/>
        </w:rPr>
        <w:t>Landasan hukum tata kelola berpijak pada Peraturan BSSN Nomor 12 Tahun 2019 tentang OTK yang mendefinisikan struktur dan kewenangan unit kerja, serta Peraturan BSSN Nomor 1 Tahun 2023 tentang Statuta Poltek SSN yang mengatur norma dasar seluruh aspek kelembagaan. Pada tingkat operasional, Keputusan Direktur Nomor 18 Tahun 2021 tentang Peta Proses Bisnis menjadi tulang punggung penyusunan SOP institusi — yang dapat diakses dan diverifikasi oleh seluruh pemangku kepentingan melalui laman probis.poltekssn.ac.id. Sebagai kerangka pengintegrasian tata kelola lintas aspek, Direktur menetapkan standar induk yang mengamanatkan tersusun dan diterapkannya SOP pada bidang Akademik, Keuangan, SDM, dan aspek lain dalam siklus PPEPP, dengan indikator persentase SOP yang tersusun dan diterapkan dengan target ≥70%, yang dikoordinasikan oleh Subbag OSDM TU sebagai pengelola proses bisnis institusi.</w:t>
      </w:r>
    </w:p>
    <w:p>
      <w:pPr>
        <w:spacing w:before="160" w:after="40"/>
        <w:ind w:left="0"/>
      </w:pPr>
      <w:r>
        <w:rPr>
          <w:b/>
          <w:i/>
          <w:strike w:val="0"/>
          <w:color w:val="444444"/>
          <w:sz w:val="20"/>
        </w:rPr>
        <w:t>Administrasi Akademik</w:t>
      </w:r>
    </w:p>
    <w:p>
      <w:pPr>
        <w:spacing w:before="40" w:after="80"/>
        <w:ind w:left="0"/>
      </w:pPr>
      <w:r>
        <w:rPr>
          <w:b w:val="0"/>
          <w:i w:val="0"/>
          <w:strike w:val="0"/>
          <w:sz w:val="20"/>
        </w:rPr>
        <w:t>Penyelenggaraan administrasi akademik Poltek SSN dikelola oleh Subbag Administrasi Akademik, Kemahasiswaan, dan Kerja Sama (Subbag AAK) dengan berlandaskan pada Statuta Poltek SSN (Perbadan No. 1 Tahun 2023) dan Pedoman Pengembangan Kurikulum (Kepdir No. 7.1 Tahun 2021). Arah pengembangan akademik Program Studi ditetapkan melalui Keputusan Direktur Nomor 06.2 Tahun 2022 tentang VMTS PS RKS, yang menjadi acuan penyusunan program pembelajaran dan evaluasi kurikulum berbasis OBE.</w:t>
      </w:r>
    </w:p>
    <w:p>
      <w:pPr>
        <w:spacing w:before="40" w:after="80"/>
        <w:ind w:left="0"/>
      </w:pPr>
      <w:r>
        <w:rPr>
          <w:b w:val="0"/>
          <w:i w:val="0"/>
          <w:strike w:val="0"/>
          <w:sz w:val="20"/>
        </w:rPr>
        <w:t>Standar pengelolaan administrasi akademik ditetapkan melalui Keputusan Direktur Nomor [No SK] Tahun 2025 tentang Standar Mutu Internal (Standar Pengelolaan Pembelajaran), dengan dua indikator utama: (1) persentase realisasi kesesuaian penyelenggaraan pendidikan berdasarkan kalender akademik setiap tahun ajaran — target 30%; dan (2) persentase data perkuliahan yang dilaporkan ke PDDikti secara lengkap dan tepat waktu pada setiap semester berjalan — target 100%. Kalender Akademik ditetapkan setiap awal tahun ajaran melalui Keputusan Direktur, menjadi acuan pelaksanaan seluruh kegiatan akademik mulai dari penerimaan mahasiswa baru hingga yudisium. Seluruh SOP administrasi akademik — mencakup penerimaan mahasiswa baru, KRS, penjadwalan, pelaksanaan ujian, pengisian nilai, yudisium, pengajuan tugas akhir, hingga pelaporan PDDikti — telah ditetapkan secara formal dan dapat diakses di probis.poltekssn.ac.id.</w:t>
      </w:r>
    </w:p>
    <w:p>
      <w:pPr>
        <w:spacing w:before="160" w:after="40"/>
        <w:ind w:left="0"/>
      </w:pPr>
      <w:r>
        <w:rPr>
          <w:b/>
          <w:i/>
          <w:strike w:val="0"/>
          <w:color w:val="444444"/>
          <w:sz w:val="20"/>
        </w:rPr>
        <w:t>Administrasi Keuangan</w:t>
      </w:r>
    </w:p>
    <w:p>
      <w:pPr>
        <w:spacing w:before="40" w:after="80"/>
        <w:ind w:left="0"/>
      </w:pPr>
      <w:r>
        <w:rPr>
          <w:b w:val="0"/>
          <w:i w:val="0"/>
          <w:strike w:val="0"/>
          <w:sz w:val="20"/>
        </w:rPr>
        <w:t>Pengelolaan keuangan Poltek SSN mengacu pada prinsip tata kelola yang baik (good governance) berbasis akuntabilitas dan transparansi sesuai ketentuan perundang-undangan yang berlaku bagi satuan kerja di lingkungan BSSN. Perencanaan anggaran disusun setiap tahun dalam dokumen Rencana Kerja dan Anggaran (RKA) yang mencakup seluruh komponen tridharma — pendidikan, penelitian, dan pengabdian kepada masyarakat (PkM) — dengan mengacu pada Rencana Strategis Poltek SSN Tahun 2021–2024 (Kepdir No. 03 Tahun 2022).</w:t>
      </w:r>
    </w:p>
    <w:p>
      <w:pPr>
        <w:spacing w:before="40" w:after="80"/>
        <w:ind w:left="0"/>
      </w:pPr>
      <w:r>
        <w:rPr>
          <w:b w:val="0"/>
          <w:i w:val="0"/>
          <w:strike w:val="0"/>
          <w:sz w:val="20"/>
        </w:rPr>
        <w:t>Standar pengelolaan keuangan ditetapkan melalui Keputusan Direktur Nomor [No SK] Tahun 2025 tentang Standar Mutu Internal (Standar Pembiayaan Pembelajaran), dengan indikator persentase realisasi anggaran tahunan dengan target 95%. Seluruh sumber pendanaan Poltek SSN berasal dari APBN, dikelola oleh Subbag Perencanaan dan Keuangan (Subbag Renkeu), dan dilaporkan secara berkala kepada Direktur melalui laporan kinerja tahunan. SOP pengelolaan keuangan — mulai dari penyusunan RKA, pengajuan dan pencairan anggaran, pertanggungjawaban, hingga penyusunan laporan keuangan tahunan — telah ditetapkan dan terdokumentasi sebagaimana dapat diverifikasi melalui probis.poltekssn.ac.id.</w:t>
      </w:r>
    </w:p>
    <w:p>
      <w:pPr>
        <w:spacing w:before="200" w:after="80"/>
        <w:ind w:left="0"/>
      </w:pPr>
      <w:r>
        <w:rPr>
          <w:b w:val="0"/>
          <w:i w:val="0"/>
          <w:strike w:val="0"/>
          <w:sz w:val="20"/>
        </w:rPr>
        <w:t>Berikut standar mutu dan indikator kinerja yang terkait dengan sistem tata kelola internal di Politeknik Siber dan Sandi Negara (sumber: STANDAR MUTU LED RKS.xlsx — C1 Bagian A, baris 7–10):</w:t>
      </w:r>
    </w:p>
    <w:tbl>
      <w:tblPr>
        <w:tblStyle w:val="Table2"/>
        <w:tblW w:type="auto" w:w="0"/>
        <w:tblLook w:firstColumn="1" w:firstRow="1" w:lastColumn="0" w:lastRow="0" w:noHBand="0" w:noVBand="1" w:val="04A0"/>
      </w:tblPr>
      <w:tblGrid>
        <w:gridCol w:w="1150"/>
        <w:gridCol w:w="1150"/>
        <w:gridCol w:w="1150"/>
        <w:gridCol w:w="1150"/>
        <w:gridCol w:w="1150"/>
        <w:gridCol w:w="1150"/>
        <w:gridCol w:w="1150"/>
        <w:gridCol w:w="1150"/>
      </w:tblGrid>
      <w:tr>
        <w:tc>
          <w:tcPr>
            <w:tcW w:type="dxa" w:w="1150"/>
            <w:shd w:val="clear" w:color="auto" w:fill="1F3864"/>
          </w:tcPr>
          <w:p>
            <w:pPr>
              <w:jc w:val="center"/>
            </w:pPr>
            <w:r>
              <w:rPr>
                <w:b/>
                <w:color w:val="FFFFFF"/>
                <w:sz w:val="18"/>
              </w:rPr>
              <w:t>No</w:t>
            </w:r>
          </w:p>
        </w:tc>
        <w:tc>
          <w:tcPr>
            <w:tcW w:type="dxa" w:w="1150"/>
            <w:shd w:val="clear" w:color="auto" w:fill="1F3864"/>
          </w:tcPr>
          <w:p>
            <w:pPr>
              <w:jc w:val="center"/>
            </w:pPr>
            <w:r>
              <w:rPr>
                <w:b/>
                <w:color w:val="FFFFFF"/>
                <w:sz w:val="18"/>
              </w:rPr>
              <w:t>Kriteria</w:t>
              <w:br/>
              <w:t>LAM Infokom</w:t>
            </w:r>
          </w:p>
        </w:tc>
        <w:tc>
          <w:tcPr>
            <w:tcW w:type="dxa" w:w="1150"/>
            <w:shd w:val="clear" w:color="auto" w:fill="1F3864"/>
          </w:tcPr>
          <w:p>
            <w:pPr>
              <w:jc w:val="center"/>
            </w:pPr>
            <w:r>
              <w:rPr>
                <w:b/>
                <w:color w:val="FFFFFF"/>
                <w:sz w:val="18"/>
              </w:rPr>
              <w:t>Pernyataan Standar Mutu</w:t>
            </w:r>
          </w:p>
        </w:tc>
        <w:tc>
          <w:tcPr>
            <w:tcW w:type="dxa" w:w="1150"/>
            <w:shd w:val="clear" w:color="auto" w:fill="1F3864"/>
          </w:tcPr>
          <w:p>
            <w:pPr>
              <w:jc w:val="center"/>
            </w:pPr>
            <w:r>
              <w:rPr>
                <w:b/>
                <w:color w:val="FFFFFF"/>
                <w:sz w:val="18"/>
              </w:rPr>
              <w:t>Indikator</w:t>
            </w:r>
          </w:p>
        </w:tc>
        <w:tc>
          <w:tcPr>
            <w:tcW w:type="dxa" w:w="1150"/>
            <w:shd w:val="clear" w:color="auto" w:fill="1F3864"/>
          </w:tcPr>
          <w:p>
            <w:pPr>
              <w:jc w:val="center"/>
            </w:pPr>
            <w:r>
              <w:rPr>
                <w:b/>
                <w:color w:val="FFFFFF"/>
                <w:sz w:val="18"/>
              </w:rPr>
              <w:t>Target</w:t>
            </w:r>
          </w:p>
        </w:tc>
        <w:tc>
          <w:tcPr>
            <w:tcW w:type="dxa" w:w="1150"/>
            <w:shd w:val="clear" w:color="auto" w:fill="1F3864"/>
          </w:tcPr>
          <w:p>
            <w:pPr>
              <w:jc w:val="center"/>
            </w:pPr>
            <w:r>
              <w:rPr>
                <w:b/>
                <w:color w:val="FFFFFF"/>
                <w:sz w:val="18"/>
              </w:rPr>
              <w:t>PJ</w:t>
            </w:r>
          </w:p>
        </w:tc>
        <w:tc>
          <w:tcPr>
            <w:tcW w:type="dxa" w:w="1150"/>
            <w:shd w:val="clear" w:color="auto" w:fill="1F3864"/>
          </w:tcPr>
          <w:p>
            <w:pPr>
              <w:jc w:val="center"/>
            </w:pPr>
            <w:r>
              <w:rPr>
                <w:b/>
                <w:color w:val="FFFFFF"/>
                <w:sz w:val="18"/>
              </w:rPr>
              <w:t>Rujukan Standar</w:t>
            </w:r>
          </w:p>
        </w:tc>
        <w:tc>
          <w:tcPr>
            <w:tcW w:type="dxa" w:w="1150"/>
            <w:shd w:val="clear" w:color="auto" w:fill="1F3864"/>
          </w:tcPr>
          <w:p>
            <w:pPr>
              <w:jc w:val="center"/>
            </w:pPr>
            <w:r>
              <w:rPr>
                <w:b/>
                <w:color w:val="FFFFFF"/>
                <w:sz w:val="18"/>
              </w:rPr>
              <w:t>Bukti Dukung</w:t>
            </w:r>
          </w:p>
        </w:tc>
      </w:tr>
      <w:tr>
        <w:tc>
          <w:tcPr>
            <w:tcW w:type="dxa" w:w="1150"/>
          </w:tcPr>
          <w:p>
            <w:pPr>
              <w:jc w:val="center"/>
            </w:pPr>
            <w:r>
              <w:rPr>
                <w:b w:val="0"/>
                <w:i w:val="0"/>
                <w:strike w:val="0"/>
                <w:sz w:val="18"/>
              </w:rPr>
              <w:t>1</w:t>
            </w:r>
          </w:p>
        </w:tc>
        <w:tc>
          <w:tcPr>
            <w:tcW w:type="dxa" w:w="1150"/>
          </w:tcPr>
          <w:p>
            <w:r>
              <w:rPr>
                <w:b w:val="0"/>
                <w:i w:val="0"/>
                <w:strike w:val="0"/>
                <w:sz w:val="18"/>
                <w:highlight w:val="green"/>
              </w:rPr>
              <w:t>Sistem Tata Kelola</w:t>
            </w:r>
          </w:p>
        </w:tc>
        <w:tc>
          <w:tcPr>
            <w:tcW w:type="dxa" w:w="1150"/>
          </w:tcPr>
          <w:p>
            <w:r>
              <w:rPr>
                <w:b w:val="0"/>
                <w:i w:val="0"/>
                <w:strike w:val="0"/>
                <w:sz w:val="18"/>
              </w:rPr>
              <w:t>Direktur bertanggung jawab atas tersusunnya sistem tata kelola internal melalui penetapan dan penerapan SOP pada bidang Akademik, Keuangan, SDM dan aspek lain dalam siklus PPEPP.</w:t>
            </w:r>
          </w:p>
        </w:tc>
        <w:tc>
          <w:tcPr>
            <w:tcW w:type="dxa" w:w="1150"/>
          </w:tcPr>
          <w:p>
            <w:r>
              <w:rPr>
                <w:b w:val="0"/>
                <w:i w:val="0"/>
                <w:strike w:val="0"/>
                <w:sz w:val="18"/>
              </w:rPr>
              <w:t>Persentase SOP pada bidang Akademik, Keuangan, SDM dan aspek lain yang tersusun dan diterapkan</w:t>
            </w:r>
          </w:p>
        </w:tc>
        <w:tc>
          <w:tcPr>
            <w:tcW w:type="dxa" w:w="1150"/>
          </w:tcPr>
          <w:p>
            <w:pPr>
              <w:jc w:val="center"/>
            </w:pPr>
            <w:r>
              <w:rPr>
                <w:b w:val="0"/>
                <w:i w:val="0"/>
                <w:strike w:val="0"/>
                <w:sz w:val="18"/>
              </w:rPr>
              <w:t>≥ 70%</w:t>
            </w:r>
          </w:p>
        </w:tc>
        <w:tc>
          <w:tcPr>
            <w:tcW w:type="dxa" w:w="1150"/>
          </w:tcPr>
          <w:p>
            <w:r>
              <w:rPr>
                <w:b w:val="0"/>
                <w:i w:val="0"/>
                <w:strike w:val="0"/>
                <w:sz w:val="18"/>
                <w:highlight w:val="yellow"/>
              </w:rPr>
              <w:t>Subbag OSDM TU</w:t>
            </w:r>
          </w:p>
        </w:tc>
        <w:tc>
          <w:tcPr>
            <w:tcW w:type="dxa" w:w="1150"/>
          </w:tcPr>
          <w:p>
            <w:r>
              <w:rPr>
                <w:b w:val="0"/>
                <w:i w:val="0"/>
                <w:strike w:val="0"/>
                <w:sz w:val="18"/>
                <w:highlight w:val="yellow"/>
              </w:rPr>
              <w:t>Standar Pengelolaan Pembelajaran</w:t>
            </w:r>
          </w:p>
        </w:tc>
        <w:tc>
          <w:tcPr>
            <w:tcW w:type="dxa" w:w="1150"/>
          </w:tcPr>
          <w:p>
            <w:r>
              <w:rPr>
                <w:b w:val="0"/>
                <w:i w:val="0"/>
                <w:strike w:val="0"/>
                <w:sz w:val="18"/>
                <w:highlight w:val="yellow"/>
              </w:rPr>
              <w:t>SOP pada probis.poltekssn.ac.id</w:t>
            </w:r>
          </w:p>
        </w:tc>
      </w:tr>
      <w:tr>
        <w:tc>
          <w:tcPr>
            <w:tcW w:type="dxa" w:w="1150"/>
          </w:tcPr>
          <w:p>
            <w:pPr>
              <w:jc w:val="center"/>
            </w:pPr>
            <w:r>
              <w:rPr>
                <w:b w:val="0"/>
                <w:i w:val="0"/>
                <w:strike w:val="0"/>
                <w:sz w:val="18"/>
              </w:rPr>
              <w:t>2</w:t>
            </w:r>
          </w:p>
        </w:tc>
        <w:tc>
          <w:tcPr>
            <w:tcW w:type="dxa" w:w="1150"/>
          </w:tcPr>
          <w:p>
            <w:r>
              <w:rPr>
                <w:b w:val="0"/>
                <w:i w:val="0"/>
                <w:strike w:val="0"/>
                <w:sz w:val="18"/>
                <w:highlight w:val="green"/>
              </w:rPr>
              <w:t>Sistem Tata Kelola Administrasi Akademik</w:t>
            </w:r>
          </w:p>
        </w:tc>
        <w:tc>
          <w:tcPr>
            <w:tcW w:type="dxa" w:w="1150"/>
          </w:tcPr>
          <w:p>
            <w:r>
              <w:rPr>
                <w:b w:val="0"/>
                <w:i w:val="0"/>
                <w:strike w:val="0"/>
                <w:sz w:val="18"/>
              </w:rPr>
              <w:t>Direktur menetapkan sistem pengelolaan administrasi akademik berdasarkan peraturan yang berlaku</w:t>
            </w:r>
          </w:p>
        </w:tc>
        <w:tc>
          <w:tcPr>
            <w:tcW w:type="dxa" w:w="1150"/>
          </w:tcPr>
          <w:p>
            <w:r>
              <w:rPr>
                <w:b w:val="0"/>
                <w:i w:val="0"/>
                <w:strike w:val="0"/>
                <w:sz w:val="18"/>
              </w:rPr>
              <w:t>Persentase realisasi kesesuaian penyelenggaraan pendidikan berdasarkan kalender akademik setiap tahun ajaran</w:t>
            </w:r>
          </w:p>
        </w:tc>
        <w:tc>
          <w:tcPr>
            <w:tcW w:type="dxa" w:w="1150"/>
          </w:tcPr>
          <w:p>
            <w:pPr>
              <w:jc w:val="center"/>
            </w:pPr>
            <w:r>
              <w:rPr>
                <w:b w:val="0"/>
                <w:i w:val="0"/>
                <w:strike w:val="0"/>
                <w:sz w:val="18"/>
              </w:rPr>
              <w:t>30%</w:t>
            </w:r>
          </w:p>
        </w:tc>
        <w:tc>
          <w:tcPr>
            <w:tcW w:type="dxa" w:w="1150"/>
          </w:tcPr>
          <w:p>
            <w:r>
              <w:rPr>
                <w:b w:val="0"/>
                <w:i w:val="0"/>
                <w:strike w:val="0"/>
                <w:sz w:val="18"/>
                <w:highlight w:val="yellow"/>
              </w:rPr>
              <w:t>Subbag AAK</w:t>
            </w:r>
          </w:p>
        </w:tc>
        <w:tc>
          <w:tcPr>
            <w:tcW w:type="dxa" w:w="1150"/>
          </w:tcPr>
          <w:p>
            <w:r>
              <w:rPr>
                <w:b w:val="0"/>
                <w:i w:val="0"/>
                <w:strike w:val="0"/>
                <w:sz w:val="18"/>
                <w:highlight w:val="yellow"/>
              </w:rPr>
              <w:t>Standar Pengelolaan Pembelajaran</w:t>
            </w:r>
          </w:p>
        </w:tc>
        <w:tc>
          <w:tcPr>
            <w:tcW w:type="dxa" w:w="1150"/>
          </w:tcPr>
          <w:p>
            <w:r>
              <w:rPr>
                <w:b w:val="0"/>
                <w:i w:val="0"/>
                <w:strike w:val="0"/>
                <w:sz w:val="18"/>
              </w:rPr>
              <w:t>—</w:t>
            </w:r>
          </w:p>
        </w:tc>
      </w:tr>
      <w:tr>
        <w:tc>
          <w:tcPr>
            <w:tcW w:type="dxa" w:w="1150"/>
          </w:tcPr>
          <w:p>
            <w:pPr>
              <w:jc w:val="center"/>
            </w:pPr>
            <w:r>
              <w:rPr>
                <w:b w:val="0"/>
                <w:i w:val="0"/>
                <w:strike w:val="0"/>
                <w:sz w:val="18"/>
              </w:rPr>
              <w:t>3</w:t>
            </w:r>
          </w:p>
        </w:tc>
        <w:tc>
          <w:tcPr>
            <w:tcW w:type="dxa" w:w="1150"/>
          </w:tcPr>
          <w:p>
            <w:r>
              <w:rPr>
                <w:b w:val="0"/>
                <w:i w:val="0"/>
                <w:strike w:val="0"/>
                <w:sz w:val="18"/>
              </w:rPr>
            </w:r>
          </w:p>
        </w:tc>
        <w:tc>
          <w:tcPr>
            <w:tcW w:type="dxa" w:w="1150"/>
          </w:tcPr>
          <w:p>
            <w:r>
              <w:rPr>
                <w:b w:val="0"/>
                <w:i w:val="0"/>
                <w:strike w:val="0"/>
                <w:sz w:val="18"/>
              </w:rPr>
            </w:r>
          </w:p>
        </w:tc>
        <w:tc>
          <w:tcPr>
            <w:tcW w:type="dxa" w:w="1150"/>
          </w:tcPr>
          <w:p>
            <w:r>
              <w:rPr>
                <w:b w:val="0"/>
                <w:i w:val="0"/>
                <w:strike w:val="0"/>
                <w:sz w:val="18"/>
              </w:rPr>
              <w:t>Persentase data perkuliahan dilaporkan ke PDDikti secara lengkap dan tepat waktu pada setiap semester berjalan</w:t>
            </w:r>
          </w:p>
        </w:tc>
        <w:tc>
          <w:tcPr>
            <w:tcW w:type="dxa" w:w="1150"/>
          </w:tcPr>
          <w:p>
            <w:pPr>
              <w:jc w:val="center"/>
            </w:pPr>
            <w:r>
              <w:rPr>
                <w:b w:val="0"/>
                <w:i w:val="0"/>
                <w:strike w:val="0"/>
                <w:sz w:val="18"/>
              </w:rPr>
              <w:t>100%</w:t>
            </w:r>
          </w:p>
        </w:tc>
        <w:tc>
          <w:tcPr>
            <w:tcW w:type="dxa" w:w="1150"/>
          </w:tcPr>
          <w:p>
            <w:r>
              <w:rPr>
                <w:b w:val="0"/>
                <w:i w:val="0"/>
                <w:strike w:val="0"/>
                <w:sz w:val="18"/>
                <w:highlight w:val="yellow"/>
              </w:rPr>
              <w:t>Subbag AAK</w:t>
            </w:r>
          </w:p>
        </w:tc>
        <w:tc>
          <w:tcPr>
            <w:tcW w:type="dxa" w:w="1150"/>
          </w:tcPr>
          <w:p>
            <w:r>
              <w:rPr>
                <w:b w:val="0"/>
                <w:i w:val="0"/>
                <w:strike w:val="0"/>
                <w:sz w:val="18"/>
                <w:highlight w:val="yellow"/>
              </w:rPr>
              <w:t>Standar Pengelolaan Pembelajaran</w:t>
            </w:r>
          </w:p>
        </w:tc>
        <w:tc>
          <w:tcPr>
            <w:tcW w:type="dxa" w:w="1150"/>
          </w:tcPr>
          <w:p>
            <w:r>
              <w:rPr>
                <w:b w:val="0"/>
                <w:i w:val="0"/>
                <w:strike w:val="0"/>
                <w:sz w:val="18"/>
              </w:rPr>
              <w:t>—</w:t>
            </w:r>
          </w:p>
        </w:tc>
      </w:tr>
      <w:tr>
        <w:tc>
          <w:tcPr>
            <w:tcW w:type="dxa" w:w="1150"/>
          </w:tcPr>
          <w:p>
            <w:pPr>
              <w:jc w:val="center"/>
            </w:pPr>
            <w:r>
              <w:rPr>
                <w:b w:val="0"/>
                <w:i w:val="0"/>
                <w:strike w:val="0"/>
                <w:sz w:val="18"/>
              </w:rPr>
              <w:t>4</w:t>
            </w:r>
          </w:p>
        </w:tc>
        <w:tc>
          <w:tcPr>
            <w:tcW w:type="dxa" w:w="1150"/>
          </w:tcPr>
          <w:p>
            <w:r>
              <w:rPr>
                <w:b w:val="0"/>
                <w:i w:val="0"/>
                <w:strike w:val="0"/>
                <w:sz w:val="18"/>
                <w:highlight w:val="green"/>
              </w:rPr>
              <w:t>Sistem Tata Kelola Keuangan</w:t>
            </w:r>
          </w:p>
        </w:tc>
        <w:tc>
          <w:tcPr>
            <w:tcW w:type="dxa" w:w="1150"/>
          </w:tcPr>
          <w:p>
            <w:r>
              <w:rPr>
                <w:b w:val="0"/>
                <w:i w:val="0"/>
                <w:strike w:val="0"/>
                <w:sz w:val="18"/>
              </w:rPr>
              <w:t>Direktur menetapkan sistem pengelolaan keuangan berdasarkan prinsip tata kelola perguruan tinggi yang baik sesuai dengan ketentuan peraturan perundang-undangan</w:t>
            </w:r>
          </w:p>
        </w:tc>
        <w:tc>
          <w:tcPr>
            <w:tcW w:type="dxa" w:w="1150"/>
          </w:tcPr>
          <w:p>
            <w:r>
              <w:rPr>
                <w:b w:val="0"/>
                <w:i w:val="0"/>
                <w:strike w:val="0"/>
                <w:sz w:val="18"/>
              </w:rPr>
              <w:t>Persentase realisasi anggaran tahunan</w:t>
            </w:r>
          </w:p>
        </w:tc>
        <w:tc>
          <w:tcPr>
            <w:tcW w:type="dxa" w:w="1150"/>
          </w:tcPr>
          <w:p>
            <w:pPr>
              <w:jc w:val="center"/>
            </w:pPr>
            <w:r>
              <w:rPr>
                <w:b w:val="0"/>
                <w:i w:val="0"/>
                <w:strike w:val="0"/>
                <w:sz w:val="18"/>
              </w:rPr>
              <w:t>95%</w:t>
            </w:r>
          </w:p>
        </w:tc>
        <w:tc>
          <w:tcPr>
            <w:tcW w:type="dxa" w:w="1150"/>
          </w:tcPr>
          <w:p>
            <w:r>
              <w:rPr>
                <w:b w:val="0"/>
                <w:i w:val="0"/>
                <w:strike w:val="0"/>
                <w:sz w:val="18"/>
                <w:highlight w:val="yellow"/>
              </w:rPr>
              <w:t>Subbag Renkeu</w:t>
            </w:r>
          </w:p>
        </w:tc>
        <w:tc>
          <w:tcPr>
            <w:tcW w:type="dxa" w:w="1150"/>
          </w:tcPr>
          <w:p>
            <w:r>
              <w:rPr>
                <w:b w:val="0"/>
                <w:i w:val="0"/>
                <w:strike w:val="0"/>
                <w:sz w:val="18"/>
                <w:highlight w:val="yellow"/>
              </w:rPr>
              <w:t>Standar Pembiayaan Pembelajaran</w:t>
            </w:r>
          </w:p>
        </w:tc>
        <w:tc>
          <w:tcPr>
            <w:tcW w:type="dxa" w:w="1150"/>
          </w:tcPr>
          <w:p>
            <w:r>
              <w:rPr>
                <w:b w:val="0"/>
                <w:i w:val="0"/>
                <w:strike w:val="0"/>
                <w:sz w:val="18"/>
              </w:rPr>
              <w:t>—</w:t>
            </w:r>
          </w:p>
        </w:tc>
      </w:tr>
    </w:tbl>
    <w:p>
      <w:pPr>
        <w:spacing w:before="40" w:after="120"/>
        <w:ind w:left="0"/>
      </w:pPr>
      <w:r>
        <w:rPr>
          <w:b w:val="0"/>
          <w:i/>
          <w:strike w:val="0"/>
          <w:color w:val="0044CC"/>
          <w:sz w:val="17"/>
        </w:rPr>
        <w:t>[Catatan: Kolom Kriteria LAM Infokom (hijau), PJ, Rujukan Standar, dan Bukti Dukung (kuning) BARU ditambahkan dari STANDAR MUTU LED RKS.xlsx. Target No.1: ≥70% (sesuai Excel). Target No.2 (kalender akademik 30%): konfirmasi ke Pus Jamut sebelum submit.]</w:t>
      </w:r>
    </w:p>
    <w:p>
      <w:pPr>
        <w:spacing w:before="200" w:after="80"/>
        <w:ind w:left="0"/>
      </w:pPr>
      <w:r>
        <w:rPr>
          <w:b/>
          <w:i w:val="0"/>
          <w:strike w:val="0"/>
          <w:sz w:val="20"/>
        </w:rPr>
        <w:t>B.  Fungsi SPMI dengan SDM yang Kompeten sebagai Pelaksana</w:t>
      </w:r>
    </w:p>
    <w:p>
      <w:pPr>
        <w:spacing w:before="80" w:after="40"/>
        <w:ind w:left="0"/>
      </w:pPr>
      <w:r>
        <w:rPr>
          <w:b w:val="0"/>
          <w:i w:val="0"/>
          <w:strike w:val="0"/>
          <w:sz w:val="20"/>
        </w:rPr>
        <w:t>Kebijakan yang berkaitan dengan fungsi SPMI dengan SDM yang kompeten sebagai pelaksana di Politeknik Siber dan Sandi Negara adalah sebagai berikut:</w:t>
      </w:r>
    </w:p>
    <w:p>
      <w:pPr>
        <w:spacing w:before="40" w:after="40"/>
        <w:ind w:left="425"/>
      </w:pPr>
      <w:r>
        <w:rPr>
          <w:b w:val="0"/>
          <w:i w:val="0"/>
          <w:strike w:val="0"/>
          <w:sz w:val="20"/>
          <w:highlight w:val="yellow"/>
        </w:rPr>
        <w:t>Peraturan Menteri Pendidikan Tinggi, Sains, dan Teknologi Nomor 53 Tahun 2023 tentang Penjaminan Mutu Pendidikan Tinggi — mewajibkan penerapan SPMI berbasis siklus PPEPP di seluruh perguruan tinggi;</w:t>
      </w:r>
    </w:p>
    <w:p>
      <w:pPr>
        <w:spacing w:before="40" w:after="120"/>
        <w:ind w:left="850"/>
      </w:pPr>
      <w:r>
        <w:rPr>
          <w:b w:val="0"/>
          <w:i/>
          <w:strike w:val="0"/>
          <w:color w:val="0044CC"/>
          <w:sz w:val="17"/>
        </w:rPr>
        <w:t>[Catatan: Regulasi dasar SPMI BARU — wajib dicantumkan sebagai landasan hukum PPEPP.]</w:t>
      </w:r>
    </w:p>
    <w:p>
      <w:pPr>
        <w:spacing w:before="40" w:after="40"/>
        <w:ind w:left="425"/>
      </w:pPr>
      <w:r>
        <w:rPr>
          <w:b w:val="0"/>
          <w:i w:val="0"/>
          <w:strike/>
          <w:color w:val="CC0000"/>
          <w:sz w:val="18"/>
        </w:rPr>
        <w:t xml:space="preserve">Kepdir No. 20.1 Tahun 2022 tentang Standar Mutu Poltek SSN;  →  </w:t>
      </w:r>
      <w:r>
        <w:rPr>
          <w:b w:val="0"/>
          <w:i w:val="0"/>
          <w:strike w:val="0"/>
          <w:sz w:val="20"/>
          <w:highlight w:val="green"/>
        </w:rPr>
        <w:t>Keputusan Direktur Poltek SSN Nomor [No SK] Tahun 2025 tentang Standar Mutu Internal Politeknik Siber dan Sandi Negara (berlaku sejak 15 Februari 2025);</w:t>
      </w:r>
    </w:p>
    <w:p>
      <w:pPr>
        <w:spacing w:before="40" w:after="120"/>
        <w:ind w:left="850"/>
      </w:pPr>
      <w:r>
        <w:rPr>
          <w:b w:val="0"/>
          <w:i/>
          <w:strike w:val="0"/>
          <w:color w:val="0044CC"/>
          <w:sz w:val="17"/>
        </w:rPr>
        <w:t>[Catatan: Diperbarui dari Kepdir 20.1/2022 ke standar mutu 2025. Isikan nomor SK resmi setelah dikonfirmasi ke Pus Jamut.]</w:t>
      </w:r>
    </w:p>
    <w:p>
      <w:pPr>
        <w:spacing w:before="40" w:after="40"/>
        <w:ind w:left="425"/>
      </w:pPr>
      <w:r>
        <w:rPr>
          <w:b w:val="0"/>
          <w:i w:val="0"/>
          <w:strike/>
          <w:color w:val="CC0000"/>
          <w:sz w:val="18"/>
        </w:rPr>
        <w:t xml:space="preserve">Kepdir terkait SPMI di lingkungan Poltek SSN;  →  </w:t>
      </w:r>
      <w:r>
        <w:rPr>
          <w:b w:val="0"/>
          <w:i w:val="0"/>
          <w:strike w:val="0"/>
          <w:sz w:val="20"/>
          <w:highlight w:val="green"/>
        </w:rPr>
        <w:t>Keputusan Direktur Poltek SSN tentang penyelenggaraan SPMI — mencakup Kebijakan Mutu, Manual Mutu (Panduan PPEPP), Standar Mutu, dan Formulir SPMI;</w:t>
      </w:r>
    </w:p>
    <w:p>
      <w:pPr>
        <w:spacing w:before="40" w:after="120"/>
        <w:ind w:left="850"/>
      </w:pPr>
      <w:r>
        <w:rPr>
          <w:b w:val="0"/>
          <w:i/>
          <w:strike w:val="0"/>
          <w:color w:val="0044CC"/>
          <w:sz w:val="17"/>
        </w:rPr>
        <w:t>[Catatan: Perincikan dengan menyebut jenis dokumen SPMI. Isikan nomor SK resmi.]</w:t>
      </w:r>
    </w:p>
    <w:p>
      <w:pPr>
        <w:spacing w:before="40" w:after="40"/>
        <w:ind w:left="425"/>
      </w:pPr>
      <w:r>
        <w:rPr>
          <w:b w:val="0"/>
          <w:i w:val="0"/>
          <w:strike w:val="0"/>
          <w:sz w:val="20"/>
          <w:highlight w:val="yellow"/>
        </w:rPr>
        <w:t>Keputusan Direktur/Surat Perintah tentang Pengangkatan Kepala Pusat Penjaminan Mutu (Pus Jamut) dan Gugus Kendali Mutu (GKM) sebagai pelaksana SPMI tingkat PT dan UPPS/PS;</w:t>
      </w:r>
    </w:p>
    <w:p>
      <w:pPr>
        <w:spacing w:before="40" w:after="120"/>
        <w:ind w:left="850"/>
      </w:pPr>
      <w:r>
        <w:rPr>
          <w:b w:val="0"/>
          <w:i/>
          <w:strike w:val="0"/>
          <w:color w:val="0044CC"/>
          <w:sz w:val="17"/>
        </w:rPr>
        <w:t>[Catatan: Kebijakan pengangkatan GKM BARU ditambahkan. GKM adalah pelaksana SPMI tingkat UPPS yang harus disebutkan eksplisit.]</w:t>
      </w:r>
    </w:p>
    <w:p>
      <w:pPr>
        <w:spacing w:before="40" w:after="40"/>
        <w:ind w:left="425"/>
      </w:pPr>
      <w:r>
        <w:rPr>
          <w:b w:val="0"/>
          <w:i w:val="0"/>
          <w:strike/>
          <w:color w:val="CC0000"/>
          <w:sz w:val="18"/>
        </w:rPr>
        <w:t xml:space="preserve">SP auditor mutu internal di Poltek SSN;  →  </w:t>
      </w:r>
      <w:r>
        <w:rPr>
          <w:b w:val="0"/>
          <w:i w:val="0"/>
          <w:strike w:val="0"/>
          <w:sz w:val="20"/>
          <w:highlight w:val="green"/>
        </w:rPr>
        <w:t>Surat Perintah Direktur Poltek SSN tentang Pengangkatan Auditor Mutu Internal (terbitkan per siklus AMI);</w:t>
      </w:r>
    </w:p>
    <w:p>
      <w:pPr>
        <w:spacing w:before="40" w:after="120"/>
        <w:ind w:left="850"/>
      </w:pPr>
      <w:r>
        <w:rPr>
          <w:b w:val="0"/>
          <w:i/>
          <w:strike w:val="0"/>
          <w:color w:val="0044CC"/>
          <w:sz w:val="17"/>
        </w:rPr>
        <w:t>[Catatan: Isikan nomor SP terakhir.]</w:t>
      </w:r>
    </w:p>
    <w:p>
      <w:pPr>
        <w:spacing w:before="40" w:after="40"/>
        <w:ind w:left="425"/>
      </w:pPr>
      <w:r>
        <w:rPr>
          <w:b w:val="0"/>
          <w:i w:val="0"/>
          <w:strike/>
          <w:color w:val="CC0000"/>
          <w:sz w:val="18"/>
        </w:rPr>
        <w:t xml:space="preserve">SP pelatihan dan sertifikasi auditor;  →  </w:t>
      </w:r>
      <w:r>
        <w:rPr>
          <w:b w:val="0"/>
          <w:i w:val="0"/>
          <w:strike w:val="0"/>
          <w:sz w:val="20"/>
          <w:highlight w:val="green"/>
        </w:rPr>
        <w:t>Surat Perintah/Keputusan Direktur tentang Pelatihan dan Sertifikasi Auditor Mutu Internal.</w:t>
      </w:r>
    </w:p>
    <w:p>
      <w:pPr>
        <w:spacing w:before="40" w:after="120"/>
        <w:ind w:left="850"/>
      </w:pPr>
      <w:r>
        <w:rPr>
          <w:b w:val="0"/>
          <w:i/>
          <w:strike w:val="0"/>
          <w:color w:val="0044CC"/>
          <w:sz w:val="17"/>
        </w:rPr>
        <w:t>[Catatan: Isikan nomor SP/Kepdir terakhir.]</w:t>
      </w:r>
    </w:p>
    <w:p>
      <w:pPr>
        <w:spacing w:before="240" w:after="40"/>
        <w:ind w:left="0"/>
      </w:pPr>
    </w:p>
    <w:p>
      <w:pPr>
        <w:spacing w:before="0" w:after="40"/>
        <w:ind w:left="0"/>
      </w:pPr>
      <w:r>
        <w:rPr>
          <w:b/>
          <w:i w:val="0"/>
          <w:strike w:val="0"/>
          <w:color w:val="444444"/>
          <w:sz w:val="20"/>
        </w:rPr>
        <w:t>Penjelasan Fungsi SPMI</w:t>
      </w:r>
    </w:p>
    <w:p>
      <w:pPr>
        <w:spacing w:before="160" w:after="40"/>
        <w:ind w:left="0"/>
      </w:pPr>
      <w:r>
        <w:rPr>
          <w:b/>
          <w:i/>
          <w:strike w:val="0"/>
          <w:color w:val="444444"/>
          <w:sz w:val="20"/>
        </w:rPr>
        <w:t>Sistem SPMI Poltek SSN</w:t>
      </w:r>
    </w:p>
    <w:p>
      <w:pPr>
        <w:spacing w:before="40" w:after="80"/>
        <w:ind w:left="0"/>
      </w:pPr>
      <w:r>
        <w:rPr>
          <w:b w:val="0"/>
          <w:i w:val="0"/>
          <w:strike w:val="0"/>
          <w:sz w:val="20"/>
        </w:rPr>
        <w:t>Sistem Penjaminan Mutu Internal (SPMI) Poltek SSN dirancang untuk membangun dan mempertahankan budaya mutu yang berkelanjutan melalui siklus PPEPP yang terstruktur dan terdokumentasi. Sesuai amanat Peraturan Menteri Pendidikan Tinggi, Sains, dan Teknologi Nomor 53 Tahun 2023 tentang Penjaminan Mutu Pendidikan Tinggi, Poltek SSN menyelenggarakan SPMI yang mencakup seluruh kegiatan akademik dan non-akademik. Dasar hukum penerbitan dokumen SPMI bersumber pada Peraturan BSSN Nomor 1 Tahun 2023 tentang Statuta Poltek SSN (Pasal 90 ayat 5), yang memberikan kewenangan langsung kepada Direktur untuk menetapkan dan memberlakukan dokumen SPMI.</w:t>
      </w:r>
    </w:p>
    <w:p>
      <w:pPr>
        <w:spacing w:before="40" w:after="80"/>
        <w:ind w:left="0"/>
      </w:pPr>
      <w:r>
        <w:rPr>
          <w:b w:val="0"/>
          <w:i w:val="0"/>
          <w:strike w:val="0"/>
          <w:sz w:val="20"/>
        </w:rPr>
        <w:t>SPMI Poltek SSN dikelola secara berjenjang melalui struktur dua lapis: di tingkat PT oleh Pusat Penjaminan Mutu (Pus Jamut), dan di tingkat UPPS/PS oleh Gugus Kendali Mutu (GKM). Struktur ini memastikan konsistensi implementasi standar mutu dari level institusi hingga program studi. Dokumen SPMI ditetapkan melalui Keputusan Direktur Nomor [No SK] Tahun 2025 tentang Standar Mutu Internal, yang memuat empat komponen wajib: (1) Kebijakan Mutu — pernyataan komitmen institusi terhadap mutu; (2) Manual Mutu (Panduan PPEPP) — prosedur pelaksanaan siklus PPEPP; (3) Standar Mutu — acuan terukur untuk seluruh aspek layanan dan kegiatan; dan (4) Formulir SPMI — instrumen monitoring dan evaluasi. Keempat komponen ini menjadi acuan seluruh unit kerja dalam menjalankan fungsinya sesuai siklus PPEPP.</w:t>
      </w:r>
    </w:p>
    <w:p>
      <w:pPr>
        <w:spacing w:before="40" w:after="80"/>
        <w:ind w:left="0"/>
      </w:pPr>
      <w:r>
        <w:rPr>
          <w:b w:val="0"/>
          <w:i w:val="0"/>
          <w:strike w:val="0"/>
          <w:sz w:val="20"/>
        </w:rPr>
        <w:t>Standar SPMI yang telah ditetapkan mencakup dua indikator utama berdasarkan pemetaan resmi STANDAR MUTU LED RKS.xlsx: (1) persentase ketersediaan dokumen standar mutu internal (target 100%), yang memastikan keempat komponen SPMI tersedia, berlaku, dan dapat diakses oleh seluruh unit kerja; dan (2) persentase realisasi tindak lanjut hasil Audit Mutu Internal (AMI) sesuai hasil Rapat Tinjauan Manajemen (RTM) yang dilakukan unit kerja terkait sebagai auditee (target 50%), yang mendorong unit kerja untuk menindaklanjuti temuan audit secara nyata dan terukur dalam periode yang disepakati.</w:t>
      </w:r>
    </w:p>
    <w:p>
      <w:pPr>
        <w:spacing w:before="160" w:after="40"/>
        <w:ind w:left="0"/>
      </w:pPr>
      <w:r>
        <w:rPr>
          <w:b/>
          <w:i/>
          <w:strike w:val="0"/>
          <w:color w:val="444444"/>
          <w:sz w:val="20"/>
        </w:rPr>
        <w:t>SDM Kompeten sebagai Pelaksana SPMI</w:t>
      </w:r>
    </w:p>
    <w:p>
      <w:pPr>
        <w:spacing w:before="40" w:after="80"/>
        <w:ind w:left="0"/>
      </w:pPr>
      <w:r>
        <w:rPr>
          <w:b w:val="0"/>
          <w:i w:val="0"/>
          <w:strike w:val="0"/>
          <w:sz w:val="20"/>
        </w:rPr>
        <w:t>Efektivitas SPMI sangat ditentukan oleh kompetensi SDM yang menjalankannya. Poltek SSN menetapkan standar ketersediaan SDM pelaksana SPMI yang kompeten dan profesional, dengan indikator persentase auditor mutu internal yang memiliki sertifikat pelatihan atau sertifikasi kompetensi sebagai auditor (target 80%). Auditor mutu internal diangkat melalui Surat Perintah Direktur per siklus AMI, setelah melalui proses seleksi kompetensi berdasarkan kriteria yang ditetapkan dalam Standar Mutu Internal Kepdir No. [No SK] Tahun 2025.</w:t>
      </w:r>
    </w:p>
    <w:p>
      <w:pPr>
        <w:spacing w:before="40" w:after="80"/>
        <w:ind w:left="0"/>
      </w:pPr>
      <w:r>
        <w:rPr>
          <w:b w:val="0"/>
          <w:i w:val="0"/>
          <w:strike w:val="0"/>
          <w:sz w:val="20"/>
        </w:rPr>
        <w:t>Poltek SSN secara berkala menyelenggarakan pelatihan dan/atau sertifikasi Auditor Mutu Internal untuk meningkatkan kapasitas pelaksana SPMI — baik yang bertugas di Pus Jamut (tingkat PT) maupun di GKM (tingkat UPPS/PS). Program pengembangan kompetensi auditor ini didokumentasikan melalui Surat Perintah/Keputusan Direktur tentang Pelatihan dan Sertifikasi Auditor Mutu Internal. Ketercapaian standar kompetensi auditor ini dapat diverifikasi asesor melalui daftar auditor bersertifikat yang tersedia di Pusat Penjaminan Mutu.</w:t>
      </w:r>
    </w:p>
    <w:p>
      <w:pPr>
        <w:spacing w:before="200" w:after="80"/>
        <w:ind w:left="0"/>
      </w:pPr>
      <w:r>
        <w:rPr>
          <w:b w:val="0"/>
          <w:i w:val="0"/>
          <w:strike w:val="0"/>
          <w:sz w:val="20"/>
        </w:rPr>
        <w:t>Berikut standar mutu dan indikator kinerja yang terkait dengan fungsi SPMI dengan SDM yang kompeten sebagai pelaksana di Politeknik Siber dan Sandi Negara (sumber: STANDAR MUTU LED RKS.xlsx — C1 Bagian B, baris 14–16):</w:t>
      </w:r>
    </w:p>
    <w:tbl>
      <w:tblPr>
        <w:tblStyle w:val="Table2"/>
        <w:tblW w:type="auto" w:w="0"/>
        <w:tblLook w:firstColumn="1" w:firstRow="1" w:lastColumn="0" w:lastRow="0" w:noHBand="0" w:noVBand="1" w:val="04A0"/>
      </w:tblPr>
      <w:tblGrid>
        <w:gridCol w:w="1314"/>
        <w:gridCol w:w="1314"/>
        <w:gridCol w:w="1314"/>
        <w:gridCol w:w="1314"/>
        <w:gridCol w:w="1314"/>
        <w:gridCol w:w="1314"/>
        <w:gridCol w:w="1314"/>
      </w:tblGrid>
      <w:tr>
        <w:tc>
          <w:tcPr>
            <w:tcW w:type="dxa" w:w="1314"/>
            <w:shd w:val="clear" w:color="auto" w:fill="375623"/>
          </w:tcPr>
          <w:p>
            <w:pPr>
              <w:jc w:val="center"/>
            </w:pPr>
            <w:r>
              <w:rPr>
                <w:b/>
                <w:color w:val="FFFFFF"/>
                <w:sz w:val="18"/>
              </w:rPr>
              <w:t>No</w:t>
            </w:r>
          </w:p>
        </w:tc>
        <w:tc>
          <w:tcPr>
            <w:tcW w:type="dxa" w:w="1314"/>
            <w:shd w:val="clear" w:color="auto" w:fill="375623"/>
          </w:tcPr>
          <w:p>
            <w:pPr>
              <w:jc w:val="center"/>
            </w:pPr>
            <w:r>
              <w:rPr>
                <w:b/>
                <w:color w:val="FFFFFF"/>
                <w:sz w:val="18"/>
              </w:rPr>
              <w:t>Kriteria</w:t>
              <w:br/>
              <w:t>LAM Infokom</w:t>
            </w:r>
          </w:p>
        </w:tc>
        <w:tc>
          <w:tcPr>
            <w:tcW w:type="dxa" w:w="1314"/>
            <w:shd w:val="clear" w:color="auto" w:fill="375623"/>
          </w:tcPr>
          <w:p>
            <w:pPr>
              <w:jc w:val="center"/>
            </w:pPr>
            <w:r>
              <w:rPr>
                <w:b/>
                <w:color w:val="FFFFFF"/>
                <w:sz w:val="18"/>
              </w:rPr>
              <w:t>Pernyataan Standar Mutu</w:t>
            </w:r>
          </w:p>
        </w:tc>
        <w:tc>
          <w:tcPr>
            <w:tcW w:type="dxa" w:w="1314"/>
            <w:shd w:val="clear" w:color="auto" w:fill="375623"/>
          </w:tcPr>
          <w:p>
            <w:pPr>
              <w:jc w:val="center"/>
            </w:pPr>
            <w:r>
              <w:rPr>
                <w:b/>
                <w:color w:val="FFFFFF"/>
                <w:sz w:val="18"/>
              </w:rPr>
              <w:t>Indikator</w:t>
            </w:r>
          </w:p>
        </w:tc>
        <w:tc>
          <w:tcPr>
            <w:tcW w:type="dxa" w:w="1314"/>
            <w:shd w:val="clear" w:color="auto" w:fill="375623"/>
          </w:tcPr>
          <w:p>
            <w:pPr>
              <w:jc w:val="center"/>
            </w:pPr>
            <w:r>
              <w:rPr>
                <w:b/>
                <w:color w:val="FFFFFF"/>
                <w:sz w:val="18"/>
              </w:rPr>
              <w:t>Target</w:t>
            </w:r>
          </w:p>
        </w:tc>
        <w:tc>
          <w:tcPr>
            <w:tcW w:type="dxa" w:w="1314"/>
            <w:shd w:val="clear" w:color="auto" w:fill="375623"/>
          </w:tcPr>
          <w:p>
            <w:pPr>
              <w:jc w:val="center"/>
            </w:pPr>
            <w:r>
              <w:rPr>
                <w:b/>
                <w:color w:val="FFFFFF"/>
                <w:sz w:val="18"/>
              </w:rPr>
              <w:t>PJ</w:t>
            </w:r>
          </w:p>
        </w:tc>
        <w:tc>
          <w:tcPr>
            <w:tcW w:type="dxa" w:w="1314"/>
            <w:shd w:val="clear" w:color="auto" w:fill="375623"/>
          </w:tcPr>
          <w:p>
            <w:pPr>
              <w:jc w:val="center"/>
            </w:pPr>
            <w:r>
              <w:rPr>
                <w:b/>
                <w:color w:val="FFFFFF"/>
                <w:sz w:val="18"/>
              </w:rPr>
              <w:t>Rujukan Standar</w:t>
            </w:r>
          </w:p>
        </w:tc>
      </w:tr>
      <w:tr>
        <w:tc>
          <w:tcPr>
            <w:tcW w:type="dxa" w:w="1314"/>
          </w:tcPr>
          <w:p>
            <w:pPr>
              <w:jc w:val="center"/>
            </w:pPr>
            <w:r>
              <w:rPr>
                <w:b w:val="0"/>
                <w:i w:val="0"/>
                <w:strike w:val="0"/>
                <w:sz w:val="18"/>
              </w:rPr>
              <w:t>1</w:t>
            </w:r>
          </w:p>
        </w:tc>
        <w:tc>
          <w:tcPr>
            <w:tcW w:type="dxa" w:w="1314"/>
          </w:tcPr>
          <w:p>
            <w:r>
              <w:rPr>
                <w:b w:val="0"/>
                <w:i w:val="0"/>
                <w:strike w:val="0"/>
                <w:sz w:val="18"/>
                <w:highlight w:val="green"/>
              </w:rPr>
              <w:t>Fungsi SPMI</w:t>
            </w:r>
          </w:p>
        </w:tc>
        <w:tc>
          <w:tcPr>
            <w:tcW w:type="dxa" w:w="1314"/>
          </w:tcPr>
          <w:p>
            <w:r>
              <w:rPr>
                <w:b w:val="0"/>
                <w:i w:val="0"/>
                <w:strike w:val="0"/>
                <w:sz w:val="18"/>
              </w:rPr>
              <w:t>Direktur menetapkan sistem manajemen penjaminan mutu internal</w:t>
            </w:r>
          </w:p>
        </w:tc>
        <w:tc>
          <w:tcPr>
            <w:tcW w:type="dxa" w:w="1314"/>
          </w:tcPr>
          <w:p>
            <w:r>
              <w:rPr>
                <w:b w:val="0"/>
                <w:i w:val="0"/>
                <w:strike w:val="0"/>
                <w:sz w:val="18"/>
              </w:rPr>
              <w:t>Persentase ketersediaan dokumen standar mutu internal</w:t>
            </w:r>
          </w:p>
        </w:tc>
        <w:tc>
          <w:tcPr>
            <w:tcW w:type="dxa" w:w="1314"/>
          </w:tcPr>
          <w:p>
            <w:pPr>
              <w:jc w:val="center"/>
            </w:pPr>
            <w:r>
              <w:rPr>
                <w:b w:val="0"/>
                <w:i w:val="0"/>
                <w:strike w:val="0"/>
                <w:sz w:val="18"/>
              </w:rPr>
              <w:t>100%</w:t>
            </w:r>
          </w:p>
        </w:tc>
        <w:tc>
          <w:tcPr>
            <w:tcW w:type="dxa" w:w="1314"/>
          </w:tcPr>
          <w:p>
            <w:r>
              <w:rPr>
                <w:b w:val="0"/>
                <w:i w:val="0"/>
                <w:strike w:val="0"/>
                <w:sz w:val="18"/>
                <w:highlight w:val="yellow"/>
              </w:rPr>
              <w:t>Pus Jamut</w:t>
            </w:r>
          </w:p>
        </w:tc>
        <w:tc>
          <w:tcPr>
            <w:tcW w:type="dxa" w:w="1314"/>
          </w:tcPr>
          <w:p>
            <w:r>
              <w:rPr>
                <w:b w:val="0"/>
                <w:i w:val="0"/>
                <w:strike w:val="0"/>
                <w:sz w:val="18"/>
                <w:highlight w:val="yellow"/>
              </w:rPr>
              <w:t>Standar Penjaminan Mutu</w:t>
            </w:r>
          </w:p>
        </w:tc>
      </w:tr>
      <w:tr>
        <w:tc>
          <w:tcPr>
            <w:tcW w:type="dxa" w:w="1314"/>
          </w:tcPr>
          <w:p>
            <w:pPr>
              <w:jc w:val="center"/>
            </w:pPr>
            <w:r>
              <w:rPr>
                <w:b w:val="0"/>
                <w:i w:val="0"/>
                <w:strike w:val="0"/>
                <w:sz w:val="18"/>
              </w:rPr>
              <w:t>2</w:t>
            </w:r>
          </w:p>
        </w:tc>
        <w:tc>
          <w:tcPr>
            <w:tcW w:type="dxa" w:w="1314"/>
          </w:tcPr>
          <w:p>
            <w:r>
              <w:rPr>
                <w:b w:val="0"/>
                <w:i w:val="0"/>
                <w:strike w:val="0"/>
                <w:sz w:val="18"/>
              </w:rPr>
            </w:r>
          </w:p>
        </w:tc>
        <w:tc>
          <w:tcPr>
            <w:tcW w:type="dxa" w:w="1314"/>
          </w:tcPr>
          <w:p>
            <w:r>
              <w:rPr>
                <w:b w:val="0"/>
                <w:i w:val="0"/>
                <w:strike w:val="0"/>
                <w:sz w:val="18"/>
              </w:rPr>
            </w:r>
          </w:p>
        </w:tc>
        <w:tc>
          <w:tcPr>
            <w:tcW w:type="dxa" w:w="1314"/>
          </w:tcPr>
          <w:p>
            <w:r>
              <w:rPr>
                <w:b w:val="0"/>
                <w:i w:val="0"/>
                <w:strike w:val="0"/>
                <w:sz w:val="18"/>
              </w:rPr>
              <w:t>Persentase realisasi tindak lanjut hasil audit mutu internal sesuai dengan hasil RTM yang dilakukan unit kerja terkait sebagai auditee</w:t>
            </w:r>
          </w:p>
        </w:tc>
        <w:tc>
          <w:tcPr>
            <w:tcW w:type="dxa" w:w="1314"/>
          </w:tcPr>
          <w:p>
            <w:pPr>
              <w:jc w:val="center"/>
            </w:pPr>
            <w:r>
              <w:rPr>
                <w:b w:val="0"/>
                <w:i w:val="0"/>
                <w:strike w:val="0"/>
                <w:sz w:val="18"/>
              </w:rPr>
              <w:t>50%</w:t>
            </w:r>
          </w:p>
        </w:tc>
        <w:tc>
          <w:tcPr>
            <w:tcW w:type="dxa" w:w="1314"/>
          </w:tcPr>
          <w:p>
            <w:r>
              <w:rPr>
                <w:b w:val="0"/>
                <w:i w:val="0"/>
                <w:strike w:val="0"/>
                <w:sz w:val="18"/>
                <w:highlight w:val="yellow"/>
              </w:rPr>
              <w:t>Pus Jamut</w:t>
            </w:r>
          </w:p>
        </w:tc>
        <w:tc>
          <w:tcPr>
            <w:tcW w:type="dxa" w:w="1314"/>
          </w:tcPr>
          <w:p>
            <w:r>
              <w:rPr>
                <w:b w:val="0"/>
                <w:i w:val="0"/>
                <w:strike w:val="0"/>
                <w:sz w:val="18"/>
                <w:highlight w:val="yellow"/>
              </w:rPr>
              <w:t>Standar Penjaminan Mutu</w:t>
            </w:r>
          </w:p>
        </w:tc>
      </w:tr>
      <w:tr>
        <w:tc>
          <w:tcPr>
            <w:tcW w:type="dxa" w:w="1314"/>
          </w:tcPr>
          <w:p>
            <w:pPr>
              <w:jc w:val="center"/>
            </w:pPr>
            <w:r>
              <w:rPr>
                <w:b w:val="0"/>
                <w:i w:val="0"/>
                <w:strike w:val="0"/>
                <w:sz w:val="18"/>
              </w:rPr>
              <w:t>3</w:t>
            </w:r>
          </w:p>
        </w:tc>
        <w:tc>
          <w:tcPr>
            <w:tcW w:type="dxa" w:w="1314"/>
          </w:tcPr>
          <w:p>
            <w:r>
              <w:rPr>
                <w:b w:val="0"/>
                <w:i w:val="0"/>
                <w:strike w:val="0"/>
                <w:sz w:val="18"/>
                <w:highlight w:val="green"/>
              </w:rPr>
              <w:t>Kompetensi SDM pelaksana SPMI</w:t>
            </w:r>
          </w:p>
        </w:tc>
        <w:tc>
          <w:tcPr>
            <w:tcW w:type="dxa" w:w="1314"/>
          </w:tcPr>
          <w:p>
            <w:r>
              <w:rPr>
                <w:b w:val="0"/>
                <w:i w:val="0"/>
                <w:strike w:val="0"/>
                <w:sz w:val="18"/>
              </w:rPr>
              <w:t>Direktur memastikan ketersediaan SDM pelaksana SPMI yang kompeten dan profesional</w:t>
            </w:r>
          </w:p>
        </w:tc>
        <w:tc>
          <w:tcPr>
            <w:tcW w:type="dxa" w:w="1314"/>
          </w:tcPr>
          <w:p>
            <w:r>
              <w:rPr>
                <w:b w:val="0"/>
                <w:i w:val="0"/>
                <w:strike w:val="0"/>
                <w:sz w:val="18"/>
              </w:rPr>
              <w:t>Persentase jumlah auditor mutu internal yang memiliki sertifikat pelatihan atau sertifikasi kompetensi sebagai auditor</w:t>
            </w:r>
          </w:p>
        </w:tc>
        <w:tc>
          <w:tcPr>
            <w:tcW w:type="dxa" w:w="1314"/>
          </w:tcPr>
          <w:p>
            <w:pPr>
              <w:jc w:val="center"/>
            </w:pPr>
            <w:r>
              <w:rPr>
                <w:b w:val="0"/>
                <w:i w:val="0"/>
                <w:strike w:val="0"/>
                <w:sz w:val="18"/>
              </w:rPr>
              <w:t>80%</w:t>
            </w:r>
          </w:p>
        </w:tc>
        <w:tc>
          <w:tcPr>
            <w:tcW w:type="dxa" w:w="1314"/>
          </w:tcPr>
          <w:p>
            <w:r>
              <w:rPr>
                <w:b w:val="0"/>
                <w:i w:val="0"/>
                <w:strike w:val="0"/>
                <w:sz w:val="18"/>
                <w:highlight w:val="yellow"/>
              </w:rPr>
              <w:t>Pus Jamut</w:t>
            </w:r>
          </w:p>
        </w:tc>
        <w:tc>
          <w:tcPr>
            <w:tcW w:type="dxa" w:w="1314"/>
          </w:tcPr>
          <w:p>
            <w:r>
              <w:rPr>
                <w:b w:val="0"/>
                <w:i w:val="0"/>
                <w:strike w:val="0"/>
                <w:sz w:val="18"/>
                <w:highlight w:val="yellow"/>
              </w:rPr>
              <w:t>Standar Penjaminan Mutu</w:t>
            </w:r>
          </w:p>
        </w:tc>
      </w:tr>
    </w:tbl>
    <w:p>
      <w:pPr>
        <w:spacing w:before="40" w:after="120"/>
        <w:ind w:left="0"/>
      </w:pPr>
      <w:r>
        <w:rPr>
          <w:b w:val="0"/>
          <w:i/>
          <w:strike w:val="0"/>
          <w:color w:val="0044CC"/>
          <w:sz w:val="17"/>
        </w:rPr>
        <w:t>[Catatan: Kolom Kriteria LAM Infokom (hijau) dan PJ, Rujukan Standar (kuning) BARU. Teks indikator No.2 menggunakan teks persis dari Excel: "...sesuai dengan hasil RTM yang dilakukan unit kerja terkait sebagai auditee".]</w:t>
      </w:r>
    </w:p>
    <w:p>
      <w:pPr>
        <w:spacing w:before="320" w:after="40"/>
        <w:ind w:left="0"/>
      </w:pPr>
    </w:p>
    <w:p>
      <w:pPr>
        <w:spacing w:before="80" w:after="80"/>
        <w:ind w:left="0"/>
      </w:pPr>
      <w:r>
        <w:rPr>
          <w:b/>
          <w:i w:val="0"/>
          <w:strike w:val="0"/>
          <w:sz w:val="18"/>
        </w:rPr>
        <w:t xml:space="preserve">Keterangan markup:  </w:t>
      </w:r>
      <w:r>
        <w:rPr>
          <w:b w:val="0"/>
          <w:i w:val="0"/>
          <w:strike w:val="0"/>
          <w:sz w:val="18"/>
          <w:highlight w:val="yellow"/>
        </w:rPr>
        <w:t xml:space="preserve">  BARU  </w:t>
      </w:r>
      <w:r>
        <w:rPr>
          <w:b w:val="0"/>
          <w:i w:val="0"/>
          <w:strike w:val="0"/>
          <w:sz w:val="18"/>
        </w:rPr>
        <w:t xml:space="preserve">  |  </w:t>
      </w:r>
      <w:r>
        <w:rPr>
          <w:b w:val="0"/>
          <w:i w:val="0"/>
          <w:strike w:val="0"/>
          <w:sz w:val="18"/>
          <w:highlight w:val="green"/>
        </w:rPr>
        <w:t xml:space="preserve">  DIPERBARUI  </w:t>
      </w:r>
      <w:r>
        <w:rPr>
          <w:b w:val="0"/>
          <w:i w:val="0"/>
          <w:strike w:val="0"/>
          <w:sz w:val="18"/>
        </w:rPr>
        <w:t xml:space="preserve">  |  </w:t>
      </w:r>
      <w:r>
        <w:rPr>
          <w:b w:val="0"/>
          <w:i w:val="0"/>
          <w:strike/>
          <w:color w:val="CC0000"/>
          <w:sz w:val="18"/>
        </w:rPr>
        <w:t xml:space="preserve">  DIHAPUS  </w:t>
      </w:r>
      <w:r>
        <w:rPr>
          <w:b w:val="0"/>
          <w:i/>
          <w:strike w:val="0"/>
          <w:color w:val="0044CC"/>
          <w:sz w:val="18"/>
        </w:rPr>
        <w:t xml:space="preserve">  |  [Catatan: ...]</w:t>
      </w:r>
    </w:p>
    <w:p>
      <w:pPr>
        <w:spacing w:before="80" w:after="40"/>
        <w:ind w:left="0"/>
      </w:pPr>
      <w:r>
        <w:rPr>
          <w:b w:val="0"/>
          <w:i/>
          <w:strike w:val="0"/>
          <w:sz w:val="17"/>
        </w:rPr>
        <w:t>Dokumen ini adalah LED-C1.1-Penetapan-NARASI.docx — 21 April 2026</w:t>
        <w:br/>
        <w:t>Sumber: STANDAR MUTU LED RKS.xlsx (C1 baris 3–17) | LED Prodi RKS 2025.docx | Panduan LED LAM Infokom 2.1 (Nov 2025)</w:t>
      </w:r>
    </w:p>
    <w:sectPr>
      <w:type w:val="nextPage"/>
      <w:pgSz w:h="16850" w:w="11920" w:orient="portrait"/>
      <w:pgMar w:bottom="1120" w:top="1160" w:left="1474" w:right="1247" w:header="0" w:footer="9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mpuriezt" w:id="7" w:date="2025-09-22T08:08:33Z">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abdimas yang berupa narasumber dari DTPR?</w:t>
      </w:r>
    </w:p>
  </w:comment>
  <w:comment w:author="rampuriezt" w:id="8" w:date="2025-09-23T04:07:46Z">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narasi singkat terkait hibah PkM</w:t>
      </w:r>
    </w:p>
  </w:comment>
  <w:comment w:author="Susila Windarta" w:id="11" w:date="2025-09-24T04:30:58Z">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Tambahkan cuplikan layar untuk laman web yang tidak bisa diakses dari jaringan luar Poltek SSN.</w:t>
      </w:r>
    </w:p>
  </w:comment>
  <w:comment w:author="Susila Windarta" w:id="12" w:date="2025-09-26T07:04:31Z">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Cuplikan layar disimpan pada drive akreditasi.</w:t>
      </w:r>
    </w:p>
  </w:comment>
  <w:comment w:author="rampuriezt" w:id="5" w:date="2025-09-24T04:11:22Z">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kerjasama penelitian dengan universitas LN disebut kerjasama internasional ? contoh cardiff</w:t>
      </w:r>
    </w:p>
  </w:comment>
  <w:comment w:author="Ira Rosianal Hikmah" w:id="6" w:date="2025-09-25T02:13:08Z">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selama ada MoU dan PKS, iya.</w:t>
      </w:r>
    </w:p>
  </w:comment>
  <w:comment w:author="rampuriezt" w:id="9" w:date="2025-09-24T04:11:22Z">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kerjasama penelitian dengan universitas LN disebut kerjasama internasional ? contoh cardiff</w:t>
      </w:r>
    </w:p>
  </w:comment>
  <w:comment w:author="Ira Rosianal Hikmah" w:id="10" w:date="2025-09-25T02:13:08Z">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selama ada MoU dan PKS, iya.</w:t>
      </w:r>
    </w:p>
  </w:comment>
  <w:comment w:author="Ira Rosianal Hikmah" w:id="3" w:date="2025-09-25T02:37:20Z">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konfirm ke unit yang terkait sarpras (unit TI, perpus, part, labdu, dll)</w:t>
      </w:r>
    </w:p>
  </w:comment>
  <w:comment w:author="Anonymous" w:id="0" w:date="2025-09-24T06:48:01Z">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PP 4 2014 mencabut PP ini mencabut ketentuan Pasal 5 ayat (6), ayat (8), dan ayat (9), Pasal 14, dan Pasal 15 Peraturan Pemerintah Nomor 14 Tahun 2010.</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Cek kembali.</w:t>
      </w:r>
    </w:p>
  </w:comment>
  <w:comment w:author="Ira Rosianal Hikmah" w:id="4" w:date="2025-09-25T02:36:21Z">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konfirm pusat lit dan pkm (?)</w:t>
      </w:r>
    </w:p>
  </w:comment>
  <w:comment w:author="Susila Windarta" w:id="1" w:date="2025-09-24T07:45:34Z">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Data-data yang lama sebaiknya diperbarui.</w:t>
      </w:r>
    </w:p>
  </w:comment>
  <w:comment w:author="Susila Windarta" w:id="2" w:date="2025-09-24T07:46:34Z">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Klaim seperti ini perlu data dukung/bukti.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9715500</wp:posOffset>
              </wp:positionV>
              <wp:extent cx="3393440" cy="477520"/>
              <wp:effectExtent b="0" l="0" r="0" t="0"/>
              <wp:wrapNone/>
              <wp:docPr id="10" name=""/>
              <a:graphic>
                <a:graphicData uri="http://schemas.microsoft.com/office/word/2010/wordprocessingShape">
                  <wps:wsp>
                    <wps:cNvSpPr/>
                    <wps:cNvPr id="15" name="Shape 15"/>
                    <wps:spPr>
                      <a:xfrm>
                        <a:off x="4590033" y="3546003"/>
                        <a:ext cx="3383915" cy="467995"/>
                      </a:xfrm>
                      <a:custGeom>
                        <a:rect b="b" l="l" r="r" t="t"/>
                        <a:pathLst>
                          <a:path extrusionOk="0" h="467995" w="3383915">
                            <a:moveTo>
                              <a:pt x="0" y="0"/>
                            </a:moveTo>
                            <a:lnTo>
                              <a:pt x="0" y="467995"/>
                            </a:lnTo>
                            <a:lnTo>
                              <a:pt x="3383915" y="467995"/>
                            </a:lnTo>
                            <a:lnTo>
                              <a:pt x="338391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9715500</wp:posOffset>
              </wp:positionV>
              <wp:extent cx="3393440" cy="477520"/>
              <wp:effectExtent b="0" l="0" r="0" t="0"/>
              <wp:wrapNone/>
              <wp:docPr id="1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3393440" cy="4775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5778500</wp:posOffset>
              </wp:positionH>
              <wp:positionV relativeFrom="paragraph">
                <wp:posOffset>9652000</wp:posOffset>
              </wp:positionV>
              <wp:extent cx="173990" cy="363220"/>
              <wp:effectExtent b="0" l="0" r="0" t="0"/>
              <wp:wrapNone/>
              <wp:docPr id="2" name=""/>
              <a:graphic>
                <a:graphicData uri="http://schemas.microsoft.com/office/word/2010/wordprocessingShape">
                  <wps:wsp>
                    <wps:cNvSpPr/>
                    <wps:cNvPr id="3" name="Shape 3"/>
                    <wps:spPr>
                      <a:xfrm>
                        <a:off x="6199758" y="3603153"/>
                        <a:ext cx="164465" cy="353695"/>
                      </a:xfrm>
                      <a:custGeom>
                        <a:rect b="b" l="l" r="r" t="t"/>
                        <a:pathLst>
                          <a:path extrusionOk="0" h="353695" w="164465">
                            <a:moveTo>
                              <a:pt x="0" y="0"/>
                            </a:moveTo>
                            <a:lnTo>
                              <a:pt x="0" y="353695"/>
                            </a:lnTo>
                            <a:lnTo>
                              <a:pt x="164465" y="353695"/>
                            </a:lnTo>
                            <a:lnTo>
                              <a:pt x="16446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28</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5778500</wp:posOffset>
              </wp:positionH>
              <wp:positionV relativeFrom="paragraph">
                <wp:posOffset>9652000</wp:posOffset>
              </wp:positionV>
              <wp:extent cx="173990" cy="36322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73990" cy="36322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9626600</wp:posOffset>
              </wp:positionV>
              <wp:extent cx="5607050" cy="87630"/>
              <wp:effectExtent b="0" l="0" r="0" t="0"/>
              <wp:wrapNone/>
              <wp:docPr id="14" name=""/>
              <a:graphic>
                <a:graphicData uri="http://schemas.microsoft.com/office/word/2010/wordprocessingGroup">
                  <wpg:wgp>
                    <wpg:cNvGrpSpPr/>
                    <wpg:grpSpPr>
                      <a:xfrm>
                        <a:off x="3478450" y="3736175"/>
                        <a:ext cx="5607050" cy="87630"/>
                        <a:chOff x="3478450" y="3736175"/>
                        <a:chExt cx="5607075" cy="87650"/>
                      </a:xfrm>
                    </wpg:grpSpPr>
                    <wpg:grpSp>
                      <wpg:cNvGrpSpPr/>
                      <wpg:grpSpPr>
                        <a:xfrm>
                          <a:off x="3478465" y="3736185"/>
                          <a:ext cx="5607050" cy="87625"/>
                          <a:chOff x="0" y="0"/>
                          <a:chExt cx="5607050" cy="87625"/>
                        </a:xfrm>
                      </wpg:grpSpPr>
                      <wps:wsp>
                        <wps:cNvSpPr/>
                        <wps:cNvPr id="5" name="Shape 5"/>
                        <wps:spPr>
                          <a:xfrm>
                            <a:off x="0" y="0"/>
                            <a:ext cx="5607050" cy="8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33020" y="26035"/>
                            <a:ext cx="5549900" cy="0"/>
                          </a:xfrm>
                          <a:prstGeom prst="straightConnector1">
                            <a:avLst/>
                          </a:pr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9626600</wp:posOffset>
              </wp:positionV>
              <wp:extent cx="5607050" cy="87630"/>
              <wp:effectExtent b="0" l="0" r="0" t="0"/>
              <wp:wrapNone/>
              <wp:docPr id="14"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607050" cy="876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-634</wp:posOffset>
          </wp:positionV>
          <wp:extent cx="5607050" cy="87630"/>
          <wp:effectExtent b="0" l="0" r="0" t="0"/>
          <wp:wrapNone/>
          <wp:docPr id="1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607050" cy="8763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10007600</wp:posOffset>
              </wp:positionV>
              <wp:extent cx="4225290" cy="331470"/>
              <wp:effectExtent b="0" l="0" r="0" t="0"/>
              <wp:wrapNone/>
              <wp:docPr id="8" name=""/>
              <a:graphic>
                <a:graphicData uri="http://schemas.microsoft.com/office/word/2010/wordprocessingShape">
                  <wps:wsp>
                    <wps:cNvSpPr/>
                    <wps:cNvPr id="13" name="Shape 13"/>
                    <wps:spPr>
                      <a:xfrm>
                        <a:off x="4174108" y="3619028"/>
                        <a:ext cx="4215765" cy="321945"/>
                      </a:xfrm>
                      <a:custGeom>
                        <a:rect b="b" l="l" r="r" t="t"/>
                        <a:pathLst>
                          <a:path extrusionOk="0" h="321945" w="4215765">
                            <a:moveTo>
                              <a:pt x="0" y="0"/>
                            </a:moveTo>
                            <a:lnTo>
                              <a:pt x="0" y="321945"/>
                            </a:lnTo>
                            <a:lnTo>
                              <a:pt x="4215765" y="321945"/>
                            </a:lnTo>
                            <a:lnTo>
                              <a:pt x="421576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10007600</wp:posOffset>
              </wp:positionV>
              <wp:extent cx="4225290" cy="331470"/>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4225290" cy="33147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5816600</wp:posOffset>
              </wp:positionH>
              <wp:positionV relativeFrom="paragraph">
                <wp:posOffset>9804400</wp:posOffset>
              </wp:positionV>
              <wp:extent cx="254000" cy="241935"/>
              <wp:effectExtent b="0" l="0" r="0" t="0"/>
              <wp:wrapNone/>
              <wp:docPr id="13" name=""/>
              <a:graphic>
                <a:graphicData uri="http://schemas.microsoft.com/office/word/2010/wordprocessingShape">
                  <wps:wsp>
                    <wps:cNvSpPr/>
                    <wps:cNvPr id="18" name="Shape 18"/>
                    <wps:spPr>
                      <a:xfrm>
                        <a:off x="6159753" y="3663795"/>
                        <a:ext cx="244475" cy="232410"/>
                      </a:xfrm>
                      <a:custGeom>
                        <a:rect b="b" l="l" r="r" t="t"/>
                        <a:pathLst>
                          <a:path extrusionOk="0" h="232410" w="244475">
                            <a:moveTo>
                              <a:pt x="0" y="0"/>
                            </a:moveTo>
                            <a:lnTo>
                              <a:pt x="0" y="232410"/>
                            </a:lnTo>
                            <a:lnTo>
                              <a:pt x="244475" y="232410"/>
                            </a:lnTo>
                            <a:lnTo>
                              <a:pt x="244475" y="0"/>
                            </a:lnTo>
                            <a:close/>
                          </a:path>
                        </a:pathLst>
                      </a:cu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36</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5816600</wp:posOffset>
              </wp:positionH>
              <wp:positionV relativeFrom="paragraph">
                <wp:posOffset>9804400</wp:posOffset>
              </wp:positionV>
              <wp:extent cx="254000" cy="241935"/>
              <wp:effectExtent b="0" l="0" r="0" t="0"/>
              <wp:wrapNone/>
              <wp:docPr id="13"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254000" cy="24193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-114299</wp:posOffset>
              </wp:positionH>
              <wp:positionV relativeFrom="paragraph">
                <wp:posOffset>9880600</wp:posOffset>
              </wp:positionV>
              <wp:extent cx="5607050" cy="87630"/>
              <wp:effectExtent b="0" l="0" r="0" t="0"/>
              <wp:wrapNone/>
              <wp:docPr id="3" name=""/>
              <a:graphic>
                <a:graphicData uri="http://schemas.microsoft.com/office/word/2010/wordprocessingGroup">
                  <wpg:wgp>
                    <wpg:cNvGrpSpPr/>
                    <wpg:grpSpPr>
                      <a:xfrm>
                        <a:off x="3478450" y="3736175"/>
                        <a:ext cx="5607050" cy="87630"/>
                        <a:chOff x="3478450" y="3736175"/>
                        <a:chExt cx="5607075" cy="87650"/>
                      </a:xfrm>
                    </wpg:grpSpPr>
                    <wpg:grpSp>
                      <wpg:cNvGrpSpPr/>
                      <wpg:grpSpPr>
                        <a:xfrm>
                          <a:off x="3478465" y="3736185"/>
                          <a:ext cx="5607050" cy="87625"/>
                          <a:chOff x="0" y="0"/>
                          <a:chExt cx="5607050" cy="87625"/>
                        </a:xfrm>
                      </wpg:grpSpPr>
                      <wps:wsp>
                        <wps:cNvSpPr/>
                        <wps:cNvPr id="5" name="Shape 5"/>
                        <wps:spPr>
                          <a:xfrm>
                            <a:off x="0" y="0"/>
                            <a:ext cx="5607050" cy="87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3020" y="26035"/>
                            <a:ext cx="5549900" cy="0"/>
                          </a:xfrm>
                          <a:prstGeom prst="straightConnector1">
                            <a:avLst/>
                          </a:prstGeom>
                          <a:solidFill>
                            <a:srgbClr val="FFFFFF"/>
                          </a:solid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-114299</wp:posOffset>
              </wp:positionH>
              <wp:positionV relativeFrom="paragraph">
                <wp:posOffset>9880600</wp:posOffset>
              </wp:positionV>
              <wp:extent cx="5607050" cy="8763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607050" cy="8763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113666</wp:posOffset>
          </wp:positionH>
          <wp:positionV relativeFrom="paragraph">
            <wp:posOffset>0</wp:posOffset>
          </wp:positionV>
          <wp:extent cx="5607050" cy="87630"/>
          <wp:effectExtent b="0" l="0" r="0" t="0"/>
          <wp:wrapNone/>
          <wp:docPr id="1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607050" cy="8763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76" w:lineRule="auto"/>
      <w:ind w:left="0" w:right="113"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-38099</wp:posOffset>
              </wp:positionH>
              <wp:positionV relativeFrom="paragraph">
                <wp:posOffset>10020300</wp:posOffset>
              </wp:positionV>
              <wp:extent cx="5607050" cy="87630"/>
              <wp:effectExtent b="0" l="0" r="0" t="0"/>
              <wp:wrapNone/>
              <wp:docPr id="6" name=""/>
              <a:graphic>
                <a:graphicData uri="http://schemas.microsoft.com/office/word/2010/wordprocessingGroup">
                  <wpg:wgp>
                    <wpg:cNvGrpSpPr/>
                    <wpg:grpSpPr>
                      <a:xfrm>
                        <a:off x="2541825" y="3735525"/>
                        <a:ext cx="5607050" cy="87630"/>
                        <a:chOff x="2541825" y="3735525"/>
                        <a:chExt cx="5607075" cy="87675"/>
                      </a:xfrm>
                    </wpg:grpSpPr>
                    <wpg:grpSp>
                      <wpg:cNvGrpSpPr/>
                      <wpg:grpSpPr>
                        <a:xfrm>
                          <a:off x="2541840" y="3735550"/>
                          <a:ext cx="5607050" cy="87630"/>
                          <a:chOff x="1113" y="15169"/>
                          <a:chExt cx="8830" cy="138"/>
                        </a:xfrm>
                      </wpg:grpSpPr>
                      <wps:wsp>
                        <wps:cNvSpPr/>
                        <wps:cNvPr id="5" name="Shape 5"/>
                        <wps:spPr>
                          <a:xfrm>
                            <a:off x="1114" y="15170"/>
                            <a:ext cx="8825" cy="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1">
                            <a:alphaModFix/>
                          </a:blip>
                          <a:srcRect b="0" l="0" r="0" t="0"/>
                          <a:stretch/>
                        </pic:blipFill>
                        <pic:spPr>
                          <a:xfrm>
                            <a:off x="1113" y="15169"/>
                            <a:ext cx="8830" cy="138"/>
                          </a:xfrm>
                          <a:prstGeom prst="rect">
                            <a:avLst/>
                          </a:prstGeom>
                          <a:noFill/>
                          <a:ln>
                            <a:noFill/>
                          </a:ln>
                        </pic:spPr>
                      </pic:pic>
                      <wps:wsp>
                        <wps:cNvCnPr/>
                        <wps:spPr>
                          <a:xfrm>
                            <a:off x="1166" y="15211"/>
                            <a:ext cx="8740" cy="0"/>
                          </a:xfrm>
                          <a:prstGeom prst="straightConnector1">
                            <a:avLst/>
                          </a:prstGeom>
                          <a:noFill/>
                          <a:ln cap="flat" cmpd="sng" w="25400">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-38099</wp:posOffset>
              </wp:positionH>
              <wp:positionV relativeFrom="paragraph">
                <wp:posOffset>10020300</wp:posOffset>
              </wp:positionV>
              <wp:extent cx="5607050" cy="87630"/>
              <wp:effectExtent b="0" l="0" r="0" t="0"/>
              <wp:wrapNone/>
              <wp:docPr id="6"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5607050" cy="8763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5600700</wp:posOffset>
              </wp:positionH>
              <wp:positionV relativeFrom="paragraph">
                <wp:posOffset>9969500</wp:posOffset>
              </wp:positionV>
              <wp:extent cx="222250" cy="415925"/>
              <wp:effectExtent b="0" l="0" r="0" t="0"/>
              <wp:wrapNone/>
              <wp:docPr id="12" name=""/>
              <a:graphic>
                <a:graphicData uri="http://schemas.microsoft.com/office/word/2010/wordprocessingShape">
                  <wps:wsp>
                    <wps:cNvSpPr/>
                    <wps:cNvPr id="17" name="Shape 17"/>
                    <wps:spPr>
                      <a:xfrm>
                        <a:off x="5239638" y="3576800"/>
                        <a:ext cx="212725" cy="406400"/>
                      </a:xfrm>
                      <a:prstGeom prst="rect">
                        <a:avLst/>
                      </a:pr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 PAGE 28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5600700</wp:posOffset>
              </wp:positionH>
              <wp:positionV relativeFrom="paragraph">
                <wp:posOffset>9969500</wp:posOffset>
              </wp:positionV>
              <wp:extent cx="222250" cy="415925"/>
              <wp:effectExtent b="0" l="0" r="0" t="0"/>
              <wp:wrapNone/>
              <wp:docPr id="12"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222250" cy="4159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10058400</wp:posOffset>
              </wp:positionV>
              <wp:extent cx="3241675" cy="409575"/>
              <wp:effectExtent b="0" l="0" r="0" t="0"/>
              <wp:wrapNone/>
              <wp:docPr id="4" name=""/>
              <a:graphic>
                <a:graphicData uri="http://schemas.microsoft.com/office/word/2010/wordprocessingShape">
                  <wps:wsp>
                    <wps:cNvSpPr/>
                    <wps:cNvPr id="7" name="Shape 7"/>
                    <wps:spPr>
                      <a:xfrm>
                        <a:off x="3729925" y="3579975"/>
                        <a:ext cx="3232150" cy="400050"/>
                      </a:xfrm>
                      <a:prstGeom prst="rect">
                        <a:avLst/>
                      </a:prstGeom>
                      <a:noFill/>
                      <a:ln>
                        <a:noFill/>
                      </a:ln>
                    </wps:spPr>
                    <wps:txbx>
                      <w:txbxContent>
                        <w:p w:rsidR="00000000" w:rsidDel="00000000" w:rsidP="00000000" w:rsidRDefault="00000000" w:rsidRPr="00000000">
                          <w:pPr>
                            <w:spacing w:after="0" w:before="158.00000190734863" w:line="275.9999942779541"/>
                            <w:ind w:left="0" w:right="113.00000190734863"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Laporan Evaluasi Diri LAM INFOKOM 2.0 - 2025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10058400</wp:posOffset>
              </wp:positionV>
              <wp:extent cx="3241675" cy="409575"/>
              <wp:effectExtent b="0" l="0" r="0" t="0"/>
              <wp:wrapNone/>
              <wp:docPr id="4"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3241675" cy="4095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6">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8">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39">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40">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1">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2">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3">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4">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5">
    <w:lvl w:ilvl="0">
      <w:start w:val="6"/>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0"/>
      <w:numFmt w:val="bullet"/>
      <w:lvlText w:val="•"/>
      <w:lvlJc w:val="left"/>
      <w:pPr>
        <w:ind w:left="2874" w:hanging="444.00000000000045"/>
      </w:pPr>
      <w:rPr/>
    </w:lvl>
    <w:lvl w:ilvl="3">
      <w:start w:val="0"/>
      <w:numFmt w:val="bullet"/>
      <w:lvlText w:val="•"/>
      <w:lvlJc w:val="left"/>
      <w:pPr>
        <w:ind w:left="3751" w:hanging="443.99999999999955"/>
      </w:pPr>
      <w:rPr/>
    </w:lvl>
    <w:lvl w:ilvl="4">
      <w:start w:val="0"/>
      <w:numFmt w:val="bullet"/>
      <w:lvlText w:val="•"/>
      <w:lvlJc w:val="left"/>
      <w:pPr>
        <w:ind w:left="4628" w:hanging="444"/>
      </w:pPr>
      <w:rPr/>
    </w:lvl>
    <w:lvl w:ilvl="5">
      <w:start w:val="0"/>
      <w:numFmt w:val="bullet"/>
      <w:lvlText w:val="•"/>
      <w:lvlJc w:val="left"/>
      <w:pPr>
        <w:ind w:left="5505" w:hanging="444"/>
      </w:pPr>
      <w:rPr/>
    </w:lvl>
    <w:lvl w:ilvl="6">
      <w:start w:val="0"/>
      <w:numFmt w:val="bullet"/>
      <w:lvlText w:val="•"/>
      <w:lvlJc w:val="left"/>
      <w:pPr>
        <w:ind w:left="6382" w:hanging="443.9999999999991"/>
      </w:pPr>
      <w:rPr/>
    </w:lvl>
    <w:lvl w:ilvl="7">
      <w:start w:val="0"/>
      <w:numFmt w:val="bullet"/>
      <w:lvlText w:val="•"/>
      <w:lvlJc w:val="left"/>
      <w:pPr>
        <w:ind w:left="7259" w:hanging="444"/>
      </w:pPr>
      <w:rPr/>
    </w:lvl>
    <w:lvl w:ilvl="8">
      <w:start w:val="0"/>
      <w:numFmt w:val="bullet"/>
      <w:lvlText w:val="•"/>
      <w:lvlJc w:val="left"/>
      <w:pPr>
        <w:ind w:left="8136" w:hanging="444"/>
      </w:pPr>
      <w:rPr/>
    </w:lvl>
  </w:abstractNum>
  <w:abstractNum w:abstractNumId="46">
    <w:lvl w:ilvl="0">
      <w:start w:val="5"/>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61" w:hanging="435"/>
      </w:pPr>
      <w:rPr>
        <w:rFonts w:ascii="Arial" w:cs="Arial" w:eastAsia="Arial" w:hAnsi="Arial"/>
        <w:b w:val="0"/>
        <w:bCs w:val="0"/>
        <w:i w:val="0"/>
        <w:iCs w:val="0"/>
        <w:sz w:val="22"/>
        <w:szCs w:val="22"/>
      </w:rPr>
    </w:lvl>
    <w:lvl w:ilvl="3">
      <w:start w:val="0"/>
      <w:numFmt w:val="bullet"/>
      <w:lvlText w:val="•"/>
      <w:lvlJc w:val="left"/>
      <w:pPr>
        <w:ind w:left="3411" w:hanging="435"/>
      </w:pPr>
      <w:rPr/>
    </w:lvl>
    <w:lvl w:ilvl="4">
      <w:start w:val="0"/>
      <w:numFmt w:val="bullet"/>
      <w:lvlText w:val="•"/>
      <w:lvlJc w:val="left"/>
      <w:pPr>
        <w:ind w:left="4337" w:hanging="435"/>
      </w:pPr>
      <w:rPr/>
    </w:lvl>
    <w:lvl w:ilvl="5">
      <w:start w:val="0"/>
      <w:numFmt w:val="bullet"/>
      <w:lvlText w:val="•"/>
      <w:lvlJc w:val="left"/>
      <w:pPr>
        <w:ind w:left="5262" w:hanging="435"/>
      </w:pPr>
      <w:rPr/>
    </w:lvl>
    <w:lvl w:ilvl="6">
      <w:start w:val="0"/>
      <w:numFmt w:val="bullet"/>
      <w:lvlText w:val="•"/>
      <w:lvlJc w:val="left"/>
      <w:pPr>
        <w:ind w:left="6188" w:hanging="435"/>
      </w:pPr>
      <w:rPr/>
    </w:lvl>
    <w:lvl w:ilvl="7">
      <w:start w:val="0"/>
      <w:numFmt w:val="bullet"/>
      <w:lvlText w:val="•"/>
      <w:lvlJc w:val="left"/>
      <w:pPr>
        <w:ind w:left="7114" w:hanging="435"/>
      </w:pPr>
      <w:rPr/>
    </w:lvl>
    <w:lvl w:ilvl="8">
      <w:start w:val="0"/>
      <w:numFmt w:val="bullet"/>
      <w:lvlText w:val="•"/>
      <w:lvlJc w:val="left"/>
      <w:pPr>
        <w:ind w:left="8039" w:hanging="435"/>
      </w:pPr>
      <w:rPr/>
    </w:lvl>
  </w:abstractNum>
  <w:abstractNum w:abstractNumId="47">
    <w:lvl w:ilvl="0">
      <w:start w:val="4"/>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61" w:hanging="360"/>
      </w:pPr>
      <w:rPr/>
    </w:lvl>
    <w:lvl w:ilvl="3">
      <w:start w:val="1"/>
      <w:numFmt w:val="decimal"/>
      <w:lvlText w:val="%4."/>
      <w:lvlJc w:val="left"/>
      <w:pPr>
        <w:ind w:left="870" w:hanging="363"/>
      </w:pPr>
      <w:rPr/>
    </w:lvl>
    <w:lvl w:ilvl="4">
      <w:start w:val="0"/>
      <w:numFmt w:val="bullet"/>
      <w:lvlText w:val="•"/>
      <w:lvlJc w:val="left"/>
      <w:pPr>
        <w:ind w:left="2750" w:hanging="363"/>
      </w:pPr>
      <w:rPr/>
    </w:lvl>
    <w:lvl w:ilvl="5">
      <w:start w:val="0"/>
      <w:numFmt w:val="bullet"/>
      <w:lvlText w:val="•"/>
      <w:lvlJc w:val="left"/>
      <w:pPr>
        <w:ind w:left="3940" w:hanging="363"/>
      </w:pPr>
      <w:rPr/>
    </w:lvl>
    <w:lvl w:ilvl="6">
      <w:start w:val="0"/>
      <w:numFmt w:val="bullet"/>
      <w:lvlText w:val="•"/>
      <w:lvlJc w:val="left"/>
      <w:pPr>
        <w:ind w:left="5130" w:hanging="363"/>
      </w:pPr>
      <w:rPr/>
    </w:lvl>
    <w:lvl w:ilvl="7">
      <w:start w:val="0"/>
      <w:numFmt w:val="bullet"/>
      <w:lvlText w:val="•"/>
      <w:lvlJc w:val="left"/>
      <w:pPr>
        <w:ind w:left="6320" w:hanging="363"/>
      </w:pPr>
      <w:rPr/>
    </w:lvl>
    <w:lvl w:ilvl="8">
      <w:start w:val="0"/>
      <w:numFmt w:val="bullet"/>
      <w:lvlText w:val="•"/>
      <w:lvlJc w:val="left"/>
      <w:pPr>
        <w:ind w:left="7510" w:hanging="363"/>
      </w:pPr>
      <w:rPr/>
    </w:lvl>
  </w:abstractNum>
  <w:abstractNum w:abstractNumId="48">
    <w:lvl w:ilvl="0">
      <w:start w:val="3"/>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49">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color w:val="351c75"/>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0">
    <w:lvl w:ilvl="0">
      <w:start w:val="1"/>
      <w:numFmt w:val="decimal"/>
      <w:lvlText w:val="%1"/>
      <w:lvlJc w:val="left"/>
      <w:pPr>
        <w:ind w:left="1126" w:hanging="480"/>
      </w:pPr>
      <w:rPr/>
    </w:lvl>
    <w:lvl w:ilvl="1">
      <w:start w:val="3"/>
      <w:numFmt w:val="decimal"/>
      <w:lvlText w:val="%1.%2."/>
      <w:lvlJc w:val="left"/>
      <w:pPr>
        <w:ind w:left="1126" w:hanging="480"/>
      </w:pPr>
      <w:rPr>
        <w:rFonts w:ascii="Arial" w:cs="Arial" w:eastAsia="Arial" w:hAnsi="Arial"/>
        <w:b w:val="0"/>
        <w:bCs w:val="0"/>
        <w:i w:val="0"/>
        <w:iCs w:val="0"/>
        <w:sz w:val="22"/>
        <w:szCs w:val="22"/>
      </w:rPr>
    </w:lvl>
    <w:lvl w:ilvl="2">
      <w:start w:val="1"/>
      <w:numFmt w:val="upperLetter"/>
      <w:lvlText w:val="%3."/>
      <w:lvlJc w:val="left"/>
      <w:pPr>
        <w:ind w:left="1573" w:hanging="360"/>
      </w:pPr>
      <w:rPr>
        <w:rFonts w:ascii="Arial" w:cs="Arial" w:eastAsia="Arial" w:hAnsi="Arial"/>
        <w:b w:val="0"/>
        <w:bCs w:val="0"/>
        <w:i w:val="0"/>
        <w:iCs w:val="0"/>
        <w:sz w:val="22"/>
        <w:szCs w:val="22"/>
      </w:rPr>
    </w:lvl>
    <w:lvl w:ilvl="3">
      <w:start w:val="0"/>
      <w:numFmt w:val="bullet"/>
      <w:lvlText w:val="•"/>
      <w:lvlJc w:val="left"/>
      <w:pPr>
        <w:ind w:left="3426" w:hanging="360"/>
      </w:pPr>
      <w:rPr/>
    </w:lvl>
    <w:lvl w:ilvl="4">
      <w:start w:val="0"/>
      <w:numFmt w:val="bullet"/>
      <w:lvlText w:val="•"/>
      <w:lvlJc w:val="left"/>
      <w:pPr>
        <w:ind w:left="4350" w:hanging="360"/>
      </w:pPr>
      <w:rPr/>
    </w:lvl>
    <w:lvl w:ilvl="5">
      <w:start w:val="0"/>
      <w:numFmt w:val="bullet"/>
      <w:lvlText w:val="•"/>
      <w:lvlJc w:val="left"/>
      <w:pPr>
        <w:ind w:left="5273" w:hanging="360"/>
      </w:pPr>
      <w:rPr/>
    </w:lvl>
    <w:lvl w:ilvl="6">
      <w:start w:val="0"/>
      <w:numFmt w:val="bullet"/>
      <w:lvlText w:val="•"/>
      <w:lvlJc w:val="left"/>
      <w:pPr>
        <w:ind w:left="6197" w:hanging="360"/>
      </w:pPr>
      <w:rPr/>
    </w:lvl>
    <w:lvl w:ilvl="7">
      <w:start w:val="0"/>
      <w:numFmt w:val="bullet"/>
      <w:lvlText w:val="•"/>
      <w:lvlJc w:val="left"/>
      <w:pPr>
        <w:ind w:left="7120" w:hanging="360"/>
      </w:pPr>
      <w:rPr/>
    </w:lvl>
    <w:lvl w:ilvl="8">
      <w:start w:val="0"/>
      <w:numFmt w:val="bullet"/>
      <w:lvlText w:val="•"/>
      <w:lvlJc w:val="left"/>
      <w:pPr>
        <w:ind w:left="8044" w:hanging="360"/>
      </w:pPr>
      <w:rPr/>
    </w:lvl>
  </w:abstractNum>
  <w:abstractNum w:abstractNumId="51">
    <w:lvl w:ilvl="0">
      <w:start w:val="1"/>
      <w:numFmt w:val="decimal"/>
      <w:lvlText w:val="%1"/>
      <w:lvlJc w:val="left"/>
      <w:pPr>
        <w:ind w:left="1126" w:hanging="444.0000000000001"/>
      </w:pPr>
      <w:rPr/>
    </w:lvl>
    <w:lvl w:ilvl="1">
      <w:start w:val="1"/>
      <w:numFmt w:val="decimal"/>
      <w:lvlText w:val="%1.%2"/>
      <w:lvlJc w:val="left"/>
      <w:pPr>
        <w:ind w:left="1126" w:hanging="444.0000000000001"/>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2618" w:hanging="425"/>
      </w:pPr>
      <w:rPr/>
    </w:lvl>
    <w:lvl w:ilvl="4">
      <w:start w:val="0"/>
      <w:numFmt w:val="bullet"/>
      <w:lvlText w:val="•"/>
      <w:lvlJc w:val="left"/>
      <w:pPr>
        <w:ind w:left="3657" w:hanging="425"/>
      </w:pPr>
      <w:rPr/>
    </w:lvl>
    <w:lvl w:ilvl="5">
      <w:start w:val="0"/>
      <w:numFmt w:val="bullet"/>
      <w:lvlText w:val="•"/>
      <w:lvlJc w:val="left"/>
      <w:pPr>
        <w:ind w:left="4696" w:hanging="425"/>
      </w:pPr>
      <w:rPr/>
    </w:lvl>
    <w:lvl w:ilvl="6">
      <w:start w:val="0"/>
      <w:numFmt w:val="bullet"/>
      <w:lvlText w:val="•"/>
      <w:lvlJc w:val="left"/>
      <w:pPr>
        <w:ind w:left="5735" w:hanging="425"/>
      </w:pPr>
      <w:rPr/>
    </w:lvl>
    <w:lvl w:ilvl="7">
      <w:start w:val="0"/>
      <w:numFmt w:val="bullet"/>
      <w:lvlText w:val="•"/>
      <w:lvlJc w:val="left"/>
      <w:pPr>
        <w:ind w:left="6774" w:hanging="425"/>
      </w:pPr>
      <w:rPr/>
    </w:lvl>
    <w:lvl w:ilvl="8">
      <w:start w:val="0"/>
      <w:numFmt w:val="bullet"/>
      <w:lvlText w:val="•"/>
      <w:lvlJc w:val="left"/>
      <w:pPr>
        <w:ind w:left="7813" w:hanging="425"/>
      </w:pPr>
      <w:rPr/>
    </w:lvl>
  </w:abstractNum>
  <w:abstractNum w:abstractNumId="5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4">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5">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6">
    <w:lvl w:ilvl="0">
      <w:start w:val="2"/>
      <w:numFmt w:val="decimal"/>
      <w:lvlText w:val="%1"/>
      <w:lvlJc w:val="left"/>
      <w:pPr>
        <w:ind w:left="1126" w:hanging="428"/>
      </w:pPr>
      <w:rPr/>
    </w:lvl>
    <w:lvl w:ilvl="1">
      <w:start w:val="1"/>
      <w:numFmt w:val="decimal"/>
      <w:lvlText w:val="%1.%2."/>
      <w:lvlJc w:val="left"/>
      <w:pPr>
        <w:ind w:left="1126" w:hanging="428"/>
      </w:pPr>
      <w:rPr>
        <w:rFonts w:ascii="Arial" w:cs="Arial" w:eastAsia="Arial" w:hAnsi="Arial"/>
        <w:b w:val="0"/>
        <w:bCs w:val="0"/>
        <w:i w:val="0"/>
        <w:iCs w:val="0"/>
        <w:sz w:val="22"/>
        <w:szCs w:val="22"/>
      </w:rPr>
    </w:lvl>
    <w:lvl w:ilvl="2">
      <w:start w:val="1"/>
      <w:numFmt w:val="upperLetter"/>
      <w:lvlText w:val="%3."/>
      <w:lvlJc w:val="left"/>
      <w:pPr>
        <w:ind w:left="1551" w:hanging="425"/>
      </w:pPr>
      <w:rPr>
        <w:rFonts w:ascii="Arial" w:cs="Arial" w:eastAsia="Arial" w:hAnsi="Arial"/>
        <w:b w:val="0"/>
        <w:bCs w:val="0"/>
        <w:i w:val="0"/>
        <w:iCs w:val="0"/>
        <w:sz w:val="22"/>
        <w:szCs w:val="22"/>
      </w:rPr>
    </w:lvl>
    <w:lvl w:ilvl="3">
      <w:start w:val="0"/>
      <w:numFmt w:val="bullet"/>
      <w:lvlText w:val="•"/>
      <w:lvlJc w:val="left"/>
      <w:pPr>
        <w:ind w:left="3411" w:hanging="425"/>
      </w:pPr>
      <w:rPr/>
    </w:lvl>
    <w:lvl w:ilvl="4">
      <w:start w:val="0"/>
      <w:numFmt w:val="bullet"/>
      <w:lvlText w:val="•"/>
      <w:lvlJc w:val="left"/>
      <w:pPr>
        <w:ind w:left="4337" w:hanging="425"/>
      </w:pPr>
      <w:rPr/>
    </w:lvl>
    <w:lvl w:ilvl="5">
      <w:start w:val="0"/>
      <w:numFmt w:val="bullet"/>
      <w:lvlText w:val="•"/>
      <w:lvlJc w:val="left"/>
      <w:pPr>
        <w:ind w:left="5262" w:hanging="425"/>
      </w:pPr>
      <w:rPr/>
    </w:lvl>
    <w:lvl w:ilvl="6">
      <w:start w:val="0"/>
      <w:numFmt w:val="bullet"/>
      <w:lvlText w:val="•"/>
      <w:lvlJc w:val="left"/>
      <w:pPr>
        <w:ind w:left="6188" w:hanging="425"/>
      </w:pPr>
      <w:rPr/>
    </w:lvl>
    <w:lvl w:ilvl="7">
      <w:start w:val="0"/>
      <w:numFmt w:val="bullet"/>
      <w:lvlText w:val="•"/>
      <w:lvlJc w:val="left"/>
      <w:pPr>
        <w:ind w:left="7114" w:hanging="425"/>
      </w:pPr>
      <w:rPr/>
    </w:lvl>
    <w:lvl w:ilvl="8">
      <w:start w:val="0"/>
      <w:numFmt w:val="bullet"/>
      <w:lvlText w:val="•"/>
      <w:lvlJc w:val="left"/>
      <w:pPr>
        <w:ind w:left="8039" w:hanging="425"/>
      </w:pPr>
      <w:rPr/>
    </w:lvl>
  </w:abstractNum>
  <w:abstractNum w:abstractNumId="5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720" w:firstLine="130.393700787401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840" w:before="480" w:line="276" w:lineRule="auto"/>
      <w:ind w:left="-11"/>
      <w:jc w:val="center"/>
    </w:pPr>
    <w:rPr>
      <w:b w:val="1"/>
      <w:bCs w:val="1"/>
    </w:rPr>
  </w:style>
  <w:style w:type="paragraph" w:styleId="Heading2">
    <w:name w:val="heading 2"/>
    <w:basedOn w:val="Normal"/>
    <w:next w:val="Normal"/>
    <w:pPr>
      <w:tabs>
        <w:tab w:val="left" w:leader="none" w:pos="284"/>
      </w:tabs>
      <w:spacing w:after="160" w:before="240" w:lineRule="auto"/>
      <w:ind w:left="266" w:hanging="266"/>
    </w:pPr>
    <w:rPr>
      <w:b w:val="1"/>
      <w:bCs w:val="1"/>
    </w:rPr>
  </w:style>
  <w:style w:type="paragraph" w:styleId="Heading3">
    <w:name w:val="heading 3"/>
    <w:basedOn w:val="Normal"/>
    <w:next w:val="Normal"/>
    <w:pPr>
      <w:keepNext w:val="1"/>
      <w:keepLines w:val="1"/>
      <w:spacing w:after="120" w:before="200" w:line="276"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720" w:right="546" w:firstLine="20.999999999999943"/>
    </w:pPr>
    <w:rPr>
      <w:rFonts w:ascii="Century Gothic" w:cs="Century Gothic" w:eastAsia="Century Gothic" w:hAnsi="Century Gothic"/>
      <w:b w:val="1"/>
      <w:bCs w:val="1"/>
      <w:sz w:val="62"/>
      <w:szCs w:val="6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yo_ChUsORFeLhqBTOuTQ9WCNfPGGrzlp?usp=sharing" TargetMode="External"/><Relationship Id="rId22" Type="http://schemas.openxmlformats.org/officeDocument/2006/relationships/image" Target="media/image3.png"/><Relationship Id="rId21" Type="http://schemas.openxmlformats.org/officeDocument/2006/relationships/hyperlink" Target="https://drive.google.com/drive/folders/16xEyMcx_fINtqM2gc4U8ZxKF3sIg6RPW?usp=sharing" TargetMode="External"/><Relationship Id="rId24" Type="http://schemas.openxmlformats.org/officeDocument/2006/relationships/hyperlink" Target="https://spektro-bi.org/event/pengumuman-pemenang-research-grant-bank-indonesia-tahun-2023-1" TargetMode="External"/><Relationship Id="rId23" Type="http://schemas.openxmlformats.org/officeDocument/2006/relationships/hyperlink" Target="https://www.spektro-bi.org/event/resarch-grant-bank-indonesia-tahun-2023-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humas@Poltekssn.ac.id" TargetMode="External"/><Relationship Id="rId26" Type="http://schemas.openxmlformats.org/officeDocument/2006/relationships/hyperlink" Target="https://poltekssn.ac.id" TargetMode="External"/><Relationship Id="rId25" Type="http://schemas.openxmlformats.org/officeDocument/2006/relationships/image" Target="media/image4.png"/><Relationship Id="rId28" Type="http://schemas.openxmlformats.org/officeDocument/2006/relationships/footer" Target="footer3.xml"/><Relationship Id="rId27" Type="http://schemas.openxmlformats.org/officeDocument/2006/relationships/hyperlink" Target="https://poltekssn.ac.i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header" Target="header1.xml"/><Relationship Id="rId11" Type="http://schemas.openxmlformats.org/officeDocument/2006/relationships/hyperlink" Target="https://drive.google.com/file/d/1RTDLEKEwU9GaAdEmAmuhNM5vhiYxRumd/view?usp=sharing" TargetMode="External"/><Relationship Id="rId10" Type="http://schemas.openxmlformats.org/officeDocument/2006/relationships/hyperlink" Target="https://poltekssn.ac.id/" TargetMode="External"/><Relationship Id="rId13" Type="http://schemas.openxmlformats.org/officeDocument/2006/relationships/hyperlink" Target="https://drive.google.com/file/d/1kSBsz50E7DbexaSdHjejEulWj60DGx_E/view?usp=sharing" TargetMode="External"/><Relationship Id="rId12" Type="http://schemas.openxmlformats.org/officeDocument/2006/relationships/hyperlink" Target="https://drive.google.com/file/d/1tErdEpQwOVFNPYiHYfOQBtvdEVen2bKn/view?usp=sharing" TargetMode="External"/><Relationship Id="rId15" Type="http://schemas.openxmlformats.org/officeDocument/2006/relationships/hyperlink" Target="https://drive.google.com/file/d/1NOjYNJFOhHGSZsyHKJgNzYoQFulGG31j/view?usp=sharing" TargetMode="External"/><Relationship Id="rId14" Type="http://schemas.openxmlformats.org/officeDocument/2006/relationships/hyperlink" Target="https://drive.google.com/file/d/1DxIg9CEY2J35c0pXu-zlry18XYzdd91k/view?usp=sharing" TargetMode="External"/><Relationship Id="rId17" Type="http://schemas.openxmlformats.org/officeDocument/2006/relationships/footer" Target="footer1.xml"/><Relationship Id="rId16" Type="http://schemas.openxmlformats.org/officeDocument/2006/relationships/hyperlink" Target="https://drive.google.com/file/d/1qghPQSi3zgU29ts_0txB64Vx2rgkQPDi/view?usp=sharing" TargetMode="External"/><Relationship Id="rId19" Type="http://schemas.openxmlformats.org/officeDocument/2006/relationships/footer" Target="footer2.xml"/><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2025-04-29T00:00:00Z</vt:lpwstr>
  </property>
  <property fmtid="{D5CDD505-2E9C-101B-9397-08002B2CF9AE}" pid="3" name="Creator">
    <vt:lpwstr>Microsoft® Word for Microsoft 365</vt:lpwstr>
  </property>
  <property fmtid="{D5CDD505-2E9C-101B-9397-08002B2CF9AE}" pid="4" name="LastSaved">
    <vt:lpwstr>2025-06-19T00:00:00Z</vt:lpwstr>
  </property>
</Properties>
</file>