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3"/>
      </w:pPr>
      <w:r>
        <w:t>C.1 BUDAYA MUTU</w:t>
      </w:r>
    </w:p>
    <w:p>
      <w:pPr>
        <w:spacing w:before="80" w:after="80"/>
        <w:ind w:left="0"/>
      </w:pPr>
      <w:r>
        <w:rPr>
          <w:b w:val="0"/>
          <w:i w:val="0"/>
          <w:strike w:val="0"/>
          <w:sz w:val="20"/>
        </w:rPr>
        <w:t>Kriteria budaya mutu memuat uraian mengenai proses penetapan, implementasi, evaluasi, pengendalian, serta pengembangan standar pendidikan tinggi beserta indikator-indikator yang relevan. Standar yang dimaksud berkaitan dengan sistem pengelolaan dan peran SPMI dalam membentuk budaya mutu yang diterapkan di Politeknik Siber dan Sandi Negara khususnya Program Studi Rekayasa Keamanan Siber. Standar ini juga mencerminkan penerapan lima elemen utama dalam Good University Governance, yaitu pembuat kebijakan, pelaksana akademik, penjamin mutu, pendukung kegiatan akademik, serta pelaksana administrasi, termasuk nilai-nilai dan norma yang mendukung terciptanya budaya mutu.</w:t>
      </w:r>
    </w:p>
    <w:p>
      <w:pPr>
        <w:spacing w:before="40" w:after="120"/>
      </w:pPr>
      <w:r>
        <w:rPr>
          <w:b/>
          <w:i w:val="0"/>
          <w:strike w:val="0"/>
          <w:sz w:val="18"/>
        </w:rPr>
        <w:t xml:space="preserve">Keterangan markup:  </w:t>
      </w:r>
      <w:r>
        <w:rPr>
          <w:b w:val="0"/>
          <w:i w:val="0"/>
          <w:strike w:val="0"/>
          <w:sz w:val="18"/>
          <w:highlight w:val="yellow"/>
        </w:rPr>
        <w:t xml:space="preserve">  BARU  </w:t>
      </w:r>
      <w:r>
        <w:rPr>
          <w:b w:val="0"/>
          <w:i w:val="0"/>
          <w:strike w:val="0"/>
          <w:sz w:val="18"/>
          <w:highlight w:val="green"/>
        </w:rPr>
        <w:t xml:space="preserve">  DIPERBARUI  </w:t>
      </w:r>
      <w:r>
        <w:rPr>
          <w:b w:val="0"/>
          <w:i w:val="0"/>
          <w:strike/>
          <w:color w:val="CC0000"/>
          <w:sz w:val="18"/>
        </w:rPr>
        <w:t xml:space="preserve">  DIHAPUS  </w:t>
      </w:r>
      <w:r>
        <w:rPr>
          <w:b w:val="0"/>
          <w:i/>
          <w:strike w:val="0"/>
          <w:color w:val="0044CC"/>
          <w:sz w:val="18"/>
        </w:rPr>
        <w:t xml:space="preserve">  [*CATATAN*: ...]</w:t>
      </w:r>
    </w:p>
    <w:p>
      <w:pPr>
        <w:spacing w:before="120"/>
      </w:pPr>
      <w:r>
        <w:rPr>
          <w:b/>
          <w:i w:val="0"/>
          <w:strike w:val="0"/>
          <w:sz w:val="20"/>
        </w:rPr>
        <w:t xml:space="preserve">[PENETAPAN] </w:t>
      </w:r>
      <w:r>
        <w:rPr>
          <w:sz w:val="20"/>
        </w:rPr>
        <w:t>Bagian ini berisi daftar dan penjelasan dokumen kebijakan, standar, dan indikator yang terkait dengan budaya mutu yang ditetapkan oleh Politeknik Siber dan Sandi Negara.</w:t>
      </w:r>
    </w:p>
    <w:p>
      <w:pPr>
        <w:spacing w:before="160"/>
      </w:pPr>
      <w:r>
        <w:rPr>
          <w:b/>
          <w:i w:val="0"/>
          <w:strike w:val="0"/>
          <w:sz w:val="20"/>
        </w:rPr>
        <w:t>A. Sistem Tata Kelola UPPS dan/atau PT berikut SOP</w:t>
      </w:r>
    </w:p>
    <w:p>
      <w:pPr>
        <w:spacing w:before="80" w:after="40"/>
        <w:ind w:left="0"/>
      </w:pPr>
      <w:r>
        <w:rPr>
          <w:b w:val="0"/>
          <w:i w:val="0"/>
          <w:strike w:val="0"/>
          <w:sz w:val="20"/>
        </w:rPr>
        <w:t>Kebijakan yang berkaitan dengan sistem tata kelola internal di Politeknik Siber dan Sandi Negara yang meliputi administrasi akademik, keuangan dan sumber daya manusia adalah sebagai berikut:</w:t>
      </w:r>
    </w:p>
    <w:p>
      <w:pPr>
        <w:spacing w:before="40" w:after="40"/>
        <w:ind w:left="425"/>
      </w:pPr>
      <w:r>
        <w:rPr>
          <w:b w:val="0"/>
          <w:i w:val="0"/>
          <w:strike w:val="0"/>
          <w:sz w:val="20"/>
        </w:rPr>
        <w:t>Peraturan Badan Siber dan Sandi Negara Nomor 12 Tahun 2019 tentang Organisasi dan Tata Kerja Politeknik Siber dan Sandi Negara;</w:t>
      </w:r>
    </w:p>
    <w:p>
      <w:pPr>
        <w:spacing w:before="40" w:after="40"/>
        <w:ind w:left="425"/>
      </w:pPr>
      <w:r>
        <w:rPr>
          <w:b w:val="0"/>
          <w:i w:val="0"/>
          <w:strike w:val="0"/>
          <w:sz w:val="20"/>
        </w:rPr>
        <w:t>Keputusan Direktur Politeknik Siber dan Sandi Negara Nomor 02.1 Tahun 2020 tentang Visi, Misi, Tujuan, dan Strategi Politeknik Siber dan Sandi Negara;</w:t>
      </w:r>
    </w:p>
    <w:p>
      <w:pPr>
        <w:spacing w:before="40" w:after="40"/>
        <w:ind w:left="425"/>
      </w:pPr>
      <w:r>
        <w:rPr>
          <w:b w:val="0"/>
          <w:i w:val="0"/>
          <w:strike/>
          <w:color w:val="CC0000"/>
          <w:sz w:val="18"/>
        </w:rPr>
        <w:t xml:space="preserve">Keputusan Direktur Politeknik Siber dan Sandi Negara Nomor 18 Tahun 2021 tentang Peta Proses Bisnis Politeknik Siber dan Sandi Negara; → </w:t>
      </w:r>
      <w:r>
        <w:rPr>
          <w:b w:val="0"/>
          <w:i w:val="0"/>
          <w:strike w:val="0"/>
          <w:sz w:val="20"/>
          <w:highlight w:val="green"/>
        </w:rPr>
        <w:t>Keputusan Direktur Politeknik Siber dan Sandi Negara Nomor 18 Tahun 2021 tentang Peta Proses Bisnis Politeknik Siber dan Sandi Negara (seluruh SOP tersedia di probis.poltekssn.ac.id);</w:t>
      </w:r>
    </w:p>
    <w:p>
      <w:pPr>
        <w:spacing w:before="0" w:after="80"/>
        <w:ind w:left="850"/>
      </w:pPr>
      <w:r>
        <w:rPr>
          <w:b w:val="0"/>
          <w:i/>
          <w:strike w:val="0"/>
          <w:color w:val="0044CC"/>
          <w:sz w:val="16"/>
        </w:rPr>
        <w:t>[*CATATAN*: Ditambahkan referensi probis.poltekssn.ac.id sebagai tautan bukti SOP — sesuai kolom J STANDAR MUTU LED RKS.xlsx baris 7 (Dokumen Bukti: "SOP pada probis.poltekssn.ac.id").]</w:t>
      </w:r>
    </w:p>
    <w:p>
      <w:pPr>
        <w:spacing w:before="40" w:after="40"/>
        <w:ind w:left="425"/>
      </w:pPr>
      <w:r>
        <w:rPr>
          <w:b w:val="0"/>
          <w:i w:val="0"/>
          <w:strike w:val="0"/>
          <w:sz w:val="20"/>
        </w:rPr>
        <w:t>Keputusan Direktur Politeknik Siber dan Sandi Negara Nomor 7.1 Tahun 2021 Tentang Pedoman Pengembangan Kurikulum;</w:t>
      </w:r>
    </w:p>
    <w:p>
      <w:pPr>
        <w:spacing w:before="40" w:after="40"/>
        <w:ind w:left="425"/>
      </w:pPr>
      <w:r>
        <w:rPr>
          <w:b w:val="0"/>
          <w:i w:val="0"/>
          <w:strike w:val="0"/>
          <w:sz w:val="20"/>
        </w:rPr>
        <w:t>Keputusan Direktur Politeknik Siber dan Sandi Negara Nomor 06.2 Tahun 2022 tentang Visi, Misi, Tujuan, dan Strategi Program Studi Rekayasa Keamanan Siber Politeknik Siber dan Sandi Negara;</w:t>
      </w:r>
    </w:p>
    <w:p>
      <w:pPr>
        <w:spacing w:before="40" w:after="40"/>
        <w:ind w:left="425"/>
      </w:pPr>
      <w:r>
        <w:rPr>
          <w:b w:val="0"/>
          <w:i w:val="0"/>
          <w:strike w:val="0"/>
          <w:sz w:val="20"/>
        </w:rPr>
        <w:t>Keputusan Direktur Politeknik Siber dan Sandi Negara Nomor 03 Tahun 2022 tentang Rencana Strategis Politeknik Siber dan Sandi Negara Tahun 2021–2024;</w:t>
      </w:r>
    </w:p>
    <w:p>
      <w:pPr>
        <w:spacing w:before="40" w:after="40"/>
        <w:ind w:left="425"/>
      </w:pPr>
      <w:r>
        <w:rPr>
          <w:b w:val="0"/>
          <w:i w:val="0"/>
          <w:strike w:val="0"/>
          <w:sz w:val="20"/>
        </w:rPr>
        <w:t>Peraturan Badan Siber dan Sandi Negara Nomor 1 Tahun 2023 tentang Statuta Politeknik Siber dan Sandi Negara;</w:t>
      </w:r>
    </w:p>
    <w:p>
      <w:pPr>
        <w:spacing w:before="40" w:after="40"/>
        <w:ind w:left="425"/>
      </w:pPr>
      <w:r>
        <w:rPr>
          <w:b w:val="0"/>
          <w:i w:val="0"/>
          <w:strike/>
          <w:color w:val="CC0000"/>
          <w:sz w:val="18"/>
        </w:rPr>
        <w:t xml:space="preserve">Penetapan Standar Biaya Per Mahasiswa oleh Bagian Keuangan; → </w:t>
      </w:r>
      <w:r>
        <w:rPr>
          <w:b w:val="0"/>
          <w:i w:val="0"/>
          <w:strike w:val="0"/>
          <w:sz w:val="20"/>
          <w:highlight w:val="green"/>
        </w:rPr>
        <w:t>Keputusan Direktur Poltek SSN Nomor [No SK] Tahun [Tahun] tentang Penetapan Standar Biaya Per Mahasiswa;</w:t>
      </w:r>
    </w:p>
    <w:p>
      <w:pPr>
        <w:spacing w:before="0" w:after="80"/>
        <w:ind w:left="850"/>
      </w:pPr>
      <w:r>
        <w:rPr>
          <w:b w:val="0"/>
          <w:i/>
          <w:strike w:val="0"/>
          <w:color w:val="0044CC"/>
          <w:sz w:val="16"/>
        </w:rPr>
        <w:t>[*CATATAN*: Perbarui ke format SK resmi: isikan nomor Kepdir dan tahun terbit (template generik).]</w:t>
      </w:r>
    </w:p>
    <w:p>
      <w:pPr>
        <w:spacing w:before="40" w:after="40"/>
        <w:ind w:left="425"/>
      </w:pPr>
      <w:r>
        <w:rPr>
          <w:b w:val="0"/>
          <w:i w:val="0"/>
          <w:strike/>
          <w:color w:val="CC0000"/>
          <w:sz w:val="18"/>
        </w:rPr>
        <w:t xml:space="preserve">Kepdir Kalender pendidikan; → </w:t>
      </w:r>
      <w:r>
        <w:rPr>
          <w:b w:val="0"/>
          <w:i w:val="0"/>
          <w:strike w:val="0"/>
          <w:sz w:val="20"/>
          <w:highlight w:val="green"/>
        </w:rPr>
        <w:t>Keputusan Direktur Poltek SSN Nomor [No SK] Tahun [Tahun] tentang Kalender Pendidikan Poltek SSN Tahun Akademik [TA];</w:t>
      </w:r>
    </w:p>
    <w:p>
      <w:pPr>
        <w:spacing w:before="0" w:after="80"/>
        <w:ind w:left="850"/>
      </w:pPr>
      <w:r>
        <w:rPr>
          <w:b w:val="0"/>
          <w:i/>
          <w:strike w:val="0"/>
          <w:color w:val="0044CC"/>
          <w:sz w:val="16"/>
        </w:rPr>
        <w:t>[*CATATAN*: Perbarui ke format SK resmi: isikan nomor Kepdir, tahun, dan TA berlaku.]</w:t>
      </w:r>
    </w:p>
    <w:p>
      <w:pPr>
        <w:spacing w:before="40" w:after="40"/>
        <w:ind w:left="425"/>
      </w:pPr>
      <w:r>
        <w:rPr>
          <w:b w:val="0"/>
          <w:i w:val="0"/>
          <w:strike/>
          <w:color w:val="CC0000"/>
          <w:sz w:val="18"/>
        </w:rPr>
        <w:t xml:space="preserve">Kepdir/SP penetapan dosen, tendik, dan pejabat akademik/struktural. → </w:t>
      </w:r>
      <w:r>
        <w:rPr>
          <w:b w:val="0"/>
          <w:i w:val="0"/>
          <w:strike w:val="0"/>
          <w:sz w:val="20"/>
          <w:highlight w:val="green"/>
        </w:rPr>
        <w:t>Keputusan Direktur/Surat Perintah Nomor [No SP] Tahun [Tahun] tentang Penetapan Dosen, Tenaga Kependidikan, dan Pejabat Akademik/Struktural;</w:t>
      </w:r>
    </w:p>
    <w:p>
      <w:pPr>
        <w:spacing w:before="0" w:after="80"/>
        <w:ind w:left="850"/>
      </w:pPr>
      <w:r>
        <w:rPr>
          <w:b w:val="0"/>
          <w:i/>
          <w:strike w:val="0"/>
          <w:color w:val="0044CC"/>
          <w:sz w:val="16"/>
        </w:rPr>
        <w:t>[*CATATAN*: Perbarui ke format SK/SP resmi terbaru: isikan nomor dan tahun dokumen.]</w:t>
      </w:r>
    </w:p>
    <w:p>
      <w:pPr>
        <w:spacing w:before="40" w:after="40"/>
        <w:ind w:left="425"/>
      </w:pPr>
      <w:r>
        <w:rPr>
          <w:b w:val="0"/>
          <w:i w:val="0"/>
          <w:strike w:val="0"/>
          <w:sz w:val="20"/>
          <w:highlight w:val="yellow"/>
        </w:rPr>
        <w:t>Peraturan Menteri Pendidikan, Kebudayaan, Riset, dan Teknologi Nomor 39 Tahun 2025 tentang Standar Nasional Pendidikan Tinggi (SN-DIKTI) — sebagai acuan standar mutu nasional yang berlaku;</w:t>
      </w:r>
    </w:p>
    <w:p>
      <w:pPr>
        <w:spacing w:before="0" w:after="80"/>
        <w:ind w:left="850"/>
      </w:pPr>
      <w:r>
        <w:rPr>
          <w:b w:val="0"/>
          <w:i/>
          <w:strike w:val="0"/>
          <w:color w:val="0044CC"/>
          <w:sz w:val="16"/>
        </w:rPr>
        <w:t>[*CATATAN*: Regulasi SN-DIKTI terbaru 2025 — BARU ditambahkan. Menggantikan Permendikbud No. 3 Tahun 2020 yang sudah tidak berlaku.]</w:t>
      </w:r>
    </w:p>
    <w:p>
      <w:pPr>
        <w:spacing w:before="40" w:after="40"/>
        <w:ind w:left="425"/>
      </w:pPr>
      <w:r>
        <w:rPr>
          <w:b w:val="0"/>
          <w:i w:val="0"/>
          <w:strike w:val="0"/>
          <w:sz w:val="20"/>
          <w:highlight w:val="yellow"/>
        </w:rPr>
        <w:t>Keputusan Direktur Poltek SSN Nomor [No SK] Tahun 2025 tentang Standar Mutu Internal Politeknik Siber dan Sandi Negara (berlaku sejak 15 Februari 2025);</w:t>
      </w:r>
    </w:p>
    <w:p>
      <w:pPr>
        <w:spacing w:before="0" w:after="80"/>
        <w:ind w:left="850"/>
      </w:pPr>
      <w:r>
        <w:rPr>
          <w:b w:val="0"/>
          <w:i/>
          <w:strike w:val="0"/>
          <w:color w:val="0044CC"/>
          <w:sz w:val="16"/>
        </w:rPr>
        <w:t>[*CATATAN*: Standar mutu 2025 BARU — nomor SK harus dikonfirmasi ke Pus Jamut dan diperbarui sebelum submit SALAM LAM Infokom.]</w:t>
      </w:r>
    </w:p>
    <w:p>
      <w:pPr>
        <w:spacing w:before="160" w:after="80"/>
        <w:ind w:left="0"/>
      </w:pPr>
      <w:r>
        <w:rPr>
          <w:b w:val="0"/>
          <w:i w:val="0"/>
          <w:strike w:val="0"/>
          <w:sz w:val="20"/>
        </w:rPr>
        <w:t>Berikut standar mutu dan indikator kinerja yang terkait dengan sistem tata kelola internal di Politeknik Siber dan Sandi Negara yang meliputi administrasi akademik, keuangan dan sumber daya manusia:</w:t>
      </w:r>
    </w:p>
    <w:p>
      <w:pPr>
        <w:spacing w:after="80"/>
      </w:pPr>
      <w:r>
        <w:rPr>
          <w:b w:val="0"/>
          <w:i/>
          <w:strike w:val="0"/>
          <w:color w:val="0044CC"/>
          <w:sz w:val="16"/>
        </w:rPr>
        <w:t>[*CATATAN*: Tabel di bawah menggunakan PERSIS pernyataan standar dan indikator dari STANDAR MUTU LED RKS.xlsx Sheet "Indikator Mutu LED" baris 7–10 (C1 bagian A). Kolom PJ dan Bukti Dukung BARU ditambahkan (dari kolom C dan J Excel). Target dikonversi: 0.3→30%, 1→100%, 0.95→95%.]</w:t>
      </w:r>
    </w:p>
    <w:tbl>
      <w:tblPr>
        <w:tblStyle w:val="Table2"/>
        <w:tblW w:type="auto" w:w="0"/>
        <w:tblLook w:firstColumn="1" w:firstRow="1" w:lastColumn="0" w:lastRow="0" w:noHBand="0" w:noVBand="1" w:val="04A0"/>
      </w:tblPr>
      <w:tblGrid>
        <w:gridCol w:w="1150"/>
        <w:gridCol w:w="1150"/>
        <w:gridCol w:w="1150"/>
        <w:gridCol w:w="1150"/>
        <w:gridCol w:w="1150"/>
        <w:gridCol w:w="1150"/>
        <w:gridCol w:w="1150"/>
        <w:gridCol w:w="1150"/>
      </w:tblGrid>
      <w:tr>
        <w:tc>
          <w:tcPr>
            <w:tcW w:type="dxa" w:w="1150"/>
            <w:shd w:val="clear" w:color="auto" w:fill="1F3864"/>
          </w:tcPr>
          <w:p>
            <w:pPr>
              <w:jc w:val="center"/>
            </w:pPr>
            <w:r>
              <w:rPr>
                <w:b/>
                <w:color w:val="FFFFFF"/>
                <w:sz w:val="18"/>
              </w:rPr>
              <w:t>No</w:t>
            </w:r>
          </w:p>
        </w:tc>
        <w:tc>
          <w:tcPr>
            <w:tcW w:type="dxa" w:w="1150"/>
            <w:shd w:val="clear" w:color="auto" w:fill="1F3864"/>
          </w:tcPr>
          <w:p>
            <w:pPr>
              <w:jc w:val="center"/>
            </w:pPr>
            <w:r>
              <w:rPr>
                <w:b/>
                <w:color w:val="FFFFFF"/>
                <w:sz w:val="18"/>
              </w:rPr>
              <w:t>Kriteria LAM Infokom</w:t>
            </w:r>
          </w:p>
        </w:tc>
        <w:tc>
          <w:tcPr>
            <w:tcW w:type="dxa" w:w="1150"/>
            <w:shd w:val="clear" w:color="auto" w:fill="1F3864"/>
          </w:tcPr>
          <w:p>
            <w:pPr>
              <w:jc w:val="center"/>
            </w:pPr>
            <w:r>
              <w:rPr>
                <w:b/>
                <w:color w:val="FFFFFF"/>
                <w:sz w:val="18"/>
              </w:rPr>
              <w:t>Pernyataan Standar Mutu</w:t>
            </w:r>
          </w:p>
        </w:tc>
        <w:tc>
          <w:tcPr>
            <w:tcW w:type="dxa" w:w="1150"/>
            <w:shd w:val="clear" w:color="auto" w:fill="1F3864"/>
          </w:tcPr>
          <w:p>
            <w:pPr>
              <w:jc w:val="center"/>
            </w:pPr>
            <w:r>
              <w:rPr>
                <w:b/>
                <w:color w:val="FFFFFF"/>
                <w:sz w:val="18"/>
              </w:rPr>
              <w:t>Indikator</w:t>
            </w:r>
          </w:p>
        </w:tc>
        <w:tc>
          <w:tcPr>
            <w:tcW w:type="dxa" w:w="1150"/>
            <w:shd w:val="clear" w:color="auto" w:fill="1F3864"/>
          </w:tcPr>
          <w:p>
            <w:pPr>
              <w:jc w:val="center"/>
            </w:pPr>
            <w:r>
              <w:rPr>
                <w:b/>
                <w:color w:val="FFFFFF"/>
                <w:sz w:val="18"/>
              </w:rPr>
              <w:t>Target</w:t>
            </w:r>
          </w:p>
        </w:tc>
        <w:tc>
          <w:tcPr>
            <w:tcW w:type="dxa" w:w="1150"/>
            <w:shd w:val="clear" w:color="auto" w:fill="1F3864"/>
          </w:tcPr>
          <w:p>
            <w:pPr>
              <w:jc w:val="center"/>
            </w:pPr>
            <w:r>
              <w:rPr>
                <w:b/>
                <w:color w:val="FFFFFF"/>
                <w:sz w:val="18"/>
              </w:rPr>
              <w:t>PJ</w:t>
            </w:r>
          </w:p>
        </w:tc>
        <w:tc>
          <w:tcPr>
            <w:tcW w:type="dxa" w:w="1150"/>
            <w:shd w:val="clear" w:color="auto" w:fill="1F3864"/>
          </w:tcPr>
          <w:p>
            <w:pPr>
              <w:jc w:val="center"/>
            </w:pPr>
            <w:r>
              <w:rPr>
                <w:b/>
                <w:color w:val="FFFFFF"/>
                <w:sz w:val="18"/>
              </w:rPr>
              <w:t>Rujukan Standar</w:t>
            </w:r>
          </w:p>
        </w:tc>
        <w:tc>
          <w:tcPr>
            <w:tcW w:type="dxa" w:w="1150"/>
            <w:shd w:val="clear" w:color="auto" w:fill="1F3864"/>
          </w:tcPr>
          <w:p>
            <w:pPr>
              <w:jc w:val="center"/>
            </w:pPr>
            <w:r>
              <w:rPr>
                <w:b/>
                <w:color w:val="FFFFFF"/>
                <w:sz w:val="18"/>
              </w:rPr>
              <w:t>Bukti Dukung</w:t>
            </w:r>
          </w:p>
        </w:tc>
      </w:tr>
      <w:tr>
        <w:tc>
          <w:tcPr>
            <w:tcW w:type="dxa" w:w="1150"/>
          </w:tcPr>
          <w:p>
            <w:pPr>
              <w:jc w:val="center"/>
            </w:pPr>
            <w:r>
              <w:rPr>
                <w:b w:val="0"/>
                <w:i w:val="0"/>
                <w:strike w:val="0"/>
                <w:sz w:val="18"/>
                <w:highlight w:val="green"/>
              </w:rPr>
              <w:t>1</w:t>
            </w:r>
          </w:p>
        </w:tc>
        <w:tc>
          <w:tcPr>
            <w:tcW w:type="dxa" w:w="1150"/>
          </w:tcPr>
          <w:p>
            <w:r>
              <w:rPr>
                <w:b w:val="0"/>
                <w:i w:val="0"/>
                <w:strike w:val="0"/>
                <w:sz w:val="18"/>
                <w:highlight w:val="green"/>
              </w:rPr>
              <w:t>Sistem Tata Kelola</w:t>
            </w:r>
          </w:p>
        </w:tc>
        <w:tc>
          <w:tcPr>
            <w:tcW w:type="dxa" w:w="1150"/>
          </w:tcPr>
          <w:p>
            <w:r>
              <w:rPr>
                <w:b w:val="0"/>
                <w:i w:val="0"/>
                <w:strike w:val="0"/>
                <w:sz w:val="18"/>
                <w:highlight w:val="green"/>
              </w:rPr>
              <w:t>Direktur bertanggung jawab atas tersusunnya sistem tata kelola internal melalui penetapan dan penerapan SOP pada bidang Akademik, Keuangan, SDM dan aspek lain dalam siklus PPEPP.</w:t>
            </w:r>
          </w:p>
        </w:tc>
        <w:tc>
          <w:tcPr>
            <w:tcW w:type="dxa" w:w="1150"/>
          </w:tcPr>
          <w:p>
            <w:r>
              <w:rPr>
                <w:b w:val="0"/>
                <w:i w:val="0"/>
                <w:strike w:val="0"/>
                <w:sz w:val="18"/>
                <w:highlight w:val="green"/>
              </w:rPr>
              <w:t>Persentase SOP pada bidang Akademik, Keuangan, SDM dan aspek lain yang tersusun dan diterapkan</w:t>
            </w:r>
          </w:p>
        </w:tc>
        <w:tc>
          <w:tcPr>
            <w:tcW w:type="dxa" w:w="1150"/>
          </w:tcPr>
          <w:p>
            <w:r>
              <w:rPr>
                <w:b w:val="0"/>
                <w:i w:val="0"/>
                <w:strike w:val="0"/>
                <w:sz w:val="18"/>
                <w:highlight w:val="green"/>
              </w:rPr>
              <w:t>≥ 70%</w:t>
            </w:r>
          </w:p>
        </w:tc>
        <w:tc>
          <w:tcPr>
            <w:tcW w:type="dxa" w:w="1150"/>
          </w:tcPr>
          <w:p>
            <w:r>
              <w:rPr>
                <w:b w:val="0"/>
                <w:i w:val="0"/>
                <w:strike w:val="0"/>
                <w:sz w:val="18"/>
                <w:highlight w:val="green"/>
              </w:rPr>
              <w:t>Subbag OSDM TU</w:t>
            </w:r>
          </w:p>
        </w:tc>
        <w:tc>
          <w:tcPr>
            <w:tcW w:type="dxa" w:w="1150"/>
          </w:tcPr>
          <w:p>
            <w:r>
              <w:rPr>
                <w:b w:val="0"/>
                <w:i w:val="0"/>
                <w:strike w:val="0"/>
                <w:sz w:val="18"/>
                <w:highlight w:val="green"/>
              </w:rPr>
              <w:t>Standar Pengelolaan Pembelajaran</w:t>
            </w:r>
          </w:p>
        </w:tc>
        <w:tc>
          <w:tcPr>
            <w:tcW w:type="dxa" w:w="1150"/>
          </w:tcPr>
          <w:p>
            <w:r>
              <w:rPr>
                <w:b w:val="0"/>
                <w:i w:val="0"/>
                <w:strike w:val="0"/>
                <w:sz w:val="18"/>
                <w:highlight w:val="green"/>
              </w:rPr>
              <w:t>SOP pada probis.poltekssn.ac.id</w:t>
            </w:r>
          </w:p>
        </w:tc>
      </w:tr>
      <w:tr>
        <w:tc>
          <w:tcPr>
            <w:tcW w:type="dxa" w:w="1150"/>
          </w:tcPr>
          <w:p>
            <w:pPr>
              <w:jc w:val="center"/>
            </w:pPr>
            <w:r>
              <w:rPr>
                <w:b w:val="0"/>
                <w:i w:val="0"/>
                <w:strike w:val="0"/>
                <w:sz w:val="18"/>
              </w:rPr>
              <w:t>2</w:t>
            </w:r>
          </w:p>
        </w:tc>
        <w:tc>
          <w:tcPr>
            <w:tcW w:type="dxa" w:w="1150"/>
          </w:tcPr>
          <w:p>
            <w:r>
              <w:rPr>
                <w:b w:val="0"/>
                <w:i w:val="0"/>
                <w:strike w:val="0"/>
                <w:sz w:val="18"/>
              </w:rPr>
              <w:t>Sistem Tata Kelola Administrasi Akademik</w:t>
            </w:r>
          </w:p>
        </w:tc>
        <w:tc>
          <w:tcPr>
            <w:tcW w:type="dxa" w:w="1150"/>
          </w:tcPr>
          <w:p>
            <w:r>
              <w:rPr>
                <w:b w:val="0"/>
                <w:i w:val="0"/>
                <w:strike w:val="0"/>
                <w:sz w:val="18"/>
              </w:rPr>
              <w:t>Direktur menetapkan sistem pengelolaan administrasi akademik berdasarkan peraturan yang berlaku</w:t>
            </w:r>
          </w:p>
        </w:tc>
        <w:tc>
          <w:tcPr>
            <w:tcW w:type="dxa" w:w="1150"/>
          </w:tcPr>
          <w:p>
            <w:r>
              <w:rPr>
                <w:b w:val="0"/>
                <w:i w:val="0"/>
                <w:strike w:val="0"/>
                <w:sz w:val="18"/>
              </w:rPr>
              <w:t>Persentase realisasi kesesuaian penyelenggaraan pendidikan berdasarkan kalender akademik setiap tahun ajaran</w:t>
            </w:r>
          </w:p>
        </w:tc>
        <w:tc>
          <w:tcPr>
            <w:tcW w:type="dxa" w:w="1150"/>
          </w:tcPr>
          <w:p>
            <w:r>
              <w:rPr>
                <w:b w:val="0"/>
                <w:i w:val="0"/>
                <w:strike w:val="0"/>
                <w:sz w:val="18"/>
              </w:rPr>
              <w:t>30%</w:t>
            </w:r>
          </w:p>
        </w:tc>
        <w:tc>
          <w:tcPr>
            <w:tcW w:type="dxa" w:w="1150"/>
          </w:tcPr>
          <w:p>
            <w:r>
              <w:rPr>
                <w:b w:val="0"/>
                <w:i w:val="0"/>
                <w:strike w:val="0"/>
                <w:sz w:val="18"/>
              </w:rPr>
              <w:t>Subbag AAK</w:t>
            </w:r>
          </w:p>
        </w:tc>
        <w:tc>
          <w:tcPr>
            <w:tcW w:type="dxa" w:w="1150"/>
          </w:tcPr>
          <w:p>
            <w:r>
              <w:rPr>
                <w:b w:val="0"/>
                <w:i w:val="0"/>
                <w:strike w:val="0"/>
                <w:sz w:val="18"/>
              </w:rPr>
              <w:t>Standar Pengelolaan Pembelajaran</w:t>
            </w:r>
          </w:p>
        </w:tc>
        <w:tc>
          <w:tcPr>
            <w:tcW w:type="dxa" w:w="1150"/>
          </w:tcPr>
          <w:p>
            <w:r>
              <w:rPr>
                <w:b w:val="0"/>
                <w:i w:val="0"/>
                <w:strike w:val="0"/>
                <w:sz w:val="18"/>
              </w:rPr>
              <w:t>—</w:t>
            </w:r>
          </w:p>
        </w:tc>
      </w:tr>
      <w:tr>
        <w:tc>
          <w:tcPr>
            <w:tcW w:type="dxa" w:w="1150"/>
          </w:tcPr>
          <w:p>
            <w:pPr>
              <w:jc w:val="center"/>
            </w:pPr>
            <w:r>
              <w:rPr>
                <w:b w:val="0"/>
                <w:i w:val="0"/>
                <w:strike w:val="0"/>
                <w:sz w:val="18"/>
              </w:rPr>
              <w:t>3</w:t>
            </w:r>
          </w:p>
        </w:tc>
        <w:tc>
          <w:tcPr>
            <w:tcW w:type="dxa" w:w="1150"/>
          </w:tcPr>
          <w:p>
            <w:r>
              <w:rPr>
                <w:b w:val="0"/>
                <w:i w:val="0"/>
                <w:strike w:val="0"/>
                <w:sz w:val="18"/>
              </w:rPr>
            </w:r>
          </w:p>
        </w:tc>
        <w:tc>
          <w:tcPr>
            <w:tcW w:type="dxa" w:w="1150"/>
          </w:tcPr>
          <w:p>
            <w:r>
              <w:rPr>
                <w:b w:val="0"/>
                <w:i w:val="0"/>
                <w:strike w:val="0"/>
                <w:sz w:val="18"/>
              </w:rPr>
            </w:r>
          </w:p>
        </w:tc>
        <w:tc>
          <w:tcPr>
            <w:tcW w:type="dxa" w:w="1150"/>
          </w:tcPr>
          <w:p>
            <w:r>
              <w:rPr>
                <w:b w:val="0"/>
                <w:i w:val="0"/>
                <w:strike w:val="0"/>
                <w:sz w:val="18"/>
              </w:rPr>
              <w:t>Persentase data perkuliahan dilaporkan ke PDDikti secara lengkap dan tepat waktu pada setiap semester berjalan</w:t>
            </w:r>
          </w:p>
        </w:tc>
        <w:tc>
          <w:tcPr>
            <w:tcW w:type="dxa" w:w="1150"/>
          </w:tcPr>
          <w:p>
            <w:r>
              <w:rPr>
                <w:b w:val="0"/>
                <w:i w:val="0"/>
                <w:strike w:val="0"/>
                <w:sz w:val="18"/>
              </w:rPr>
              <w:t>100%</w:t>
            </w:r>
          </w:p>
        </w:tc>
        <w:tc>
          <w:tcPr>
            <w:tcW w:type="dxa" w:w="1150"/>
          </w:tcPr>
          <w:p>
            <w:r>
              <w:rPr>
                <w:b w:val="0"/>
                <w:i w:val="0"/>
                <w:strike w:val="0"/>
                <w:sz w:val="18"/>
              </w:rPr>
              <w:t>Subbag AAK</w:t>
            </w:r>
          </w:p>
        </w:tc>
        <w:tc>
          <w:tcPr>
            <w:tcW w:type="dxa" w:w="1150"/>
          </w:tcPr>
          <w:p>
            <w:r>
              <w:rPr>
                <w:b w:val="0"/>
                <w:i w:val="0"/>
                <w:strike w:val="0"/>
                <w:sz w:val="18"/>
              </w:rPr>
              <w:t>Standar Pengelolaan Pembelajaran</w:t>
            </w:r>
          </w:p>
        </w:tc>
        <w:tc>
          <w:tcPr>
            <w:tcW w:type="dxa" w:w="1150"/>
          </w:tcPr>
          <w:p>
            <w:r>
              <w:rPr>
                <w:b w:val="0"/>
                <w:i w:val="0"/>
                <w:strike w:val="0"/>
                <w:sz w:val="18"/>
              </w:rPr>
              <w:t>—</w:t>
            </w:r>
          </w:p>
        </w:tc>
      </w:tr>
      <w:tr>
        <w:tc>
          <w:tcPr>
            <w:tcW w:type="dxa" w:w="1150"/>
          </w:tcPr>
          <w:p>
            <w:pPr>
              <w:jc w:val="center"/>
            </w:pPr>
            <w:r>
              <w:rPr>
                <w:b w:val="0"/>
                <w:i w:val="0"/>
                <w:strike w:val="0"/>
                <w:sz w:val="18"/>
              </w:rPr>
              <w:t>4</w:t>
            </w:r>
          </w:p>
        </w:tc>
        <w:tc>
          <w:tcPr>
            <w:tcW w:type="dxa" w:w="1150"/>
          </w:tcPr>
          <w:p>
            <w:r>
              <w:rPr>
                <w:b w:val="0"/>
                <w:i w:val="0"/>
                <w:strike w:val="0"/>
                <w:sz w:val="18"/>
              </w:rPr>
              <w:t>Sistem Tata Kelola Keuangan</w:t>
            </w:r>
          </w:p>
        </w:tc>
        <w:tc>
          <w:tcPr>
            <w:tcW w:type="dxa" w:w="1150"/>
          </w:tcPr>
          <w:p>
            <w:r>
              <w:rPr>
                <w:b w:val="0"/>
                <w:i w:val="0"/>
                <w:strike w:val="0"/>
                <w:sz w:val="18"/>
              </w:rPr>
              <w:t>Direktur menetapkan sistem pengelolaan keuangan berdasarkan prinsip tata kelola perguruan tinggi yang baik sesuai dengan ketentuan peraturan perundang-undangan</w:t>
            </w:r>
          </w:p>
        </w:tc>
        <w:tc>
          <w:tcPr>
            <w:tcW w:type="dxa" w:w="1150"/>
          </w:tcPr>
          <w:p>
            <w:r>
              <w:rPr>
                <w:b w:val="0"/>
                <w:i w:val="0"/>
                <w:strike w:val="0"/>
                <w:sz w:val="18"/>
              </w:rPr>
              <w:t>Persentase realisasi anggaran tahunan</w:t>
            </w:r>
          </w:p>
        </w:tc>
        <w:tc>
          <w:tcPr>
            <w:tcW w:type="dxa" w:w="1150"/>
          </w:tcPr>
          <w:p>
            <w:r>
              <w:rPr>
                <w:b w:val="0"/>
                <w:i w:val="0"/>
                <w:strike w:val="0"/>
                <w:sz w:val="18"/>
              </w:rPr>
              <w:t>95%</w:t>
            </w:r>
          </w:p>
        </w:tc>
        <w:tc>
          <w:tcPr>
            <w:tcW w:type="dxa" w:w="1150"/>
          </w:tcPr>
          <w:p>
            <w:r>
              <w:rPr>
                <w:b w:val="0"/>
                <w:i w:val="0"/>
                <w:strike w:val="0"/>
                <w:sz w:val="18"/>
              </w:rPr>
              <w:t>Subbag Renkeu</w:t>
            </w:r>
          </w:p>
        </w:tc>
        <w:tc>
          <w:tcPr>
            <w:tcW w:type="dxa" w:w="1150"/>
          </w:tcPr>
          <w:p>
            <w:r>
              <w:rPr>
                <w:b w:val="0"/>
                <w:i w:val="0"/>
                <w:strike w:val="0"/>
                <w:sz w:val="18"/>
              </w:rPr>
              <w:t>Standar Pembiayaan Pembelajaran</w:t>
            </w:r>
          </w:p>
        </w:tc>
        <w:tc>
          <w:tcPr>
            <w:tcW w:type="dxa" w:w="1150"/>
          </w:tcPr>
          <w:p>
            <w:r>
              <w:rPr>
                <w:b w:val="0"/>
                <w:i w:val="0"/>
                <w:strike w:val="0"/>
                <w:sz w:val="18"/>
              </w:rPr>
              <w:t>—</w:t>
            </w:r>
          </w:p>
        </w:tc>
      </w:tr>
    </w:tbl>
    <w:p>
      <w:pPr>
        <w:spacing w:after="120"/>
      </w:pPr>
      <w:r>
        <w:rPr>
          <w:b w:val="0"/>
          <w:i/>
          <w:strike w:val="0"/>
          <w:color w:val="0044CC"/>
          <w:sz w:val="16"/>
        </w:rPr>
        <w:t>[*CATATAN*: No.1 target diubah dari "70%" (template) menjadi "≥ 70%" sesuai nilai Excel (=&gt; 70%). Kolom Kriteria LAM Infokom, PJ, Rujukan Standar, dan Bukti Dukung BARU (highlight hijau). No.2 target: konfirmasi "30%" ke Pus Jamut — template sudah benar sesuai Excel (0.3 = 30%).]</w:t>
      </w:r>
    </w:p>
    <w:p>
      <w:pPr>
        <w:spacing w:before="240"/>
      </w:pPr>
      <w:r>
        <w:rPr>
          <w:b/>
          <w:i w:val="0"/>
          <w:strike w:val="0"/>
          <w:sz w:val="20"/>
        </w:rPr>
        <w:t>B. Fungsi SPMI dengan SDM yang Kompeten sebagai Pelaksana</w:t>
      </w:r>
    </w:p>
    <w:p>
      <w:pPr>
        <w:spacing w:before="80" w:after="40"/>
        <w:ind w:left="0"/>
      </w:pPr>
      <w:r>
        <w:rPr>
          <w:b w:val="0"/>
          <w:i w:val="0"/>
          <w:strike w:val="0"/>
          <w:sz w:val="20"/>
        </w:rPr>
        <w:t>Kebijakan yang berkaitan dengan fungsi SPMI dengan SDM yang kompeten sebagai pelaksana di Politeknik Siber dan Sandi Negara adalah sebagai berikut:</w:t>
      </w:r>
    </w:p>
    <w:p>
      <w:pPr>
        <w:spacing w:before="40" w:after="40"/>
        <w:ind w:left="425"/>
      </w:pPr>
      <w:r>
        <w:rPr>
          <w:b w:val="0"/>
          <w:i w:val="0"/>
          <w:strike w:val="0"/>
          <w:sz w:val="20"/>
          <w:highlight w:val="yellow"/>
        </w:rPr>
        <w:t>Peraturan Menteri Pendidikan Tinggi, Sains, dan Teknologi Nomor 53 Tahun 2023 tentang Penjaminan Mutu Pendidikan Tinggi — mewajibkan penerapan SPMI berbasis siklus PPEPP di seluruh perguruan tinggi;</w:t>
      </w:r>
    </w:p>
    <w:p>
      <w:pPr>
        <w:spacing w:before="0" w:after="80"/>
        <w:ind w:left="850"/>
      </w:pPr>
      <w:r>
        <w:rPr>
          <w:b w:val="0"/>
          <w:i/>
          <w:strike w:val="0"/>
          <w:color w:val="0044CC"/>
          <w:sz w:val="16"/>
        </w:rPr>
        <w:t>[*CATATAN*: Regulasi dasar SPMI BARU ditambahkan — tidak ada di template asli. Wajib dicantumkan sebagai landasan hukum siklus PPEPP.]</w:t>
      </w:r>
    </w:p>
    <w:p>
      <w:pPr>
        <w:spacing w:before="40" w:after="40"/>
        <w:ind w:left="425"/>
      </w:pPr>
      <w:r>
        <w:rPr>
          <w:b w:val="0"/>
          <w:i w:val="0"/>
          <w:strike/>
          <w:color w:val="CC0000"/>
          <w:sz w:val="18"/>
        </w:rPr>
        <w:t xml:space="preserve">Keputusan Direktur Politeknik Siber dan Sandi Negara Nomor 20.1 Tahun 2022 tentang Standar Mutu Politeknik Siber dan Sandi Negara; → </w:t>
      </w:r>
      <w:r>
        <w:rPr>
          <w:b w:val="0"/>
          <w:i w:val="0"/>
          <w:strike w:val="0"/>
          <w:sz w:val="20"/>
          <w:highlight w:val="green"/>
        </w:rPr>
        <w:t>Keputusan Direktur Politeknik Siber dan Sandi Negara Nomor [No SK] Tahun 2025 tentang Standar Mutu Internal Politeknik Siber dan Sandi Negara (berlaku sejak 15 Februari 2025);</w:t>
      </w:r>
    </w:p>
    <w:p>
      <w:pPr>
        <w:spacing w:before="0" w:after="80"/>
        <w:ind w:left="850"/>
      </w:pPr>
      <w:r>
        <w:rPr>
          <w:b w:val="0"/>
          <w:i/>
          <w:strike w:val="0"/>
          <w:color w:val="0044CC"/>
          <w:sz w:val="16"/>
        </w:rPr>
        <w:t>[*CATATAN*: Kepdir 20.1/2022 digantikan oleh Kepdir Standar Mutu 2025. Isikan nomor SK resmi 2025 setelah dikonfirmasi ke Pus Jamut.]</w:t>
      </w:r>
    </w:p>
    <w:p>
      <w:pPr>
        <w:spacing w:before="40" w:after="40"/>
        <w:ind w:left="425"/>
      </w:pPr>
      <w:r>
        <w:rPr>
          <w:b w:val="0"/>
          <w:i w:val="0"/>
          <w:strike/>
          <w:color w:val="CC0000"/>
          <w:sz w:val="18"/>
        </w:rPr>
        <w:t xml:space="preserve">Kepdir terkait SPMI di lingkungan Politeknik Siber dan Sandi Negara; → </w:t>
      </w:r>
      <w:r>
        <w:rPr>
          <w:b w:val="0"/>
          <w:i w:val="0"/>
          <w:strike w:val="0"/>
          <w:sz w:val="20"/>
          <w:highlight w:val="green"/>
        </w:rPr>
        <w:t>Keputusan Direktur Poltek SSN tentang penyelenggaraan SPMI di lingkungan Politeknik Siber dan Sandi Negara (Kebijakan Mutu, Manual Mutu, dll.);</w:t>
      </w:r>
    </w:p>
    <w:p>
      <w:pPr>
        <w:spacing w:before="0" w:after="80"/>
        <w:ind w:left="850"/>
      </w:pPr>
      <w:r>
        <w:rPr>
          <w:b w:val="0"/>
          <w:i/>
          <w:strike w:val="0"/>
          <w:color w:val="0044CC"/>
          <w:sz w:val="16"/>
        </w:rPr>
        <w:t>[*CATATAN*: Perincikan dengan menyebut jenis dokumen SPMI (Kebijakan Mutu, Manual Mutu). Isikan nomor SK dan tahun resmi.]</w:t>
      </w:r>
    </w:p>
    <w:p>
      <w:pPr>
        <w:spacing w:before="40" w:after="40"/>
        <w:ind w:left="425"/>
      </w:pPr>
      <w:r>
        <w:rPr>
          <w:b w:val="0"/>
          <w:i w:val="0"/>
          <w:strike w:val="0"/>
          <w:sz w:val="20"/>
          <w:highlight w:val="yellow"/>
        </w:rPr>
        <w:t>Keputusan Direktur/Surat Perintah tentang Pengangkatan Kepala Pusat Penjaminan Mutu dan Gugus Kendali Mutu sebagai pelaksana SPMI tingkat PT dan UPPS/PS;</w:t>
      </w:r>
    </w:p>
    <w:p>
      <w:pPr>
        <w:spacing w:before="0" w:after="80"/>
        <w:ind w:left="850"/>
      </w:pPr>
      <w:r>
        <w:rPr>
          <w:b w:val="0"/>
          <w:i/>
          <w:strike w:val="0"/>
          <w:color w:val="0044CC"/>
          <w:sz w:val="16"/>
        </w:rPr>
        <w:t>[*CATATAN*: Kebijakan pengangkatan GKM BARU ditambahkan. GKM adalah pelaksana SPMI tingkat UPPS yang harus disebutkan eksplisit.]</w:t>
      </w:r>
    </w:p>
    <w:p>
      <w:pPr>
        <w:spacing w:before="40" w:after="40"/>
        <w:ind w:left="425"/>
      </w:pPr>
      <w:r>
        <w:rPr>
          <w:b w:val="0"/>
          <w:i w:val="0"/>
          <w:strike/>
          <w:color w:val="CC0000"/>
          <w:sz w:val="18"/>
        </w:rPr>
        <w:t xml:space="preserve">SP auditor mutu internal di politeknik siber dan sandi negara; → </w:t>
      </w:r>
      <w:r>
        <w:rPr>
          <w:b w:val="0"/>
          <w:i w:val="0"/>
          <w:strike w:val="0"/>
          <w:sz w:val="20"/>
          <w:highlight w:val="green"/>
        </w:rPr>
        <w:t>Surat Perintah Direktur Poltek SSN tentang Pengangkatan Auditor Mutu Internal (terbitkan per siklus AMI);</w:t>
      </w:r>
    </w:p>
    <w:p>
      <w:pPr>
        <w:spacing w:before="0" w:after="80"/>
        <w:ind w:left="850"/>
      </w:pPr>
      <w:r>
        <w:rPr>
          <w:b w:val="0"/>
          <w:i/>
          <w:strike w:val="0"/>
          <w:color w:val="0044CC"/>
          <w:sz w:val="16"/>
        </w:rPr>
        <w:t>[*CATATAN*: Perbarui ke format resmi. Isikan nomor SP terakhir.]</w:t>
      </w:r>
    </w:p>
    <w:p>
      <w:pPr>
        <w:spacing w:before="40" w:after="40"/>
        <w:ind w:left="425"/>
      </w:pPr>
      <w:r>
        <w:rPr>
          <w:b w:val="0"/>
          <w:i w:val="0"/>
          <w:strike/>
          <w:color w:val="CC0000"/>
          <w:sz w:val="18"/>
        </w:rPr>
        <w:t xml:space="preserve">SP pelatihan dan sertifikasi auditor; → </w:t>
      </w:r>
      <w:r>
        <w:rPr>
          <w:b w:val="0"/>
          <w:i w:val="0"/>
          <w:strike w:val="0"/>
          <w:sz w:val="20"/>
          <w:highlight w:val="green"/>
        </w:rPr>
        <w:t>Surat Perintah/Keputusan Direktur tentang Pelatihan dan Sertifikasi Auditor Mutu Internal.</w:t>
      </w:r>
    </w:p>
    <w:p>
      <w:pPr>
        <w:spacing w:before="0" w:after="80"/>
        <w:ind w:left="850"/>
      </w:pPr>
      <w:r>
        <w:rPr>
          <w:b w:val="0"/>
          <w:i/>
          <w:strike w:val="0"/>
          <w:color w:val="0044CC"/>
          <w:sz w:val="16"/>
        </w:rPr>
        <w:t>[*CATATAN*: Perbarui ke format resmi. Isikan nomor SP/Kepdir terakhir.]</w:t>
      </w:r>
    </w:p>
    <w:p>
      <w:pPr>
        <w:spacing w:before="160" w:after="80"/>
        <w:ind w:left="0"/>
      </w:pPr>
      <w:r>
        <w:rPr>
          <w:b w:val="0"/>
          <w:i w:val="0"/>
          <w:strike w:val="0"/>
          <w:sz w:val="20"/>
        </w:rPr>
        <w:t>Berikut standar mutu dan indikator kinerja yang terkait dengan fungsi SPMI dengan SDM yang kompeten sebagai pelaksana di Politeknik Siber dan Sandi Negara:</w:t>
      </w:r>
    </w:p>
    <w:p>
      <w:pPr>
        <w:spacing w:after="80"/>
      </w:pPr>
      <w:r>
        <w:rPr>
          <w:b w:val="0"/>
          <w:i/>
          <w:strike w:val="0"/>
          <w:color w:val="0044CC"/>
          <w:sz w:val="16"/>
        </w:rPr>
        <w:t>[*CATATAN*: Tabel di bawah menggunakan PERSIS pernyataan standar dan indikator dari STANDAR MUTU LED RKS.xlsx Sheet "Indikator Mutu LED" baris 14–16 (C1 bagian B). Kolom Kriteria LAM Infokom dan PJ BARU ditambahkan (dari kolom B dan C Excel). Target dikonversi: 1→100%, 0.5→50%, 0.8→80%.]</w:t>
      </w:r>
    </w:p>
    <w:tbl>
      <w:tblPr>
        <w:tblStyle w:val="Table2"/>
        <w:tblW w:type="auto" w:w="0"/>
        <w:tblLook w:firstColumn="1" w:firstRow="1" w:lastColumn="0" w:lastRow="0" w:noHBand="0" w:noVBand="1" w:val="04A0"/>
      </w:tblPr>
      <w:tblGrid>
        <w:gridCol w:w="1314"/>
        <w:gridCol w:w="1314"/>
        <w:gridCol w:w="1314"/>
        <w:gridCol w:w="1314"/>
        <w:gridCol w:w="1314"/>
        <w:gridCol w:w="1314"/>
        <w:gridCol w:w="1314"/>
      </w:tblGrid>
      <w:tr>
        <w:tc>
          <w:tcPr>
            <w:tcW w:type="dxa" w:w="1314"/>
            <w:shd w:val="clear" w:color="auto" w:fill="375623"/>
          </w:tcPr>
          <w:p>
            <w:pPr>
              <w:jc w:val="center"/>
            </w:pPr>
            <w:r>
              <w:rPr>
                <w:b/>
                <w:color w:val="FFFFFF"/>
                <w:sz w:val="18"/>
              </w:rPr>
              <w:t>No</w:t>
            </w:r>
          </w:p>
        </w:tc>
        <w:tc>
          <w:tcPr>
            <w:tcW w:type="dxa" w:w="1314"/>
            <w:shd w:val="clear" w:color="auto" w:fill="375623"/>
          </w:tcPr>
          <w:p>
            <w:pPr>
              <w:jc w:val="center"/>
            </w:pPr>
            <w:r>
              <w:rPr>
                <w:b/>
                <w:color w:val="FFFFFF"/>
                <w:sz w:val="18"/>
              </w:rPr>
              <w:t>Kriteria LAM Infokom</w:t>
            </w:r>
          </w:p>
        </w:tc>
        <w:tc>
          <w:tcPr>
            <w:tcW w:type="dxa" w:w="1314"/>
            <w:shd w:val="clear" w:color="auto" w:fill="375623"/>
          </w:tcPr>
          <w:p>
            <w:pPr>
              <w:jc w:val="center"/>
            </w:pPr>
            <w:r>
              <w:rPr>
                <w:b/>
                <w:color w:val="FFFFFF"/>
                <w:sz w:val="18"/>
              </w:rPr>
              <w:t>Pernyataan Standar Mutu</w:t>
            </w:r>
          </w:p>
        </w:tc>
        <w:tc>
          <w:tcPr>
            <w:tcW w:type="dxa" w:w="1314"/>
            <w:shd w:val="clear" w:color="auto" w:fill="375623"/>
          </w:tcPr>
          <w:p>
            <w:pPr>
              <w:jc w:val="center"/>
            </w:pPr>
            <w:r>
              <w:rPr>
                <w:b/>
                <w:color w:val="FFFFFF"/>
                <w:sz w:val="18"/>
              </w:rPr>
              <w:t>Indikator</w:t>
            </w:r>
          </w:p>
        </w:tc>
        <w:tc>
          <w:tcPr>
            <w:tcW w:type="dxa" w:w="1314"/>
            <w:shd w:val="clear" w:color="auto" w:fill="375623"/>
          </w:tcPr>
          <w:p>
            <w:pPr>
              <w:jc w:val="center"/>
            </w:pPr>
            <w:r>
              <w:rPr>
                <w:b/>
                <w:color w:val="FFFFFF"/>
                <w:sz w:val="18"/>
              </w:rPr>
              <w:t>Target</w:t>
            </w:r>
          </w:p>
        </w:tc>
        <w:tc>
          <w:tcPr>
            <w:tcW w:type="dxa" w:w="1314"/>
            <w:shd w:val="clear" w:color="auto" w:fill="375623"/>
          </w:tcPr>
          <w:p>
            <w:pPr>
              <w:jc w:val="center"/>
            </w:pPr>
            <w:r>
              <w:rPr>
                <w:b/>
                <w:color w:val="FFFFFF"/>
                <w:sz w:val="18"/>
              </w:rPr>
              <w:t>PJ</w:t>
            </w:r>
          </w:p>
        </w:tc>
        <w:tc>
          <w:tcPr>
            <w:tcW w:type="dxa" w:w="1314"/>
            <w:shd w:val="clear" w:color="auto" w:fill="375623"/>
          </w:tcPr>
          <w:p>
            <w:pPr>
              <w:jc w:val="center"/>
            </w:pPr>
            <w:r>
              <w:rPr>
                <w:b/>
                <w:color w:val="FFFFFF"/>
                <w:sz w:val="18"/>
              </w:rPr>
              <w:t>Rujukan Standar</w:t>
            </w:r>
          </w:p>
        </w:tc>
      </w:tr>
      <w:tr>
        <w:tc>
          <w:tcPr>
            <w:tcW w:type="dxa" w:w="1314"/>
          </w:tcPr>
          <w:p>
            <w:pPr>
              <w:jc w:val="center"/>
            </w:pPr>
            <w:r>
              <w:rPr>
                <w:b w:val="0"/>
                <w:i w:val="0"/>
                <w:strike w:val="0"/>
                <w:sz w:val="18"/>
                <w:highlight w:val="green"/>
              </w:rPr>
              <w:t>1</w:t>
            </w:r>
          </w:p>
        </w:tc>
        <w:tc>
          <w:tcPr>
            <w:tcW w:type="dxa" w:w="1314"/>
          </w:tcPr>
          <w:p>
            <w:r>
              <w:rPr>
                <w:b w:val="0"/>
                <w:i w:val="0"/>
                <w:strike w:val="0"/>
                <w:sz w:val="18"/>
                <w:highlight w:val="green"/>
              </w:rPr>
              <w:t>Fungsi SPMI</w:t>
            </w:r>
          </w:p>
        </w:tc>
        <w:tc>
          <w:tcPr>
            <w:tcW w:type="dxa" w:w="1314"/>
          </w:tcPr>
          <w:p>
            <w:r>
              <w:rPr>
                <w:b w:val="0"/>
                <w:i w:val="0"/>
                <w:strike w:val="0"/>
                <w:sz w:val="18"/>
                <w:highlight w:val="green"/>
              </w:rPr>
              <w:t>Direktur menetapkan sistem manajemen penjaminan mutu internal</w:t>
            </w:r>
          </w:p>
        </w:tc>
        <w:tc>
          <w:tcPr>
            <w:tcW w:type="dxa" w:w="1314"/>
          </w:tcPr>
          <w:p>
            <w:r>
              <w:rPr>
                <w:b w:val="0"/>
                <w:i w:val="0"/>
                <w:strike w:val="0"/>
                <w:sz w:val="18"/>
                <w:highlight w:val="green"/>
              </w:rPr>
              <w:t>Persentase ketersediaan dokumen standar mutu internal</w:t>
            </w:r>
          </w:p>
        </w:tc>
        <w:tc>
          <w:tcPr>
            <w:tcW w:type="dxa" w:w="1314"/>
          </w:tcPr>
          <w:p>
            <w:r>
              <w:rPr>
                <w:b w:val="0"/>
                <w:i w:val="0"/>
                <w:strike w:val="0"/>
                <w:sz w:val="18"/>
                <w:highlight w:val="green"/>
              </w:rPr>
              <w:t>100%</w:t>
            </w:r>
          </w:p>
        </w:tc>
        <w:tc>
          <w:tcPr>
            <w:tcW w:type="dxa" w:w="1314"/>
          </w:tcPr>
          <w:p>
            <w:r>
              <w:rPr>
                <w:b w:val="0"/>
                <w:i w:val="0"/>
                <w:strike w:val="0"/>
                <w:sz w:val="18"/>
                <w:highlight w:val="green"/>
              </w:rPr>
              <w:t>Pus Jamut</w:t>
            </w:r>
          </w:p>
        </w:tc>
        <w:tc>
          <w:tcPr>
            <w:tcW w:type="dxa" w:w="1314"/>
          </w:tcPr>
          <w:p>
            <w:r>
              <w:rPr>
                <w:b w:val="0"/>
                <w:i w:val="0"/>
                <w:strike w:val="0"/>
                <w:sz w:val="18"/>
                <w:highlight w:val="green"/>
              </w:rPr>
              <w:t>Standar Penjaminan Mutu</w:t>
            </w:r>
          </w:p>
        </w:tc>
      </w:tr>
      <w:tr>
        <w:tc>
          <w:tcPr>
            <w:tcW w:type="dxa" w:w="1314"/>
          </w:tcPr>
          <w:p>
            <w:pPr>
              <w:jc w:val="center"/>
            </w:pPr>
            <w:r>
              <w:rPr>
                <w:b w:val="0"/>
                <w:i w:val="0"/>
                <w:strike w:val="0"/>
                <w:sz w:val="18"/>
              </w:rPr>
              <w:t>2</w:t>
            </w:r>
          </w:p>
        </w:tc>
        <w:tc>
          <w:tcPr>
            <w:tcW w:type="dxa" w:w="1314"/>
          </w:tcPr>
          <w:p>
            <w:r>
              <w:rPr>
                <w:b w:val="0"/>
                <w:i w:val="0"/>
                <w:strike w:val="0"/>
                <w:sz w:val="18"/>
              </w:rPr>
            </w:r>
          </w:p>
        </w:tc>
        <w:tc>
          <w:tcPr>
            <w:tcW w:type="dxa" w:w="1314"/>
          </w:tcPr>
          <w:p>
            <w:r>
              <w:rPr>
                <w:b w:val="0"/>
                <w:i w:val="0"/>
                <w:strike w:val="0"/>
                <w:sz w:val="18"/>
              </w:rPr>
            </w:r>
          </w:p>
        </w:tc>
        <w:tc>
          <w:tcPr>
            <w:tcW w:type="dxa" w:w="1314"/>
          </w:tcPr>
          <w:p>
            <w:r>
              <w:rPr>
                <w:b w:val="0"/>
                <w:i w:val="0"/>
                <w:strike w:val="0"/>
                <w:sz w:val="18"/>
              </w:rPr>
              <w:t>Persentase realisasi tindak lanjut hasil audit mutu internal sesuai dengan hasil RTM yang dilakukan unit kerja terkait sebagai auditee</w:t>
            </w:r>
          </w:p>
        </w:tc>
        <w:tc>
          <w:tcPr>
            <w:tcW w:type="dxa" w:w="1314"/>
          </w:tcPr>
          <w:p>
            <w:r>
              <w:rPr>
                <w:b w:val="0"/>
                <w:i w:val="0"/>
                <w:strike w:val="0"/>
                <w:sz w:val="18"/>
              </w:rPr>
              <w:t>50%</w:t>
            </w:r>
          </w:p>
        </w:tc>
        <w:tc>
          <w:tcPr>
            <w:tcW w:type="dxa" w:w="1314"/>
          </w:tcPr>
          <w:p>
            <w:r>
              <w:rPr>
                <w:b w:val="0"/>
                <w:i w:val="0"/>
                <w:strike w:val="0"/>
                <w:sz w:val="18"/>
              </w:rPr>
              <w:t>Pus Jamut</w:t>
            </w:r>
          </w:p>
        </w:tc>
        <w:tc>
          <w:tcPr>
            <w:tcW w:type="dxa" w:w="1314"/>
          </w:tcPr>
          <w:p>
            <w:r>
              <w:rPr>
                <w:b w:val="0"/>
                <w:i w:val="0"/>
                <w:strike w:val="0"/>
                <w:sz w:val="18"/>
              </w:rPr>
              <w:t>Standar Penjaminan Mutu</w:t>
            </w:r>
          </w:p>
        </w:tc>
      </w:tr>
      <w:tr>
        <w:tc>
          <w:tcPr>
            <w:tcW w:type="dxa" w:w="1314"/>
          </w:tcPr>
          <w:p>
            <w:pPr>
              <w:jc w:val="center"/>
            </w:pPr>
            <w:r>
              <w:rPr>
                <w:b w:val="0"/>
                <w:i w:val="0"/>
                <w:strike w:val="0"/>
                <w:sz w:val="18"/>
                <w:highlight w:val="green"/>
              </w:rPr>
              <w:t>3</w:t>
            </w:r>
          </w:p>
        </w:tc>
        <w:tc>
          <w:tcPr>
            <w:tcW w:type="dxa" w:w="1314"/>
          </w:tcPr>
          <w:p>
            <w:r>
              <w:rPr>
                <w:b w:val="0"/>
                <w:i w:val="0"/>
                <w:strike w:val="0"/>
                <w:sz w:val="18"/>
                <w:highlight w:val="green"/>
              </w:rPr>
              <w:t>Kompetensi SDM pelaksana SPMI</w:t>
            </w:r>
          </w:p>
        </w:tc>
        <w:tc>
          <w:tcPr>
            <w:tcW w:type="dxa" w:w="1314"/>
          </w:tcPr>
          <w:p>
            <w:r>
              <w:rPr>
                <w:b w:val="0"/>
                <w:i w:val="0"/>
                <w:strike w:val="0"/>
                <w:sz w:val="18"/>
                <w:highlight w:val="green"/>
              </w:rPr>
              <w:t>Direktur memastikan ketersediaan SDM pelaksana SPMI yang kompeten dan profesional</w:t>
            </w:r>
          </w:p>
        </w:tc>
        <w:tc>
          <w:tcPr>
            <w:tcW w:type="dxa" w:w="1314"/>
          </w:tcPr>
          <w:p>
            <w:r>
              <w:rPr>
                <w:b w:val="0"/>
                <w:i w:val="0"/>
                <w:strike w:val="0"/>
                <w:sz w:val="18"/>
                <w:highlight w:val="green"/>
              </w:rPr>
              <w:t>Persentase jumlah auditor mutu internal yang memiliki sertifikat pelatihan atau sertifikasi kompetensi sebagai auditor</w:t>
            </w:r>
          </w:p>
        </w:tc>
        <w:tc>
          <w:tcPr>
            <w:tcW w:type="dxa" w:w="1314"/>
          </w:tcPr>
          <w:p>
            <w:r>
              <w:rPr>
                <w:b w:val="0"/>
                <w:i w:val="0"/>
                <w:strike w:val="0"/>
                <w:sz w:val="18"/>
                <w:highlight w:val="green"/>
              </w:rPr>
              <w:t>80%</w:t>
            </w:r>
          </w:p>
        </w:tc>
        <w:tc>
          <w:tcPr>
            <w:tcW w:type="dxa" w:w="1314"/>
          </w:tcPr>
          <w:p>
            <w:r>
              <w:rPr>
                <w:b w:val="0"/>
                <w:i w:val="0"/>
                <w:strike w:val="0"/>
                <w:sz w:val="18"/>
                <w:highlight w:val="green"/>
              </w:rPr>
              <w:t>Pus Jamut</w:t>
            </w:r>
          </w:p>
        </w:tc>
        <w:tc>
          <w:tcPr>
            <w:tcW w:type="dxa" w:w="1314"/>
          </w:tcPr>
          <w:p>
            <w:r>
              <w:rPr>
                <w:b w:val="0"/>
                <w:i w:val="0"/>
                <w:strike w:val="0"/>
                <w:sz w:val="18"/>
                <w:highlight w:val="green"/>
              </w:rPr>
              <w:t>Standar Penjaminan Mutu</w:t>
            </w:r>
          </w:p>
        </w:tc>
      </w:tr>
    </w:tbl>
    <w:p>
      <w:pPr>
        <w:spacing w:after="160"/>
      </w:pPr>
      <w:r>
        <w:rPr>
          <w:b w:val="0"/>
          <w:i/>
          <w:strike w:val="0"/>
          <w:color w:val="0044CC"/>
          <w:sz w:val="16"/>
        </w:rPr>
        <w:t>[*CATATAN*: No.1 dan No.3 disorot hijau karena kolom Kriteria LAM Infokom dan PJ ditambahkan. Indikator No.2 (tindak lanjut AMI) diperbarui: template menyebut "audit mutu internal" sementara Excel menyebut teks lengkap "sesuai dengan hasil RTM yang dilakukan unit kerja terkait sebagai auditee" — digunakan teks persis dari Excel.]</w:t>
      </w:r>
    </w:p>
    <w:p>
      <w:pPr>
        <w:pStyle w:val="Heading4"/>
      </w:pPr>
      <w:r>
        <w:t>Ringkasan Perubahan C.1.1 [PENETAPAN] vs Template LED Prodi RKS 2025.docx</w:t>
      </w:r>
    </w:p>
    <w:tbl>
      <w:tblPr>
        <w:tblStyle w:val="Table2"/>
        <w:tblW w:type="auto" w:w="0"/>
        <w:tblLook w:firstColumn="1" w:firstRow="1" w:lastColumn="0" w:lastRow="0" w:noHBand="0" w:noVBand="1" w:val="04A0"/>
      </w:tblPr>
      <w:tblGrid>
        <w:gridCol w:w="1533"/>
        <w:gridCol w:w="1533"/>
        <w:gridCol w:w="1533"/>
        <w:gridCol w:w="1533"/>
        <w:gridCol w:w="1533"/>
        <w:gridCol w:w="1533"/>
      </w:tblGrid>
      <w:tr>
        <w:tc>
          <w:tcPr>
            <w:tcW w:type="dxa" w:w="1533"/>
            <w:shd w:val="clear" w:color="auto" w:fill="4F4F4F"/>
          </w:tcPr>
          <w:p>
            <w:pPr>
              <w:jc w:val="center"/>
            </w:pPr>
            <w:r>
              <w:rPr>
                <w:b/>
                <w:color w:val="FFFFFF"/>
                <w:sz w:val="18"/>
              </w:rPr>
              <w:t>No</w:t>
            </w:r>
          </w:p>
        </w:tc>
        <w:tc>
          <w:tcPr>
            <w:tcW w:type="dxa" w:w="1533"/>
            <w:shd w:val="clear" w:color="auto" w:fill="4F4F4F"/>
          </w:tcPr>
          <w:p>
            <w:pPr>
              <w:jc w:val="center"/>
            </w:pPr>
            <w:r>
              <w:rPr>
                <w:b/>
                <w:color w:val="FFFFFF"/>
                <w:sz w:val="18"/>
              </w:rPr>
              <w:t>Elemen</w:t>
            </w:r>
          </w:p>
        </w:tc>
        <w:tc>
          <w:tcPr>
            <w:tcW w:type="dxa" w:w="1533"/>
            <w:shd w:val="clear" w:color="auto" w:fill="4F4F4F"/>
          </w:tcPr>
          <w:p>
            <w:pPr>
              <w:jc w:val="center"/>
            </w:pPr>
            <w:r>
              <w:rPr>
                <w:b/>
                <w:color w:val="FFFFFF"/>
                <w:sz w:val="18"/>
              </w:rPr>
              <w:t>Template Lama</w:t>
            </w:r>
          </w:p>
        </w:tc>
        <w:tc>
          <w:tcPr>
            <w:tcW w:type="dxa" w:w="1533"/>
            <w:shd w:val="clear" w:color="auto" w:fill="4F4F4F"/>
          </w:tcPr>
          <w:p>
            <w:pPr>
              <w:jc w:val="center"/>
            </w:pPr>
            <w:r>
              <w:rPr>
                <w:b/>
                <w:color w:val="FFFFFF"/>
                <w:sz w:val="18"/>
              </w:rPr>
              <w:t>Update Baru</w:t>
            </w:r>
          </w:p>
        </w:tc>
        <w:tc>
          <w:tcPr>
            <w:tcW w:type="dxa" w:w="1533"/>
            <w:shd w:val="clear" w:color="auto" w:fill="4F4F4F"/>
          </w:tcPr>
          <w:p>
            <w:pPr>
              <w:jc w:val="center"/>
            </w:pPr>
            <w:r>
              <w:rPr>
                <w:b/>
                <w:color w:val="FFFFFF"/>
                <w:sz w:val="18"/>
              </w:rPr>
              <w:t>Hl</w:t>
            </w:r>
          </w:p>
        </w:tc>
        <w:tc>
          <w:tcPr>
            <w:tcW w:type="dxa" w:w="1533"/>
            <w:shd w:val="clear" w:color="auto" w:fill="4F4F4F"/>
          </w:tcPr>
          <w:p>
            <w:pPr>
              <w:jc w:val="center"/>
            </w:pPr>
            <w:r>
              <w:rPr>
                <w:b/>
                <w:color w:val="FFFFFF"/>
                <w:sz w:val="18"/>
              </w:rPr>
              <w:t>Sumber</w:t>
            </w:r>
          </w:p>
        </w:tc>
      </w:tr>
      <w:tr>
        <w:tc>
          <w:tcPr>
            <w:tcW w:type="dxa" w:w="1533"/>
          </w:tcPr>
          <w:p>
            <w:pPr>
              <w:jc w:val="center"/>
            </w:pPr>
            <w:r>
              <w:rPr>
                <w:b w:val="0"/>
                <w:i w:val="0"/>
                <w:strike w:val="0"/>
                <w:sz w:val="18"/>
              </w:rPr>
              <w:t>1</w:t>
            </w:r>
          </w:p>
        </w:tc>
        <w:tc>
          <w:tcPr>
            <w:tcW w:type="dxa" w:w="1533"/>
          </w:tcPr>
          <w:p>
            <w:r>
              <w:rPr>
                <w:b w:val="0"/>
                <w:i w:val="0"/>
                <w:strike w:val="0"/>
                <w:sz w:val="18"/>
              </w:rPr>
              <w:t>Target No.A.1 (SOP)</w:t>
            </w:r>
          </w:p>
        </w:tc>
        <w:tc>
          <w:tcPr>
            <w:tcW w:type="dxa" w:w="1533"/>
          </w:tcPr>
          <w:p>
            <w:r>
              <w:rPr>
                <w:b w:val="0"/>
                <w:i w:val="0"/>
                <w:strike w:val="0"/>
                <w:sz w:val="18"/>
              </w:rPr>
              <w:t>70%</w:t>
            </w:r>
          </w:p>
        </w:tc>
        <w:tc>
          <w:tcPr>
            <w:tcW w:type="dxa" w:w="1533"/>
          </w:tcPr>
          <w:p>
            <w:r>
              <w:rPr>
                <w:b w:val="0"/>
                <w:i w:val="0"/>
                <w:strike w:val="0"/>
                <w:sz w:val="18"/>
              </w:rPr>
              <w:t>≥ 70%</w:t>
            </w:r>
          </w:p>
        </w:tc>
        <w:tc>
          <w:tcPr>
            <w:tcW w:type="dxa" w:w="1533"/>
          </w:tcPr>
          <w:p>
            <w:r>
              <w:rPr>
                <w:b w:val="0"/>
                <w:i w:val="0"/>
                <w:strike w:val="0"/>
                <w:sz w:val="18"/>
              </w:rPr>
              <w:t>Hijau</w:t>
            </w:r>
          </w:p>
        </w:tc>
        <w:tc>
          <w:tcPr>
            <w:tcW w:type="dxa" w:w="1533"/>
          </w:tcPr>
          <w:p>
            <w:r>
              <w:rPr>
                <w:b w:val="0"/>
                <w:i w:val="0"/>
                <w:strike w:val="0"/>
                <w:sz w:val="18"/>
              </w:rPr>
              <w:t>Excel C1 baris 7 kolom G (=&gt; 70%)</w:t>
            </w:r>
          </w:p>
        </w:tc>
      </w:tr>
      <w:tr>
        <w:tc>
          <w:tcPr>
            <w:tcW w:type="dxa" w:w="1533"/>
          </w:tcPr>
          <w:p>
            <w:pPr>
              <w:jc w:val="center"/>
            </w:pPr>
            <w:r>
              <w:rPr>
                <w:b w:val="0"/>
                <w:i w:val="0"/>
                <w:strike w:val="0"/>
                <w:sz w:val="18"/>
              </w:rPr>
              <w:t>2</w:t>
            </w:r>
          </w:p>
        </w:tc>
        <w:tc>
          <w:tcPr>
            <w:tcW w:type="dxa" w:w="1533"/>
          </w:tcPr>
          <w:p>
            <w:r>
              <w:rPr>
                <w:b w:val="0"/>
                <w:i w:val="0"/>
                <w:strike w:val="0"/>
                <w:sz w:val="18"/>
              </w:rPr>
              <w:t>Kepdir Peta Proses Bisnis</w:t>
            </w:r>
          </w:p>
        </w:tc>
        <w:tc>
          <w:tcPr>
            <w:tcW w:type="dxa" w:w="1533"/>
          </w:tcPr>
          <w:p>
            <w:r>
              <w:rPr>
                <w:b w:val="0"/>
                <w:i w:val="0"/>
                <w:strike w:val="0"/>
                <w:sz w:val="18"/>
              </w:rPr>
              <w:t>...Peta Proses Bisnis;</w:t>
            </w:r>
          </w:p>
        </w:tc>
        <w:tc>
          <w:tcPr>
            <w:tcW w:type="dxa" w:w="1533"/>
          </w:tcPr>
          <w:p>
            <w:r>
              <w:rPr>
                <w:b w:val="0"/>
                <w:i w:val="0"/>
                <w:strike w:val="0"/>
                <w:sz w:val="18"/>
              </w:rPr>
              <w:t>...+ (SOP di probis.poltekssn.ac.id)</w:t>
            </w:r>
          </w:p>
        </w:tc>
        <w:tc>
          <w:tcPr>
            <w:tcW w:type="dxa" w:w="1533"/>
          </w:tcPr>
          <w:p>
            <w:r>
              <w:rPr>
                <w:b w:val="0"/>
                <w:i w:val="0"/>
                <w:strike w:val="0"/>
                <w:sz w:val="18"/>
              </w:rPr>
              <w:t>Hijau</w:t>
            </w:r>
          </w:p>
        </w:tc>
        <w:tc>
          <w:tcPr>
            <w:tcW w:type="dxa" w:w="1533"/>
          </w:tcPr>
          <w:p>
            <w:r>
              <w:rPr>
                <w:b w:val="0"/>
                <w:i w:val="0"/>
                <w:strike w:val="0"/>
                <w:sz w:val="18"/>
              </w:rPr>
              <w:t>Excel C1 baris 7 kolom J</w:t>
            </w:r>
          </w:p>
        </w:tc>
      </w:tr>
      <w:tr>
        <w:tc>
          <w:tcPr>
            <w:tcW w:type="dxa" w:w="1533"/>
          </w:tcPr>
          <w:p>
            <w:pPr>
              <w:jc w:val="center"/>
            </w:pPr>
            <w:r>
              <w:rPr>
                <w:b w:val="0"/>
                <w:i w:val="0"/>
                <w:strike w:val="0"/>
                <w:sz w:val="18"/>
              </w:rPr>
              <w:t>3</w:t>
            </w:r>
          </w:p>
        </w:tc>
        <w:tc>
          <w:tcPr>
            <w:tcW w:type="dxa" w:w="1533"/>
          </w:tcPr>
          <w:p>
            <w:r>
              <w:rPr>
                <w:b w:val="0"/>
                <w:i w:val="0"/>
                <w:strike w:val="0"/>
                <w:sz w:val="18"/>
              </w:rPr>
              <w:t>Standar biaya mahasiswa</w:t>
            </w:r>
          </w:p>
        </w:tc>
        <w:tc>
          <w:tcPr>
            <w:tcW w:type="dxa" w:w="1533"/>
          </w:tcPr>
          <w:p>
            <w:r>
              <w:rPr>
                <w:b w:val="0"/>
                <w:i w:val="0"/>
                <w:strike w:val="0"/>
                <w:sz w:val="18"/>
              </w:rPr>
              <w:t>Generik: "Penetapan Standar Biaya..."</w:t>
            </w:r>
          </w:p>
        </w:tc>
        <w:tc>
          <w:tcPr>
            <w:tcW w:type="dxa" w:w="1533"/>
          </w:tcPr>
          <w:p>
            <w:r>
              <w:rPr>
                <w:b w:val="0"/>
                <w:i w:val="0"/>
                <w:strike w:val="0"/>
                <w:sz w:val="18"/>
              </w:rPr>
              <w:t>Format SK resmi [No SK] [Tahun]</w:t>
            </w:r>
          </w:p>
        </w:tc>
        <w:tc>
          <w:tcPr>
            <w:tcW w:type="dxa" w:w="1533"/>
          </w:tcPr>
          <w:p>
            <w:r>
              <w:rPr>
                <w:b w:val="0"/>
                <w:i w:val="0"/>
                <w:strike w:val="0"/>
                <w:sz w:val="18"/>
              </w:rPr>
              <w:t>Hijau</w:t>
            </w:r>
          </w:p>
        </w:tc>
        <w:tc>
          <w:tcPr>
            <w:tcW w:type="dxa" w:w="1533"/>
          </w:tcPr>
          <w:p>
            <w:r>
              <w:rPr>
                <w:b w:val="0"/>
                <w:i w:val="0"/>
                <w:strike w:val="0"/>
                <w:sz w:val="18"/>
              </w:rPr>
              <w:t>Koreksi format</w:t>
            </w:r>
          </w:p>
        </w:tc>
      </w:tr>
      <w:tr>
        <w:tc>
          <w:tcPr>
            <w:tcW w:type="dxa" w:w="1533"/>
          </w:tcPr>
          <w:p>
            <w:pPr>
              <w:jc w:val="center"/>
            </w:pPr>
            <w:r>
              <w:rPr>
                <w:b w:val="0"/>
                <w:i w:val="0"/>
                <w:strike w:val="0"/>
                <w:sz w:val="18"/>
              </w:rPr>
              <w:t>4</w:t>
            </w:r>
          </w:p>
        </w:tc>
        <w:tc>
          <w:tcPr>
            <w:tcW w:type="dxa" w:w="1533"/>
          </w:tcPr>
          <w:p>
            <w:r>
              <w:rPr>
                <w:b w:val="0"/>
                <w:i w:val="0"/>
                <w:strike w:val="0"/>
                <w:sz w:val="18"/>
              </w:rPr>
              <w:t>Kepdir Kalender Pendidikan</w:t>
            </w:r>
          </w:p>
        </w:tc>
        <w:tc>
          <w:tcPr>
            <w:tcW w:type="dxa" w:w="1533"/>
          </w:tcPr>
          <w:p>
            <w:r>
              <w:rPr>
                <w:b w:val="0"/>
                <w:i w:val="0"/>
                <w:strike w:val="0"/>
                <w:sz w:val="18"/>
              </w:rPr>
              <w:t>Generik: "Kepdir Kalender pendidikan"</w:t>
            </w:r>
          </w:p>
        </w:tc>
        <w:tc>
          <w:tcPr>
            <w:tcW w:type="dxa" w:w="1533"/>
          </w:tcPr>
          <w:p>
            <w:r>
              <w:rPr>
                <w:b w:val="0"/>
                <w:i w:val="0"/>
                <w:strike w:val="0"/>
                <w:sz w:val="18"/>
              </w:rPr>
              <w:t>Format SK resmi + TA</w:t>
            </w:r>
          </w:p>
        </w:tc>
        <w:tc>
          <w:tcPr>
            <w:tcW w:type="dxa" w:w="1533"/>
          </w:tcPr>
          <w:p>
            <w:r>
              <w:rPr>
                <w:b w:val="0"/>
                <w:i w:val="0"/>
                <w:strike w:val="0"/>
                <w:sz w:val="18"/>
              </w:rPr>
              <w:t>Hijau</w:t>
            </w:r>
          </w:p>
        </w:tc>
        <w:tc>
          <w:tcPr>
            <w:tcW w:type="dxa" w:w="1533"/>
          </w:tcPr>
          <w:p>
            <w:r>
              <w:rPr>
                <w:b w:val="0"/>
                <w:i w:val="0"/>
                <w:strike w:val="0"/>
                <w:sz w:val="18"/>
              </w:rPr>
              <w:t>Koreksi format</w:t>
            </w:r>
          </w:p>
        </w:tc>
      </w:tr>
      <w:tr>
        <w:tc>
          <w:tcPr>
            <w:tcW w:type="dxa" w:w="1533"/>
          </w:tcPr>
          <w:p>
            <w:pPr>
              <w:jc w:val="center"/>
            </w:pPr>
            <w:r>
              <w:rPr>
                <w:b w:val="0"/>
                <w:i w:val="0"/>
                <w:strike w:val="0"/>
                <w:sz w:val="18"/>
              </w:rPr>
              <w:t>5</w:t>
            </w:r>
          </w:p>
        </w:tc>
        <w:tc>
          <w:tcPr>
            <w:tcW w:type="dxa" w:w="1533"/>
          </w:tcPr>
          <w:p>
            <w:r>
              <w:rPr>
                <w:b w:val="0"/>
                <w:i w:val="0"/>
                <w:strike w:val="0"/>
                <w:sz w:val="18"/>
              </w:rPr>
              <w:t>SP penetapan dosen/tendik</w:t>
            </w:r>
          </w:p>
        </w:tc>
        <w:tc>
          <w:tcPr>
            <w:tcW w:type="dxa" w:w="1533"/>
          </w:tcPr>
          <w:p>
            <w:r>
              <w:rPr>
                <w:b w:val="0"/>
                <w:i w:val="0"/>
                <w:strike w:val="0"/>
                <w:sz w:val="18"/>
              </w:rPr>
              <w:t>Generik: "Kepdir/SP penetapan dosen..."</w:t>
            </w:r>
          </w:p>
        </w:tc>
        <w:tc>
          <w:tcPr>
            <w:tcW w:type="dxa" w:w="1533"/>
          </w:tcPr>
          <w:p>
            <w:r>
              <w:rPr>
                <w:b w:val="0"/>
                <w:i w:val="0"/>
                <w:strike w:val="0"/>
                <w:sz w:val="18"/>
              </w:rPr>
              <w:t>Format SK/SP resmi [No SP] [Tahun]</w:t>
            </w:r>
          </w:p>
        </w:tc>
        <w:tc>
          <w:tcPr>
            <w:tcW w:type="dxa" w:w="1533"/>
          </w:tcPr>
          <w:p>
            <w:r>
              <w:rPr>
                <w:b w:val="0"/>
                <w:i w:val="0"/>
                <w:strike w:val="0"/>
                <w:sz w:val="18"/>
              </w:rPr>
              <w:t>Hijau</w:t>
            </w:r>
          </w:p>
        </w:tc>
        <w:tc>
          <w:tcPr>
            <w:tcW w:type="dxa" w:w="1533"/>
          </w:tcPr>
          <w:p>
            <w:r>
              <w:rPr>
                <w:b w:val="0"/>
                <w:i w:val="0"/>
                <w:strike w:val="0"/>
                <w:sz w:val="18"/>
              </w:rPr>
              <w:t>Koreksi format</w:t>
            </w:r>
          </w:p>
        </w:tc>
      </w:tr>
      <w:tr>
        <w:tc>
          <w:tcPr>
            <w:tcW w:type="dxa" w:w="1533"/>
          </w:tcPr>
          <w:p>
            <w:pPr>
              <w:jc w:val="center"/>
            </w:pPr>
            <w:r>
              <w:rPr>
                <w:b w:val="0"/>
                <w:i w:val="0"/>
                <w:strike w:val="0"/>
                <w:sz w:val="18"/>
              </w:rPr>
              <w:t>6</w:t>
            </w:r>
          </w:p>
        </w:tc>
        <w:tc>
          <w:tcPr>
            <w:tcW w:type="dxa" w:w="1533"/>
          </w:tcPr>
          <w:p>
            <w:r>
              <w:rPr>
                <w:b w:val="0"/>
                <w:i w:val="0"/>
                <w:strike w:val="0"/>
                <w:sz w:val="18"/>
              </w:rPr>
              <w:t>Permendiktisaintek 39/2025</w:t>
            </w:r>
          </w:p>
        </w:tc>
        <w:tc>
          <w:tcPr>
            <w:tcW w:type="dxa" w:w="1533"/>
          </w:tcPr>
          <w:p>
            <w:r>
              <w:rPr>
                <w:b w:val="0"/>
                <w:i w:val="0"/>
                <w:strike w:val="0"/>
                <w:sz w:val="18"/>
              </w:rPr>
              <w:t>Tidak ada</w:t>
            </w:r>
          </w:p>
        </w:tc>
        <w:tc>
          <w:tcPr>
            <w:tcW w:type="dxa" w:w="1533"/>
          </w:tcPr>
          <w:p>
            <w:r>
              <w:rPr>
                <w:b w:val="0"/>
                <w:i w:val="0"/>
                <w:strike w:val="0"/>
                <w:sz w:val="18"/>
              </w:rPr>
              <w:t>Ditambahkan</w:t>
            </w:r>
          </w:p>
        </w:tc>
        <w:tc>
          <w:tcPr>
            <w:tcW w:type="dxa" w:w="1533"/>
          </w:tcPr>
          <w:p>
            <w:r>
              <w:rPr>
                <w:b w:val="0"/>
                <w:i w:val="0"/>
                <w:strike w:val="0"/>
                <w:sz w:val="18"/>
              </w:rPr>
              <w:t>Kuning</w:t>
            </w:r>
          </w:p>
        </w:tc>
        <w:tc>
          <w:tcPr>
            <w:tcW w:type="dxa" w:w="1533"/>
          </w:tcPr>
          <w:p>
            <w:r>
              <w:rPr>
                <w:b w:val="0"/>
                <w:i w:val="0"/>
                <w:strike w:val="0"/>
                <w:sz w:val="18"/>
              </w:rPr>
              <w:t>Regulasi SN-DIKTI terbaru 2025</w:t>
            </w:r>
          </w:p>
        </w:tc>
      </w:tr>
      <w:tr>
        <w:tc>
          <w:tcPr>
            <w:tcW w:type="dxa" w:w="1533"/>
          </w:tcPr>
          <w:p>
            <w:pPr>
              <w:jc w:val="center"/>
            </w:pPr>
            <w:r>
              <w:rPr>
                <w:b w:val="0"/>
                <w:i w:val="0"/>
                <w:strike w:val="0"/>
                <w:sz w:val="18"/>
              </w:rPr>
              <w:t>7</w:t>
            </w:r>
          </w:p>
        </w:tc>
        <w:tc>
          <w:tcPr>
            <w:tcW w:type="dxa" w:w="1533"/>
          </w:tcPr>
          <w:p>
            <w:r>
              <w:rPr>
                <w:b w:val="0"/>
                <w:i w:val="0"/>
                <w:strike w:val="0"/>
                <w:sz w:val="18"/>
              </w:rPr>
              <w:t>Kepdir Standar Mutu 2025</w:t>
            </w:r>
          </w:p>
        </w:tc>
        <w:tc>
          <w:tcPr>
            <w:tcW w:type="dxa" w:w="1533"/>
          </w:tcPr>
          <w:p>
            <w:r>
              <w:rPr>
                <w:b w:val="0"/>
                <w:i w:val="0"/>
                <w:strike w:val="0"/>
                <w:sz w:val="18"/>
              </w:rPr>
              <w:t>Kepdir 20.1 Tahun 2022</w:t>
            </w:r>
          </w:p>
        </w:tc>
        <w:tc>
          <w:tcPr>
            <w:tcW w:type="dxa" w:w="1533"/>
          </w:tcPr>
          <w:p>
            <w:r>
              <w:rPr>
                <w:b w:val="0"/>
                <w:i w:val="0"/>
                <w:strike w:val="0"/>
                <w:sz w:val="18"/>
              </w:rPr>
              <w:t>Kepdir [No SK] Tahun 2025</w:t>
            </w:r>
          </w:p>
        </w:tc>
        <w:tc>
          <w:tcPr>
            <w:tcW w:type="dxa" w:w="1533"/>
          </w:tcPr>
          <w:p>
            <w:r>
              <w:rPr>
                <w:b w:val="0"/>
                <w:i w:val="0"/>
                <w:strike w:val="0"/>
                <w:sz w:val="18"/>
              </w:rPr>
              <w:t>Hijau</w:t>
            </w:r>
          </w:p>
        </w:tc>
        <w:tc>
          <w:tcPr>
            <w:tcW w:type="dxa" w:w="1533"/>
          </w:tcPr>
          <w:p>
            <w:r>
              <w:rPr>
                <w:b w:val="0"/>
                <w:i w:val="0"/>
                <w:strike w:val="0"/>
                <w:sz w:val="18"/>
              </w:rPr>
              <w:t>Update standar mutu ke 2025</w:t>
            </w:r>
          </w:p>
        </w:tc>
      </w:tr>
      <w:tr>
        <w:tc>
          <w:tcPr>
            <w:tcW w:type="dxa" w:w="1533"/>
          </w:tcPr>
          <w:p>
            <w:pPr>
              <w:jc w:val="center"/>
            </w:pPr>
            <w:r>
              <w:rPr>
                <w:b w:val="0"/>
                <w:i w:val="0"/>
                <w:strike w:val="0"/>
                <w:sz w:val="18"/>
              </w:rPr>
              <w:t>8</w:t>
            </w:r>
          </w:p>
        </w:tc>
        <w:tc>
          <w:tcPr>
            <w:tcW w:type="dxa" w:w="1533"/>
          </w:tcPr>
          <w:p>
            <w:r>
              <w:rPr>
                <w:b w:val="0"/>
                <w:i w:val="0"/>
                <w:strike w:val="0"/>
                <w:sz w:val="18"/>
              </w:rPr>
              <w:t>Permen 53/2023 (Penjaminan Mutu)</w:t>
            </w:r>
          </w:p>
        </w:tc>
        <w:tc>
          <w:tcPr>
            <w:tcW w:type="dxa" w:w="1533"/>
          </w:tcPr>
          <w:p>
            <w:r>
              <w:rPr>
                <w:b w:val="0"/>
                <w:i w:val="0"/>
                <w:strike w:val="0"/>
                <w:sz w:val="18"/>
              </w:rPr>
              <w:t>Tidak ada</w:t>
            </w:r>
          </w:p>
        </w:tc>
        <w:tc>
          <w:tcPr>
            <w:tcW w:type="dxa" w:w="1533"/>
          </w:tcPr>
          <w:p>
            <w:r>
              <w:rPr>
                <w:b w:val="0"/>
                <w:i w:val="0"/>
                <w:strike w:val="0"/>
                <w:sz w:val="18"/>
              </w:rPr>
              <w:t>Ditambahkan</w:t>
            </w:r>
          </w:p>
        </w:tc>
        <w:tc>
          <w:tcPr>
            <w:tcW w:type="dxa" w:w="1533"/>
          </w:tcPr>
          <w:p>
            <w:r>
              <w:rPr>
                <w:b w:val="0"/>
                <w:i w:val="0"/>
                <w:strike w:val="0"/>
                <w:sz w:val="18"/>
              </w:rPr>
              <w:t>Kuning</w:t>
            </w:r>
          </w:p>
        </w:tc>
        <w:tc>
          <w:tcPr>
            <w:tcW w:type="dxa" w:w="1533"/>
          </w:tcPr>
          <w:p>
            <w:r>
              <w:rPr>
                <w:b w:val="0"/>
                <w:i w:val="0"/>
                <w:strike w:val="0"/>
                <w:sz w:val="18"/>
              </w:rPr>
              <w:t>Dasar hukum SPMI</w:t>
            </w:r>
          </w:p>
        </w:tc>
      </w:tr>
      <w:tr>
        <w:tc>
          <w:tcPr>
            <w:tcW w:type="dxa" w:w="1533"/>
          </w:tcPr>
          <w:p>
            <w:pPr>
              <w:jc w:val="center"/>
            </w:pPr>
            <w:r>
              <w:rPr>
                <w:b w:val="0"/>
                <w:i w:val="0"/>
                <w:strike w:val="0"/>
                <w:sz w:val="18"/>
              </w:rPr>
              <w:t>9</w:t>
            </w:r>
          </w:p>
        </w:tc>
        <w:tc>
          <w:tcPr>
            <w:tcW w:type="dxa" w:w="1533"/>
          </w:tcPr>
          <w:p>
            <w:r>
              <w:rPr>
                <w:b w:val="0"/>
                <w:i w:val="0"/>
                <w:strike w:val="0"/>
                <w:sz w:val="18"/>
              </w:rPr>
              <w:t>Kepdir Pengangkatan GKM</w:t>
            </w:r>
          </w:p>
        </w:tc>
        <w:tc>
          <w:tcPr>
            <w:tcW w:type="dxa" w:w="1533"/>
          </w:tcPr>
          <w:p>
            <w:r>
              <w:rPr>
                <w:b w:val="0"/>
                <w:i w:val="0"/>
                <w:strike w:val="0"/>
                <w:sz w:val="18"/>
              </w:rPr>
              <w:t>Tidak ada</w:t>
            </w:r>
          </w:p>
        </w:tc>
        <w:tc>
          <w:tcPr>
            <w:tcW w:type="dxa" w:w="1533"/>
          </w:tcPr>
          <w:p>
            <w:r>
              <w:rPr>
                <w:b w:val="0"/>
                <w:i w:val="0"/>
                <w:strike w:val="0"/>
                <w:sz w:val="18"/>
              </w:rPr>
              <w:t>Ditambahkan</w:t>
            </w:r>
          </w:p>
        </w:tc>
        <w:tc>
          <w:tcPr>
            <w:tcW w:type="dxa" w:w="1533"/>
          </w:tcPr>
          <w:p>
            <w:r>
              <w:rPr>
                <w:b w:val="0"/>
                <w:i w:val="0"/>
                <w:strike w:val="0"/>
                <w:sz w:val="18"/>
              </w:rPr>
              <w:t>Kuning</w:t>
            </w:r>
          </w:p>
        </w:tc>
        <w:tc>
          <w:tcPr>
            <w:tcW w:type="dxa" w:w="1533"/>
          </w:tcPr>
          <w:p>
            <w:r>
              <w:rPr>
                <w:b w:val="0"/>
                <w:i w:val="0"/>
                <w:strike w:val="0"/>
                <w:sz w:val="18"/>
              </w:rPr>
              <w:t>GKM: pelaksana SPMI tingkat UPPS/PS</w:t>
            </w:r>
          </w:p>
        </w:tc>
      </w:tr>
      <w:tr>
        <w:tc>
          <w:tcPr>
            <w:tcW w:type="dxa" w:w="1533"/>
          </w:tcPr>
          <w:p>
            <w:pPr>
              <w:jc w:val="center"/>
            </w:pPr>
            <w:r>
              <w:rPr>
                <w:b w:val="0"/>
                <w:i w:val="0"/>
                <w:strike w:val="0"/>
                <w:sz w:val="18"/>
              </w:rPr>
              <w:t>10</w:t>
            </w:r>
          </w:p>
        </w:tc>
        <w:tc>
          <w:tcPr>
            <w:tcW w:type="dxa" w:w="1533"/>
          </w:tcPr>
          <w:p>
            <w:r>
              <w:rPr>
                <w:b w:val="0"/>
                <w:i w:val="0"/>
                <w:strike w:val="0"/>
                <w:sz w:val="18"/>
              </w:rPr>
              <w:t>Kolom Kriteria LAM Infokom</w:t>
            </w:r>
          </w:p>
        </w:tc>
        <w:tc>
          <w:tcPr>
            <w:tcW w:type="dxa" w:w="1533"/>
          </w:tcPr>
          <w:p>
            <w:r>
              <w:rPr>
                <w:b w:val="0"/>
                <w:i w:val="0"/>
                <w:strike w:val="0"/>
                <w:sz w:val="18"/>
              </w:rPr>
              <w:t>Tidak ada di tabel</w:t>
            </w:r>
          </w:p>
        </w:tc>
        <w:tc>
          <w:tcPr>
            <w:tcW w:type="dxa" w:w="1533"/>
          </w:tcPr>
          <w:p>
            <w:r>
              <w:rPr>
                <w:b w:val="0"/>
                <w:i w:val="0"/>
                <w:strike w:val="0"/>
                <w:sz w:val="18"/>
              </w:rPr>
              <w:t>Ditambahkan di tabel A &amp; B</w:t>
            </w:r>
          </w:p>
        </w:tc>
        <w:tc>
          <w:tcPr>
            <w:tcW w:type="dxa" w:w="1533"/>
          </w:tcPr>
          <w:p>
            <w:r>
              <w:rPr>
                <w:b w:val="0"/>
                <w:i w:val="0"/>
                <w:strike w:val="0"/>
                <w:sz w:val="18"/>
              </w:rPr>
              <w:t>Kuning</w:t>
            </w:r>
          </w:p>
        </w:tc>
        <w:tc>
          <w:tcPr>
            <w:tcW w:type="dxa" w:w="1533"/>
          </w:tcPr>
          <w:p>
            <w:r>
              <w:rPr>
                <w:b w:val="0"/>
                <w:i w:val="0"/>
                <w:strike w:val="0"/>
                <w:sz w:val="18"/>
              </w:rPr>
              <w:t>Excel C1 kolom B</w:t>
            </w:r>
          </w:p>
        </w:tc>
      </w:tr>
      <w:tr>
        <w:tc>
          <w:tcPr>
            <w:tcW w:type="dxa" w:w="1533"/>
          </w:tcPr>
          <w:p>
            <w:pPr>
              <w:jc w:val="center"/>
            </w:pPr>
            <w:r>
              <w:rPr>
                <w:b w:val="0"/>
                <w:i w:val="0"/>
                <w:strike w:val="0"/>
                <w:sz w:val="18"/>
              </w:rPr>
              <w:t>11</w:t>
            </w:r>
          </w:p>
        </w:tc>
        <w:tc>
          <w:tcPr>
            <w:tcW w:type="dxa" w:w="1533"/>
          </w:tcPr>
          <w:p>
            <w:r>
              <w:rPr>
                <w:b w:val="0"/>
                <w:i w:val="0"/>
                <w:strike w:val="0"/>
                <w:sz w:val="18"/>
              </w:rPr>
              <w:t>Kolom PJ</w:t>
            </w:r>
          </w:p>
        </w:tc>
        <w:tc>
          <w:tcPr>
            <w:tcW w:type="dxa" w:w="1533"/>
          </w:tcPr>
          <w:p>
            <w:r>
              <w:rPr>
                <w:b w:val="0"/>
                <w:i w:val="0"/>
                <w:strike w:val="0"/>
                <w:sz w:val="18"/>
              </w:rPr>
              <w:t>Tidak ada di tabel</w:t>
            </w:r>
          </w:p>
        </w:tc>
        <w:tc>
          <w:tcPr>
            <w:tcW w:type="dxa" w:w="1533"/>
          </w:tcPr>
          <w:p>
            <w:r>
              <w:rPr>
                <w:b w:val="0"/>
                <w:i w:val="0"/>
                <w:strike w:val="0"/>
                <w:sz w:val="18"/>
              </w:rPr>
              <w:t>Ditambahkan di tabel A &amp; B</w:t>
            </w:r>
          </w:p>
        </w:tc>
        <w:tc>
          <w:tcPr>
            <w:tcW w:type="dxa" w:w="1533"/>
          </w:tcPr>
          <w:p>
            <w:r>
              <w:rPr>
                <w:b w:val="0"/>
                <w:i w:val="0"/>
                <w:strike w:val="0"/>
                <w:sz w:val="18"/>
              </w:rPr>
              <w:t>Kuning</w:t>
            </w:r>
          </w:p>
        </w:tc>
        <w:tc>
          <w:tcPr>
            <w:tcW w:type="dxa" w:w="1533"/>
          </w:tcPr>
          <w:p>
            <w:r>
              <w:rPr>
                <w:b w:val="0"/>
                <w:i w:val="0"/>
                <w:strike w:val="0"/>
                <w:sz w:val="18"/>
              </w:rPr>
              <w:t>Excel C1 kolom C</w:t>
            </w:r>
          </w:p>
        </w:tc>
      </w:tr>
      <w:tr>
        <w:tc>
          <w:tcPr>
            <w:tcW w:type="dxa" w:w="1533"/>
          </w:tcPr>
          <w:p>
            <w:pPr>
              <w:jc w:val="center"/>
            </w:pPr>
            <w:r>
              <w:rPr>
                <w:b w:val="0"/>
                <w:i w:val="0"/>
                <w:strike w:val="0"/>
                <w:sz w:val="18"/>
              </w:rPr>
              <w:t>12</w:t>
            </w:r>
          </w:p>
        </w:tc>
        <w:tc>
          <w:tcPr>
            <w:tcW w:type="dxa" w:w="1533"/>
          </w:tcPr>
          <w:p>
            <w:r>
              <w:rPr>
                <w:b w:val="0"/>
                <w:i w:val="0"/>
                <w:strike w:val="0"/>
                <w:sz w:val="18"/>
              </w:rPr>
              <w:t>Kolom Rujukan Standar</w:t>
            </w:r>
          </w:p>
        </w:tc>
        <w:tc>
          <w:tcPr>
            <w:tcW w:type="dxa" w:w="1533"/>
          </w:tcPr>
          <w:p>
            <w:r>
              <w:rPr>
                <w:b w:val="0"/>
                <w:i w:val="0"/>
                <w:strike w:val="0"/>
                <w:sz w:val="18"/>
              </w:rPr>
              <w:t>Tidak ada di tabel</w:t>
            </w:r>
          </w:p>
        </w:tc>
        <w:tc>
          <w:tcPr>
            <w:tcW w:type="dxa" w:w="1533"/>
          </w:tcPr>
          <w:p>
            <w:r>
              <w:rPr>
                <w:b w:val="0"/>
                <w:i w:val="0"/>
                <w:strike w:val="0"/>
                <w:sz w:val="18"/>
              </w:rPr>
              <w:t>Ditambahkan di tabel A &amp; B</w:t>
            </w:r>
          </w:p>
        </w:tc>
        <w:tc>
          <w:tcPr>
            <w:tcW w:type="dxa" w:w="1533"/>
          </w:tcPr>
          <w:p>
            <w:r>
              <w:rPr>
                <w:b w:val="0"/>
                <w:i w:val="0"/>
                <w:strike w:val="0"/>
                <w:sz w:val="18"/>
              </w:rPr>
              <w:t>Kuning</w:t>
            </w:r>
          </w:p>
        </w:tc>
        <w:tc>
          <w:tcPr>
            <w:tcW w:type="dxa" w:w="1533"/>
          </w:tcPr>
          <w:p>
            <w:r>
              <w:rPr>
                <w:b w:val="0"/>
                <w:i w:val="0"/>
                <w:strike w:val="0"/>
                <w:sz w:val="18"/>
              </w:rPr>
              <w:t>Excel C1 kolom H</w:t>
            </w:r>
          </w:p>
        </w:tc>
      </w:tr>
      <w:tr>
        <w:tc>
          <w:tcPr>
            <w:tcW w:type="dxa" w:w="1533"/>
          </w:tcPr>
          <w:p>
            <w:pPr>
              <w:jc w:val="center"/>
            </w:pPr>
            <w:r>
              <w:rPr>
                <w:b w:val="0"/>
                <w:i w:val="0"/>
                <w:strike w:val="0"/>
                <w:sz w:val="18"/>
              </w:rPr>
              <w:t>13</w:t>
            </w:r>
          </w:p>
        </w:tc>
        <w:tc>
          <w:tcPr>
            <w:tcW w:type="dxa" w:w="1533"/>
          </w:tcPr>
          <w:p>
            <w:r>
              <w:rPr>
                <w:b w:val="0"/>
                <w:i w:val="0"/>
                <w:strike w:val="0"/>
                <w:sz w:val="18"/>
              </w:rPr>
              <w:t>Kolom Bukti Dukung (tbl A)</w:t>
            </w:r>
          </w:p>
        </w:tc>
        <w:tc>
          <w:tcPr>
            <w:tcW w:type="dxa" w:w="1533"/>
          </w:tcPr>
          <w:p>
            <w:r>
              <w:rPr>
                <w:b w:val="0"/>
                <w:i w:val="0"/>
                <w:strike w:val="0"/>
                <w:sz w:val="18"/>
              </w:rPr>
              <w:t>Tidak ada di tabel</w:t>
            </w:r>
          </w:p>
        </w:tc>
        <w:tc>
          <w:tcPr>
            <w:tcW w:type="dxa" w:w="1533"/>
          </w:tcPr>
          <w:p>
            <w:r>
              <w:rPr>
                <w:b w:val="0"/>
                <w:i w:val="0"/>
                <w:strike w:val="0"/>
                <w:sz w:val="18"/>
              </w:rPr>
              <w:t>Ditambahkan di tabel A</w:t>
            </w:r>
          </w:p>
        </w:tc>
        <w:tc>
          <w:tcPr>
            <w:tcW w:type="dxa" w:w="1533"/>
          </w:tcPr>
          <w:p>
            <w:r>
              <w:rPr>
                <w:b w:val="0"/>
                <w:i w:val="0"/>
                <w:strike w:val="0"/>
                <w:sz w:val="18"/>
              </w:rPr>
              <w:t>Kuning</w:t>
            </w:r>
          </w:p>
        </w:tc>
        <w:tc>
          <w:tcPr>
            <w:tcW w:type="dxa" w:w="1533"/>
          </w:tcPr>
          <w:p>
            <w:r>
              <w:rPr>
                <w:b w:val="0"/>
                <w:i w:val="0"/>
                <w:strike w:val="0"/>
                <w:sz w:val="18"/>
              </w:rPr>
              <w:t>Excel C1 kolom J</w:t>
            </w:r>
          </w:p>
        </w:tc>
      </w:tr>
      <w:tr>
        <w:tc>
          <w:tcPr>
            <w:tcW w:type="dxa" w:w="1533"/>
          </w:tcPr>
          <w:p>
            <w:pPr>
              <w:jc w:val="center"/>
            </w:pPr>
            <w:r>
              <w:rPr>
                <w:b w:val="0"/>
                <w:i w:val="0"/>
                <w:strike w:val="0"/>
                <w:sz w:val="18"/>
              </w:rPr>
              <w:t>14</w:t>
            </w:r>
          </w:p>
        </w:tc>
        <w:tc>
          <w:tcPr>
            <w:tcW w:type="dxa" w:w="1533"/>
          </w:tcPr>
          <w:p>
            <w:r>
              <w:rPr>
                <w:b w:val="0"/>
                <w:i w:val="0"/>
                <w:strike w:val="0"/>
                <w:sz w:val="18"/>
              </w:rPr>
              <w:t>Teks indikator No.B.2</w:t>
            </w:r>
          </w:p>
        </w:tc>
        <w:tc>
          <w:tcPr>
            <w:tcW w:type="dxa" w:w="1533"/>
          </w:tcPr>
          <w:p>
            <w:r>
              <w:rPr>
                <w:b w:val="0"/>
                <w:i w:val="0"/>
                <w:strike w:val="0"/>
                <w:sz w:val="18"/>
              </w:rPr>
              <w:t>...hasil AMI sesuai RTM...</w:t>
            </w:r>
          </w:p>
        </w:tc>
        <w:tc>
          <w:tcPr>
            <w:tcW w:type="dxa" w:w="1533"/>
          </w:tcPr>
          <w:p>
            <w:r>
              <w:rPr>
                <w:b w:val="0"/>
                <w:i w:val="0"/>
                <w:strike w:val="0"/>
                <w:sz w:val="18"/>
              </w:rPr>
              <w:t>...hasil audit mutu internal sesuai dengan hasil RTM yang dilakukan unit kerja terkait sebagai auditee</w:t>
            </w:r>
          </w:p>
        </w:tc>
        <w:tc>
          <w:tcPr>
            <w:tcW w:type="dxa" w:w="1533"/>
          </w:tcPr>
          <w:p>
            <w:r>
              <w:rPr>
                <w:b w:val="0"/>
                <w:i w:val="0"/>
                <w:strike w:val="0"/>
                <w:sz w:val="18"/>
              </w:rPr>
              <w:t>Hijau</w:t>
            </w:r>
          </w:p>
        </w:tc>
        <w:tc>
          <w:tcPr>
            <w:tcW w:type="dxa" w:w="1533"/>
          </w:tcPr>
          <w:p>
            <w:r>
              <w:rPr>
                <w:b w:val="0"/>
                <w:i w:val="0"/>
                <w:strike w:val="0"/>
                <w:sz w:val="18"/>
              </w:rPr>
              <w:t>Teks persis Excel C1 baris 15</w:t>
            </w:r>
          </w:p>
        </w:tc>
      </w:tr>
    </w:tbl>
    <w:p/>
    <w:p>
      <w:pPr>
        <w:spacing w:before="160"/>
      </w:pPr>
      <w:r>
        <w:rPr>
          <w:b w:val="0"/>
          <w:i/>
          <w:strike w:val="0"/>
          <w:sz w:val="18"/>
        </w:rPr>
        <w:t>Dokumen ini dibuat 21 April 2026. Sumber data:</w:t>
        <w:br/>
        <w:t>• STANDAR MUTU LED RKS.xlsx — Sheet "Indikator Mutu LED" baris 3–17 (C1 Budaya Mutu)</w:t>
        <w:br/>
        <w:t>• LED Prodi RKS 2025.docx — Template kebijakan dan struktur asli</w:t>
        <w:br/>
        <w:t>• GAP-C1.1-Standar-Mutu-vs-LED.md — Temuan gap analisis</w:t>
        <w:br/>
        <w:br/>
        <w:t>Konfirmasi wajib sebelum submit ke SALAM LAM Infokom:</w:t>
        <w:br/>
        <w:t>• Nomor SK Kepdir Standar Mutu 2025 (ganti semua [No SK])</w:t>
        <w:br/>
        <w:t>• Target kalender akademik 30% — konfirmasi ke Pusat Penjaminan Mutu</w:t>
      </w:r>
    </w:p>
    <w:sectPr>
      <w:type w:val="nextPage"/>
      <w:pgSz w:h="16850" w:w="11920" w:orient="portrait"/>
      <w:pgMar w:bottom="1120" w:top="1160" w:left="1474" w:right="1247" w:header="0" w:footer="9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ampuriezt" w:id="7" w:date="2025-09-22T08:08:33Z">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abdimas yang berupa narasumber dari DTPR?</w:t>
      </w:r>
    </w:p>
  </w:comment>
  <w:comment w:author="rampuriezt" w:id="8" w:date="2025-09-23T04:07:46Z">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narasi singkat terkait hibah PkM</w:t>
      </w:r>
    </w:p>
  </w:comment>
  <w:comment w:author="Susila Windarta" w:id="11" w:date="2025-09-24T04:30:58Z">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Tambahkan cuplikan layar untuk laman web yang tidak bisa diakses dari jaringan luar Poltek SSN.</w:t>
      </w:r>
    </w:p>
  </w:comment>
  <w:comment w:author="Susila Windarta" w:id="12" w:date="2025-09-26T07:04:31Z">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Cuplikan layar disimpan pada drive akreditasi.</w:t>
      </w:r>
    </w:p>
  </w:comment>
  <w:comment w:author="rampuriezt" w:id="5" w:date="2025-09-24T04:11:22Z">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apakah kerjasama penelitian dengan universitas LN disebut kerjasama internasional ? contoh cardiff</w:t>
      </w:r>
    </w:p>
  </w:comment>
  <w:comment w:author="Ira Rosianal Hikmah" w:id="6" w:date="2025-09-25T02:13:08Z">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selama ada MoU dan PKS, iya.</w:t>
      </w:r>
    </w:p>
  </w:comment>
  <w:comment w:author="rampuriezt" w:id="9" w:date="2025-09-24T04:11:22Z">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apakah kerjasama penelitian dengan universitas LN disebut kerjasama internasional ? contoh cardiff</w:t>
      </w:r>
    </w:p>
  </w:comment>
  <w:comment w:author="Ira Rosianal Hikmah" w:id="10" w:date="2025-09-25T02:13:08Z">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selama ada MoU dan PKS, iya.</w:t>
      </w:r>
    </w:p>
  </w:comment>
  <w:comment w:author="Ira Rosianal Hikmah" w:id="3" w:date="2025-09-25T02:37:20Z">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konfirm ke unit yang terkait sarpras (unit TI, perpus, part, labdu, dll)</w:t>
      </w:r>
    </w:p>
  </w:comment>
  <w:comment w:author="Anonymous" w:id="0" w:date="2025-09-24T06:48:01Z">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PP 4 2014 mencabut PP ini mencabut ketentuan Pasal 5 ayat (6), ayat (8), dan ayat (9), Pasal 14, dan Pasal 15 Peraturan Pemerintah Nomor 14 Tahun 2010.</w:t>
      </w:r>
    </w:p>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Cek kembali.</w:t>
      </w:r>
    </w:p>
  </w:comment>
  <w:comment w:author="Ira Rosianal Hikmah" w:id="4" w:date="2025-09-25T02:36:21Z">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konfirm pusat lit dan pkm (?)</w:t>
      </w:r>
    </w:p>
  </w:comment>
  <w:comment w:author="Susila Windarta" w:id="1" w:date="2025-09-24T07:45:34Z">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Data-data yang lama sebaiknya diperbarui.</w:t>
      </w:r>
    </w:p>
  </w:comment>
  <w:comment w:author="Susila Windarta" w:id="2" w:date="2025-09-24T07:46:34Z">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Klaim seperti ini perlu data dukung/bukti.</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Arial Unicode MS"/>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0" w:right="113"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-114299</wp:posOffset>
              </wp:positionH>
              <wp:positionV relativeFrom="paragraph">
                <wp:posOffset>9715500</wp:posOffset>
              </wp:positionV>
              <wp:extent cx="3393440" cy="477520"/>
              <wp:effectExtent b="0" l="0" r="0" t="0"/>
              <wp:wrapNone/>
              <wp:docPr id="10" name=""/>
              <a:graphic>
                <a:graphicData uri="http://schemas.microsoft.com/office/word/2010/wordprocessingShape">
                  <wps:wsp>
                    <wps:cNvSpPr/>
                    <wps:cNvPr id="15" name="Shape 15"/>
                    <wps:spPr>
                      <a:xfrm>
                        <a:off x="4590033" y="3546003"/>
                        <a:ext cx="3383915" cy="467995"/>
                      </a:xfrm>
                      <a:custGeom>
                        <a:rect b="b" l="l" r="r" t="t"/>
                        <a:pathLst>
                          <a:path extrusionOk="0" h="467995" w="3383915">
                            <a:moveTo>
                              <a:pt x="0" y="0"/>
                            </a:moveTo>
                            <a:lnTo>
                              <a:pt x="0" y="467995"/>
                            </a:lnTo>
                            <a:lnTo>
                              <a:pt x="3383915" y="467995"/>
                            </a:lnTo>
                            <a:lnTo>
                              <a:pt x="3383915" y="0"/>
                            </a:lnTo>
                            <a:close/>
                          </a:path>
                        </a:pathLst>
                      </a:custGeom>
                      <a:noFill/>
                      <a:ln>
                        <a:noFill/>
                      </a:ln>
                    </wps:spPr>
                    <wps:txbx>
                      <w:txbxContent>
                        <w:p w:rsidR="00000000" w:rsidDel="00000000" w:rsidP="00000000" w:rsidRDefault="00000000" w:rsidRPr="00000000">
                          <w:pPr>
                            <w:spacing w:after="0" w:before="158.00000190734863" w:line="275.9999942779541"/>
                            <w:ind w:left="0" w:right="113.00000190734863"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Laporan Evaluasi Diri LAM INFOKOM 2.0 - 2025</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-114299</wp:posOffset>
              </wp:positionH>
              <wp:positionV relativeFrom="paragraph">
                <wp:posOffset>9715500</wp:posOffset>
              </wp:positionV>
              <wp:extent cx="3393440" cy="477520"/>
              <wp:effectExtent b="0" l="0" r="0" t="0"/>
              <wp:wrapNone/>
              <wp:docPr id="10"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3393440" cy="477520"/>
                      </a:xfrm>
                      <a:prstGeom prst="rect"/>
                      <a:ln/>
                    </pic:spPr>
                  </pic:pic>
                </a:graphicData>
              </a:graphic>
            </wp:anchor>
          </w:drawing>
        </mc:Fallback>
      </mc:AlternateConten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5778500</wp:posOffset>
              </wp:positionH>
              <wp:positionV relativeFrom="paragraph">
                <wp:posOffset>9652000</wp:posOffset>
              </wp:positionV>
              <wp:extent cx="173990" cy="363220"/>
              <wp:effectExtent b="0" l="0" r="0" t="0"/>
              <wp:wrapNone/>
              <wp:docPr id="2" name=""/>
              <a:graphic>
                <a:graphicData uri="http://schemas.microsoft.com/office/word/2010/wordprocessingShape">
                  <wps:wsp>
                    <wps:cNvSpPr/>
                    <wps:cNvPr id="3" name="Shape 3"/>
                    <wps:spPr>
                      <a:xfrm>
                        <a:off x="6199758" y="3603153"/>
                        <a:ext cx="164465" cy="353695"/>
                      </a:xfrm>
                      <a:custGeom>
                        <a:rect b="b" l="l" r="r" t="t"/>
                        <a:pathLst>
                          <a:path extrusionOk="0" h="353695" w="164465">
                            <a:moveTo>
                              <a:pt x="0" y="0"/>
                            </a:moveTo>
                            <a:lnTo>
                              <a:pt x="0" y="353695"/>
                            </a:lnTo>
                            <a:lnTo>
                              <a:pt x="164465" y="353695"/>
                            </a:lnTo>
                            <a:lnTo>
                              <a:pt x="164465" y="0"/>
                            </a:lnTo>
                            <a:close/>
                          </a:path>
                        </a:pathLst>
                      </a:custGeom>
                      <a:noFill/>
                      <a:ln>
                        <a:noFill/>
                      </a:ln>
                    </wps:spPr>
                    <wps:txbx>
                      <w:txbxContent>
                        <w:p w:rsidR="00000000" w:rsidDel="00000000" w:rsidP="00000000" w:rsidRDefault="00000000" w:rsidRPr="00000000">
                          <w:pPr>
                            <w:spacing w:after="0" w:before="158.00000190734863" w:line="275.9999942779541"/>
                            <w:ind w:left="0" w:right="113.00000190734863"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 PAGE 28</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5778500</wp:posOffset>
              </wp:positionH>
              <wp:positionV relativeFrom="paragraph">
                <wp:posOffset>9652000</wp:posOffset>
              </wp:positionV>
              <wp:extent cx="173990" cy="363220"/>
              <wp:effectExtent b="0" l="0" r="0" t="0"/>
              <wp:wrapNone/>
              <wp:docPr id="2"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73990" cy="363220"/>
                      </a:xfrm>
                      <a:prstGeom prst="rect"/>
                      <a:ln/>
                    </pic:spPr>
                  </pic:pic>
                </a:graphicData>
              </a:graphic>
            </wp:anchor>
          </w:drawing>
        </mc:Fallback>
      </mc:AlternateConten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-114299</wp:posOffset>
              </wp:positionH>
              <wp:positionV relativeFrom="paragraph">
                <wp:posOffset>9626600</wp:posOffset>
              </wp:positionV>
              <wp:extent cx="5607050" cy="87630"/>
              <wp:effectExtent b="0" l="0" r="0" t="0"/>
              <wp:wrapNone/>
              <wp:docPr id="14" name=""/>
              <a:graphic>
                <a:graphicData uri="http://schemas.microsoft.com/office/word/2010/wordprocessingGroup">
                  <wpg:wgp>
                    <wpg:cNvGrpSpPr/>
                    <wpg:grpSpPr>
                      <a:xfrm>
                        <a:off x="3478450" y="3736175"/>
                        <a:ext cx="5607050" cy="87630"/>
                        <a:chOff x="3478450" y="3736175"/>
                        <a:chExt cx="5607075" cy="87650"/>
                      </a:xfrm>
                    </wpg:grpSpPr>
                    <wpg:grpSp>
                      <wpg:cNvGrpSpPr/>
                      <wpg:grpSpPr>
                        <a:xfrm>
                          <a:off x="3478465" y="3736185"/>
                          <a:ext cx="5607050" cy="87625"/>
                          <a:chOff x="0" y="0"/>
                          <a:chExt cx="5607050" cy="87625"/>
                        </a:xfrm>
                      </wpg:grpSpPr>
                      <wps:wsp>
                        <wps:cNvSpPr/>
                        <wps:cNvPr id="5" name="Shape 5"/>
                        <wps:spPr>
                          <a:xfrm>
                            <a:off x="0" y="0"/>
                            <a:ext cx="5607050" cy="87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33020" y="26035"/>
                            <a:ext cx="5549900" cy="0"/>
                          </a:xfrm>
                          <a:prstGeom prst="straightConnector1">
                            <a:avLst/>
                          </a:prstGeom>
                          <a:solidFill>
                            <a:srgbClr val="FFFFFF"/>
                          </a:solid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114300" distR="114300" hidden="0" layoutInCell="1" locked="0" relativeHeight="0" simplePos="0">
              <wp:simplePos x="0" y="0"/>
              <wp:positionH relativeFrom="column">
                <wp:posOffset>-114299</wp:posOffset>
              </wp:positionH>
              <wp:positionV relativeFrom="paragraph">
                <wp:posOffset>9626600</wp:posOffset>
              </wp:positionV>
              <wp:extent cx="5607050" cy="87630"/>
              <wp:effectExtent b="0" l="0" r="0" t="0"/>
              <wp:wrapNone/>
              <wp:docPr id="14"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5607050" cy="8763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113666</wp:posOffset>
          </wp:positionH>
          <wp:positionV relativeFrom="paragraph">
            <wp:posOffset>-634</wp:posOffset>
          </wp:positionV>
          <wp:extent cx="5607050" cy="87630"/>
          <wp:effectExtent b="0" l="0" r="0" t="0"/>
          <wp:wrapNone/>
          <wp:docPr id="17"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5607050" cy="8763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0" w:right="113"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-114299</wp:posOffset>
              </wp:positionH>
              <wp:positionV relativeFrom="paragraph">
                <wp:posOffset>10007600</wp:posOffset>
              </wp:positionV>
              <wp:extent cx="4225290" cy="331470"/>
              <wp:effectExtent b="0" l="0" r="0" t="0"/>
              <wp:wrapNone/>
              <wp:docPr id="8" name=""/>
              <a:graphic>
                <a:graphicData uri="http://schemas.microsoft.com/office/word/2010/wordprocessingShape">
                  <wps:wsp>
                    <wps:cNvSpPr/>
                    <wps:cNvPr id="13" name="Shape 13"/>
                    <wps:spPr>
                      <a:xfrm>
                        <a:off x="4174108" y="3619028"/>
                        <a:ext cx="4215765" cy="321945"/>
                      </a:xfrm>
                      <a:custGeom>
                        <a:rect b="b" l="l" r="r" t="t"/>
                        <a:pathLst>
                          <a:path extrusionOk="0" h="321945" w="4215765">
                            <a:moveTo>
                              <a:pt x="0" y="0"/>
                            </a:moveTo>
                            <a:lnTo>
                              <a:pt x="0" y="321945"/>
                            </a:lnTo>
                            <a:lnTo>
                              <a:pt x="4215765" y="321945"/>
                            </a:lnTo>
                            <a:lnTo>
                              <a:pt x="4215765" y="0"/>
                            </a:lnTo>
                            <a:close/>
                          </a:path>
                        </a:pathLst>
                      </a:custGeom>
                      <a:noFill/>
                      <a:ln>
                        <a:noFill/>
                      </a:ln>
                    </wps:spPr>
                    <wps:txbx>
                      <w:txbxContent>
                        <w:p w:rsidR="00000000" w:rsidDel="00000000" w:rsidP="00000000" w:rsidRDefault="00000000" w:rsidRPr="00000000">
                          <w:pPr>
                            <w:spacing w:after="0" w:before="158.00000190734863" w:line="275.9999942779541"/>
                            <w:ind w:left="0" w:right="113.00000190734863"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Laporan Evaluasi Diri LAM INFOKOM 2.0 - 2025</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-114299</wp:posOffset>
              </wp:positionH>
              <wp:positionV relativeFrom="paragraph">
                <wp:posOffset>10007600</wp:posOffset>
              </wp:positionV>
              <wp:extent cx="4225290" cy="331470"/>
              <wp:effectExtent b="0" l="0" r="0" t="0"/>
              <wp:wrapNone/>
              <wp:docPr id="8"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4225290" cy="331470"/>
                      </a:xfrm>
                      <a:prstGeom prst="rect"/>
                      <a:ln/>
                    </pic:spPr>
                  </pic:pic>
                </a:graphicData>
              </a:graphic>
            </wp:anchor>
          </w:drawing>
        </mc:Fallback>
      </mc:AlternateConten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5816600</wp:posOffset>
              </wp:positionH>
              <wp:positionV relativeFrom="paragraph">
                <wp:posOffset>9804400</wp:posOffset>
              </wp:positionV>
              <wp:extent cx="254000" cy="241935"/>
              <wp:effectExtent b="0" l="0" r="0" t="0"/>
              <wp:wrapNone/>
              <wp:docPr id="13" name=""/>
              <a:graphic>
                <a:graphicData uri="http://schemas.microsoft.com/office/word/2010/wordprocessingShape">
                  <wps:wsp>
                    <wps:cNvSpPr/>
                    <wps:cNvPr id="18" name="Shape 18"/>
                    <wps:spPr>
                      <a:xfrm>
                        <a:off x="6159753" y="3663795"/>
                        <a:ext cx="244475" cy="232410"/>
                      </a:xfrm>
                      <a:custGeom>
                        <a:rect b="b" l="l" r="r" t="t"/>
                        <a:pathLst>
                          <a:path extrusionOk="0" h="232410" w="244475">
                            <a:moveTo>
                              <a:pt x="0" y="0"/>
                            </a:moveTo>
                            <a:lnTo>
                              <a:pt x="0" y="232410"/>
                            </a:lnTo>
                            <a:lnTo>
                              <a:pt x="244475" y="232410"/>
                            </a:lnTo>
                            <a:lnTo>
                              <a:pt x="244475" y="0"/>
                            </a:lnTo>
                            <a:close/>
                          </a:path>
                        </a:pathLst>
                      </a:custGeom>
                      <a:noFill/>
                      <a:ln>
                        <a:noFill/>
                      </a:ln>
                    </wps:spPr>
                    <wps:txbx>
                      <w:txbxContent>
                        <w:p w:rsidR="00000000" w:rsidDel="00000000" w:rsidP="00000000" w:rsidRDefault="00000000" w:rsidRPr="00000000">
                          <w:pPr>
                            <w:spacing w:after="0" w:before="158.00000190734863" w:line="275.9999942779541"/>
                            <w:ind w:left="0" w:right="113.00000190734863"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 PAGE 36</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5816600</wp:posOffset>
              </wp:positionH>
              <wp:positionV relativeFrom="paragraph">
                <wp:posOffset>9804400</wp:posOffset>
              </wp:positionV>
              <wp:extent cx="254000" cy="241935"/>
              <wp:effectExtent b="0" l="0" r="0" t="0"/>
              <wp:wrapNone/>
              <wp:docPr id="13"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254000" cy="241935"/>
                      </a:xfrm>
                      <a:prstGeom prst="rect"/>
                      <a:ln/>
                    </pic:spPr>
                  </pic:pic>
                </a:graphicData>
              </a:graphic>
            </wp:anchor>
          </w:drawing>
        </mc:Fallback>
      </mc:AlternateConten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-114299</wp:posOffset>
              </wp:positionH>
              <wp:positionV relativeFrom="paragraph">
                <wp:posOffset>9880600</wp:posOffset>
              </wp:positionV>
              <wp:extent cx="5607050" cy="87630"/>
              <wp:effectExtent b="0" l="0" r="0" t="0"/>
              <wp:wrapNone/>
              <wp:docPr id="3" name=""/>
              <a:graphic>
                <a:graphicData uri="http://schemas.microsoft.com/office/word/2010/wordprocessingGroup">
                  <wpg:wgp>
                    <wpg:cNvGrpSpPr/>
                    <wpg:grpSpPr>
                      <a:xfrm>
                        <a:off x="3478450" y="3736175"/>
                        <a:ext cx="5607050" cy="87630"/>
                        <a:chOff x="3478450" y="3736175"/>
                        <a:chExt cx="5607075" cy="87650"/>
                      </a:xfrm>
                    </wpg:grpSpPr>
                    <wpg:grpSp>
                      <wpg:cNvGrpSpPr/>
                      <wpg:grpSpPr>
                        <a:xfrm>
                          <a:off x="3478465" y="3736185"/>
                          <a:ext cx="5607050" cy="87625"/>
                          <a:chOff x="0" y="0"/>
                          <a:chExt cx="5607050" cy="87625"/>
                        </a:xfrm>
                      </wpg:grpSpPr>
                      <wps:wsp>
                        <wps:cNvSpPr/>
                        <wps:cNvPr id="5" name="Shape 5"/>
                        <wps:spPr>
                          <a:xfrm>
                            <a:off x="0" y="0"/>
                            <a:ext cx="5607050" cy="87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33020" y="26035"/>
                            <a:ext cx="5549900" cy="0"/>
                          </a:xfrm>
                          <a:prstGeom prst="straightConnector1">
                            <a:avLst/>
                          </a:prstGeom>
                          <a:solidFill>
                            <a:srgbClr val="FFFFFF"/>
                          </a:solid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114300" distR="114300" hidden="0" layoutInCell="1" locked="0" relativeHeight="0" simplePos="0">
              <wp:simplePos x="0" y="0"/>
              <wp:positionH relativeFrom="column">
                <wp:posOffset>-114299</wp:posOffset>
              </wp:positionH>
              <wp:positionV relativeFrom="paragraph">
                <wp:posOffset>9880600</wp:posOffset>
              </wp:positionV>
              <wp:extent cx="5607050" cy="87630"/>
              <wp:effectExtent b="0" l="0" r="0" t="0"/>
              <wp:wrapNone/>
              <wp:docPr id="3"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5607050" cy="8763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113666</wp:posOffset>
          </wp:positionH>
          <wp:positionV relativeFrom="paragraph">
            <wp:posOffset>0</wp:posOffset>
          </wp:positionV>
          <wp:extent cx="5607050" cy="87630"/>
          <wp:effectExtent b="0" l="0" r="0" t="0"/>
          <wp:wrapNone/>
          <wp:docPr id="16"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5607050" cy="87630"/>
                  </a:xfrm>
                  <a:prstGeom prst="rect"/>
                  <a:ln/>
                </pic:spPr>
              </pic:pic>
            </a:graphicData>
          </a:graphic>
        </wp:anchor>
      </w:drawing>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0" w:right="113"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-38099</wp:posOffset>
              </wp:positionH>
              <wp:positionV relativeFrom="paragraph">
                <wp:posOffset>10020300</wp:posOffset>
              </wp:positionV>
              <wp:extent cx="5607050" cy="87630"/>
              <wp:effectExtent b="0" l="0" r="0" t="0"/>
              <wp:wrapNone/>
              <wp:docPr id="6" name=""/>
              <a:graphic>
                <a:graphicData uri="http://schemas.microsoft.com/office/word/2010/wordprocessingGroup">
                  <wpg:wgp>
                    <wpg:cNvGrpSpPr/>
                    <wpg:grpSpPr>
                      <a:xfrm>
                        <a:off x="2541825" y="3735525"/>
                        <a:ext cx="5607050" cy="87630"/>
                        <a:chOff x="2541825" y="3735525"/>
                        <a:chExt cx="5607075" cy="87675"/>
                      </a:xfrm>
                    </wpg:grpSpPr>
                    <wpg:grpSp>
                      <wpg:cNvGrpSpPr/>
                      <wpg:grpSpPr>
                        <a:xfrm>
                          <a:off x="2541840" y="3735550"/>
                          <a:ext cx="5607050" cy="87630"/>
                          <a:chOff x="1113" y="15169"/>
                          <a:chExt cx="8830" cy="138"/>
                        </a:xfrm>
                      </wpg:grpSpPr>
                      <wps:wsp>
                        <wps:cNvSpPr/>
                        <wps:cNvPr id="5" name="Shape 5"/>
                        <wps:spPr>
                          <a:xfrm>
                            <a:off x="1114" y="15170"/>
                            <a:ext cx="8825" cy="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 name="Shape 10"/>
                          <pic:cNvPicPr preferRelativeResize="0"/>
                        </pic:nvPicPr>
                        <pic:blipFill rotWithShape="1">
                          <a:blip r:embed="rId1">
                            <a:alphaModFix/>
                          </a:blip>
                          <a:srcRect b="0" l="0" r="0" t="0"/>
                          <a:stretch/>
                        </pic:blipFill>
                        <pic:spPr>
                          <a:xfrm>
                            <a:off x="1113" y="15169"/>
                            <a:ext cx="8830" cy="138"/>
                          </a:xfrm>
                          <a:prstGeom prst="rect">
                            <a:avLst/>
                          </a:prstGeom>
                          <a:noFill/>
                          <a:ln>
                            <a:noFill/>
                          </a:ln>
                        </pic:spPr>
                      </pic:pic>
                      <wps:wsp>
                        <wps:cNvCnPr/>
                        <wps:spPr>
                          <a:xfrm>
                            <a:off x="1166" y="15211"/>
                            <a:ext cx="8740" cy="0"/>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-38099</wp:posOffset>
              </wp:positionH>
              <wp:positionV relativeFrom="paragraph">
                <wp:posOffset>10020300</wp:posOffset>
              </wp:positionV>
              <wp:extent cx="5607050" cy="87630"/>
              <wp:effectExtent b="0" l="0" r="0" t="0"/>
              <wp:wrapNone/>
              <wp:docPr id="6" name="image11.png"/>
              <a:graphic>
                <a:graphicData uri="http://schemas.openxmlformats.org/drawingml/2006/picture">
                  <pic:pic>
                    <pic:nvPicPr>
                      <pic:cNvPr id="0" name="image11.png"/>
                      <pic:cNvPicPr preferRelativeResize="0"/>
                    </pic:nvPicPr>
                    <pic:blipFill>
                      <a:blip r:embed="rId2"/>
                      <a:srcRect/>
                      <a:stretch>
                        <a:fillRect/>
                      </a:stretch>
                    </pic:blipFill>
                    <pic:spPr>
                      <a:xfrm>
                        <a:off x="0" y="0"/>
                        <a:ext cx="5607050" cy="8763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5600700</wp:posOffset>
              </wp:positionH>
              <wp:positionV relativeFrom="paragraph">
                <wp:posOffset>9969500</wp:posOffset>
              </wp:positionV>
              <wp:extent cx="222250" cy="415925"/>
              <wp:effectExtent b="0" l="0" r="0" t="0"/>
              <wp:wrapNone/>
              <wp:docPr id="12" name=""/>
              <a:graphic>
                <a:graphicData uri="http://schemas.microsoft.com/office/word/2010/wordprocessingShape">
                  <wps:wsp>
                    <wps:cNvSpPr/>
                    <wps:cNvPr id="17" name="Shape 17"/>
                    <wps:spPr>
                      <a:xfrm>
                        <a:off x="5239638" y="3576800"/>
                        <a:ext cx="212725" cy="406400"/>
                      </a:xfrm>
                      <a:prstGeom prst="rect">
                        <a:avLst/>
                      </a:prstGeom>
                      <a:noFill/>
                      <a:ln>
                        <a:noFill/>
                      </a:ln>
                    </wps:spPr>
                    <wps:txbx>
                      <w:txbxContent>
                        <w:p w:rsidR="00000000" w:rsidDel="00000000" w:rsidP="00000000" w:rsidRDefault="00000000" w:rsidRPr="00000000">
                          <w:pPr>
                            <w:spacing w:after="0" w:before="158.00000190734863" w:line="275.9999942779541"/>
                            <w:ind w:left="0" w:right="113.00000190734863"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 PAGE 28</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5600700</wp:posOffset>
              </wp:positionH>
              <wp:positionV relativeFrom="paragraph">
                <wp:posOffset>9969500</wp:posOffset>
              </wp:positionV>
              <wp:extent cx="222250" cy="415925"/>
              <wp:effectExtent b="0" l="0" r="0" t="0"/>
              <wp:wrapNone/>
              <wp:docPr id="12" name="image17.png"/>
              <a:graphic>
                <a:graphicData uri="http://schemas.openxmlformats.org/drawingml/2006/picture">
                  <pic:pic>
                    <pic:nvPicPr>
                      <pic:cNvPr id="0" name="image17.png"/>
                      <pic:cNvPicPr preferRelativeResize="0"/>
                    </pic:nvPicPr>
                    <pic:blipFill>
                      <a:blip r:embed="rId2"/>
                      <a:srcRect/>
                      <a:stretch>
                        <a:fillRect/>
                      </a:stretch>
                    </pic:blipFill>
                    <pic:spPr>
                      <a:xfrm>
                        <a:off x="0" y="0"/>
                        <a:ext cx="222250" cy="4159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10058400</wp:posOffset>
              </wp:positionV>
              <wp:extent cx="3241675" cy="409575"/>
              <wp:effectExtent b="0" l="0" r="0" t="0"/>
              <wp:wrapNone/>
              <wp:docPr id="4" name=""/>
              <a:graphic>
                <a:graphicData uri="http://schemas.microsoft.com/office/word/2010/wordprocessingShape">
                  <wps:wsp>
                    <wps:cNvSpPr/>
                    <wps:cNvPr id="7" name="Shape 7"/>
                    <wps:spPr>
                      <a:xfrm>
                        <a:off x="3729925" y="3579975"/>
                        <a:ext cx="3232150" cy="400050"/>
                      </a:xfrm>
                      <a:prstGeom prst="rect">
                        <a:avLst/>
                      </a:prstGeom>
                      <a:noFill/>
                      <a:ln>
                        <a:noFill/>
                      </a:ln>
                    </wps:spPr>
                    <wps:txbx>
                      <w:txbxContent>
                        <w:p w:rsidR="00000000" w:rsidDel="00000000" w:rsidP="00000000" w:rsidRDefault="00000000" w:rsidRPr="00000000">
                          <w:pPr>
                            <w:spacing w:after="0" w:before="158.00000190734863" w:line="275.9999942779541"/>
                            <w:ind w:left="0" w:right="113.00000190734863"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Laporan Evaluasi Diri LAM INFOKOM 2.0 - 2025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10058400</wp:posOffset>
              </wp:positionV>
              <wp:extent cx="3241675" cy="409575"/>
              <wp:effectExtent b="0" l="0" r="0" t="0"/>
              <wp:wrapNone/>
              <wp:docPr id="4" name="image9.png"/>
              <a:graphic>
                <a:graphicData uri="http://schemas.openxmlformats.org/drawingml/2006/picture">
                  <pic:pic>
                    <pic:nvPicPr>
                      <pic:cNvPr id="0" name="image9.png"/>
                      <pic:cNvPicPr preferRelativeResize="0"/>
                    </pic:nvPicPr>
                    <pic:blipFill>
                      <a:blip r:embed="rId2"/>
                      <a:srcRect/>
                      <a:stretch>
                        <a:fillRect/>
                      </a:stretch>
                    </pic:blipFill>
                    <pic:spPr>
                      <a:xfrm>
                        <a:off x="0" y="0"/>
                        <a:ext cx="3241675" cy="40957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1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6">
    <w:lvl w:ilvl="0">
      <w:start w:val="1"/>
      <w:numFmt w:val="decimalZero"/>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8">
    <w:lvl w:ilvl="0">
      <w:start w:val="2"/>
      <w:numFmt w:val="decimal"/>
      <w:lvlText w:val="%1"/>
      <w:lvlJc w:val="left"/>
      <w:pPr>
        <w:ind w:left="1126" w:hanging="428"/>
      </w:pPr>
      <w:rPr/>
    </w:lvl>
    <w:lvl w:ilvl="1">
      <w:start w:val="1"/>
      <w:numFmt w:val="decimal"/>
      <w:lvlText w:val="%1.%2."/>
      <w:lvlJc w:val="left"/>
      <w:pPr>
        <w:ind w:left="1126" w:hanging="428"/>
      </w:pPr>
      <w:rPr>
        <w:rFonts w:ascii="Arial" w:cs="Arial" w:eastAsia="Arial" w:hAnsi="Arial"/>
        <w:b w:val="0"/>
        <w:bCs w:val="0"/>
        <w:i w:val="0"/>
        <w:iCs w:val="0"/>
        <w:sz w:val="22"/>
        <w:szCs w:val="22"/>
      </w:rPr>
    </w:lvl>
    <w:lvl w:ilvl="2">
      <w:start w:val="1"/>
      <w:numFmt w:val="upperLetter"/>
      <w:lvlText w:val="%3."/>
      <w:lvlJc w:val="left"/>
      <w:pPr>
        <w:ind w:left="1551" w:hanging="425"/>
      </w:pPr>
      <w:rPr>
        <w:rFonts w:ascii="Arial" w:cs="Arial" w:eastAsia="Arial" w:hAnsi="Arial"/>
        <w:b w:val="0"/>
        <w:bCs w:val="0"/>
        <w:i w:val="0"/>
        <w:iCs w:val="0"/>
        <w:sz w:val="22"/>
        <w:szCs w:val="22"/>
      </w:rPr>
    </w:lvl>
    <w:lvl w:ilvl="3">
      <w:start w:val="0"/>
      <w:numFmt w:val="bullet"/>
      <w:lvlText w:val="•"/>
      <w:lvlJc w:val="left"/>
      <w:pPr>
        <w:ind w:left="3411" w:hanging="425"/>
      </w:pPr>
      <w:rPr/>
    </w:lvl>
    <w:lvl w:ilvl="4">
      <w:start w:val="0"/>
      <w:numFmt w:val="bullet"/>
      <w:lvlText w:val="•"/>
      <w:lvlJc w:val="left"/>
      <w:pPr>
        <w:ind w:left="4337" w:hanging="425"/>
      </w:pPr>
      <w:rPr/>
    </w:lvl>
    <w:lvl w:ilvl="5">
      <w:start w:val="0"/>
      <w:numFmt w:val="bullet"/>
      <w:lvlText w:val="•"/>
      <w:lvlJc w:val="left"/>
      <w:pPr>
        <w:ind w:left="5262" w:hanging="425"/>
      </w:pPr>
      <w:rPr/>
    </w:lvl>
    <w:lvl w:ilvl="6">
      <w:start w:val="0"/>
      <w:numFmt w:val="bullet"/>
      <w:lvlText w:val="•"/>
      <w:lvlJc w:val="left"/>
      <w:pPr>
        <w:ind w:left="6188" w:hanging="425"/>
      </w:pPr>
      <w:rPr/>
    </w:lvl>
    <w:lvl w:ilvl="7">
      <w:start w:val="0"/>
      <w:numFmt w:val="bullet"/>
      <w:lvlText w:val="•"/>
      <w:lvlJc w:val="left"/>
      <w:pPr>
        <w:ind w:left="7114" w:hanging="425"/>
      </w:pPr>
      <w:rPr/>
    </w:lvl>
    <w:lvl w:ilvl="8">
      <w:start w:val="0"/>
      <w:numFmt w:val="bullet"/>
      <w:lvlText w:val="•"/>
      <w:lvlJc w:val="left"/>
      <w:pPr>
        <w:ind w:left="8039" w:hanging="425"/>
      </w:pPr>
      <w:rPr/>
    </w:lvl>
  </w:abstractNum>
  <w:abstractNum w:abstractNumId="39">
    <w:lvl w:ilvl="0">
      <w:start w:val="2"/>
      <w:numFmt w:val="decimal"/>
      <w:lvlText w:val="%1"/>
      <w:lvlJc w:val="left"/>
      <w:pPr>
        <w:ind w:left="1126" w:hanging="428"/>
      </w:pPr>
      <w:rPr/>
    </w:lvl>
    <w:lvl w:ilvl="1">
      <w:start w:val="1"/>
      <w:numFmt w:val="decimal"/>
      <w:lvlText w:val="%1.%2."/>
      <w:lvlJc w:val="left"/>
      <w:pPr>
        <w:ind w:left="1126" w:hanging="428"/>
      </w:pPr>
      <w:rPr>
        <w:rFonts w:ascii="Arial" w:cs="Arial" w:eastAsia="Arial" w:hAnsi="Arial"/>
        <w:b w:val="0"/>
        <w:bCs w:val="0"/>
        <w:i w:val="0"/>
        <w:iCs w:val="0"/>
        <w:sz w:val="22"/>
        <w:szCs w:val="22"/>
      </w:rPr>
    </w:lvl>
    <w:lvl w:ilvl="2">
      <w:start w:val="1"/>
      <w:numFmt w:val="upperLetter"/>
      <w:lvlText w:val="%3."/>
      <w:lvlJc w:val="left"/>
      <w:pPr>
        <w:ind w:left="1551" w:hanging="425"/>
      </w:pPr>
      <w:rPr>
        <w:rFonts w:ascii="Arial" w:cs="Arial" w:eastAsia="Arial" w:hAnsi="Arial"/>
        <w:b w:val="0"/>
        <w:bCs w:val="0"/>
        <w:i w:val="0"/>
        <w:iCs w:val="0"/>
        <w:sz w:val="22"/>
        <w:szCs w:val="22"/>
      </w:rPr>
    </w:lvl>
    <w:lvl w:ilvl="3">
      <w:start w:val="0"/>
      <w:numFmt w:val="bullet"/>
      <w:lvlText w:val="•"/>
      <w:lvlJc w:val="left"/>
      <w:pPr>
        <w:ind w:left="3411" w:hanging="425"/>
      </w:pPr>
      <w:rPr/>
    </w:lvl>
    <w:lvl w:ilvl="4">
      <w:start w:val="0"/>
      <w:numFmt w:val="bullet"/>
      <w:lvlText w:val="•"/>
      <w:lvlJc w:val="left"/>
      <w:pPr>
        <w:ind w:left="4337" w:hanging="425"/>
      </w:pPr>
      <w:rPr/>
    </w:lvl>
    <w:lvl w:ilvl="5">
      <w:start w:val="0"/>
      <w:numFmt w:val="bullet"/>
      <w:lvlText w:val="•"/>
      <w:lvlJc w:val="left"/>
      <w:pPr>
        <w:ind w:left="5262" w:hanging="425"/>
      </w:pPr>
      <w:rPr/>
    </w:lvl>
    <w:lvl w:ilvl="6">
      <w:start w:val="0"/>
      <w:numFmt w:val="bullet"/>
      <w:lvlText w:val="•"/>
      <w:lvlJc w:val="left"/>
      <w:pPr>
        <w:ind w:left="6188" w:hanging="425"/>
      </w:pPr>
      <w:rPr/>
    </w:lvl>
    <w:lvl w:ilvl="7">
      <w:start w:val="0"/>
      <w:numFmt w:val="bullet"/>
      <w:lvlText w:val="•"/>
      <w:lvlJc w:val="left"/>
      <w:pPr>
        <w:ind w:left="7114" w:hanging="425"/>
      </w:pPr>
      <w:rPr/>
    </w:lvl>
    <w:lvl w:ilvl="8">
      <w:start w:val="0"/>
      <w:numFmt w:val="bullet"/>
      <w:lvlText w:val="•"/>
      <w:lvlJc w:val="left"/>
      <w:pPr>
        <w:ind w:left="8039" w:hanging="425"/>
      </w:pPr>
      <w:rPr/>
    </w:lvl>
  </w:abstractNum>
  <w:abstractNum w:abstractNumId="40">
    <w:lvl w:ilvl="0">
      <w:start w:val="4"/>
      <w:numFmt w:val="decimal"/>
      <w:lvlText w:val="%1"/>
      <w:lvlJc w:val="left"/>
      <w:pPr>
        <w:ind w:left="1126" w:hanging="444.0000000000001"/>
      </w:pPr>
      <w:rPr/>
    </w:lvl>
    <w:lvl w:ilvl="1">
      <w:start w:val="1"/>
      <w:numFmt w:val="decimal"/>
      <w:lvlText w:val="%1.%2"/>
      <w:lvlJc w:val="left"/>
      <w:pPr>
        <w:ind w:left="1126" w:hanging="444.0000000000001"/>
      </w:pPr>
      <w:rPr>
        <w:rFonts w:ascii="Arial" w:cs="Arial" w:eastAsia="Arial" w:hAnsi="Arial"/>
        <w:b w:val="0"/>
        <w:bCs w:val="0"/>
        <w:i w:val="0"/>
        <w:iCs w:val="0"/>
        <w:sz w:val="22"/>
        <w:szCs w:val="22"/>
      </w:rPr>
    </w:lvl>
    <w:lvl w:ilvl="2">
      <w:start w:val="1"/>
      <w:numFmt w:val="upperLetter"/>
      <w:lvlText w:val="%3."/>
      <w:lvlJc w:val="left"/>
      <w:pPr>
        <w:ind w:left="1561" w:hanging="360"/>
      </w:pPr>
      <w:rPr/>
    </w:lvl>
    <w:lvl w:ilvl="3">
      <w:start w:val="1"/>
      <w:numFmt w:val="decimal"/>
      <w:lvlText w:val="%4."/>
      <w:lvlJc w:val="left"/>
      <w:pPr>
        <w:ind w:left="870" w:hanging="363"/>
      </w:pPr>
      <w:rPr/>
    </w:lvl>
    <w:lvl w:ilvl="4">
      <w:start w:val="0"/>
      <w:numFmt w:val="bullet"/>
      <w:lvlText w:val="•"/>
      <w:lvlJc w:val="left"/>
      <w:pPr>
        <w:ind w:left="2750" w:hanging="363"/>
      </w:pPr>
      <w:rPr/>
    </w:lvl>
    <w:lvl w:ilvl="5">
      <w:start w:val="0"/>
      <w:numFmt w:val="bullet"/>
      <w:lvlText w:val="•"/>
      <w:lvlJc w:val="left"/>
      <w:pPr>
        <w:ind w:left="3940" w:hanging="363"/>
      </w:pPr>
      <w:rPr/>
    </w:lvl>
    <w:lvl w:ilvl="6">
      <w:start w:val="0"/>
      <w:numFmt w:val="bullet"/>
      <w:lvlText w:val="•"/>
      <w:lvlJc w:val="left"/>
      <w:pPr>
        <w:ind w:left="5130" w:hanging="363"/>
      </w:pPr>
      <w:rPr/>
    </w:lvl>
    <w:lvl w:ilvl="7">
      <w:start w:val="0"/>
      <w:numFmt w:val="bullet"/>
      <w:lvlText w:val="•"/>
      <w:lvlJc w:val="left"/>
      <w:pPr>
        <w:ind w:left="6320" w:hanging="363"/>
      </w:pPr>
      <w:rPr/>
    </w:lvl>
    <w:lvl w:ilvl="8">
      <w:start w:val="0"/>
      <w:numFmt w:val="bullet"/>
      <w:lvlText w:val="•"/>
      <w:lvlJc w:val="left"/>
      <w:pPr>
        <w:ind w:left="7510" w:hanging="363"/>
      </w:pPr>
      <w:rPr/>
    </w:lvl>
  </w:abstractNum>
  <w:abstractNum w:abstractNumId="41">
    <w:lvl w:ilvl="0">
      <w:start w:val="4"/>
      <w:numFmt w:val="decimal"/>
      <w:lvlText w:val="%1"/>
      <w:lvlJc w:val="left"/>
      <w:pPr>
        <w:ind w:left="1126" w:hanging="444.0000000000001"/>
      </w:pPr>
      <w:rPr/>
    </w:lvl>
    <w:lvl w:ilvl="1">
      <w:start w:val="1"/>
      <w:numFmt w:val="decimal"/>
      <w:lvlText w:val="%1.%2"/>
      <w:lvlJc w:val="left"/>
      <w:pPr>
        <w:ind w:left="1126" w:hanging="444.0000000000001"/>
      </w:pPr>
      <w:rPr>
        <w:rFonts w:ascii="Arial" w:cs="Arial" w:eastAsia="Arial" w:hAnsi="Arial"/>
        <w:b w:val="0"/>
        <w:bCs w:val="0"/>
        <w:i w:val="0"/>
        <w:iCs w:val="0"/>
        <w:sz w:val="22"/>
        <w:szCs w:val="22"/>
      </w:rPr>
    </w:lvl>
    <w:lvl w:ilvl="2">
      <w:start w:val="1"/>
      <w:numFmt w:val="upperLetter"/>
      <w:lvlText w:val="%3."/>
      <w:lvlJc w:val="left"/>
      <w:pPr>
        <w:ind w:left="1561" w:hanging="360"/>
      </w:pPr>
      <w:rPr/>
    </w:lvl>
    <w:lvl w:ilvl="3">
      <w:start w:val="1"/>
      <w:numFmt w:val="decimal"/>
      <w:lvlText w:val="%4."/>
      <w:lvlJc w:val="left"/>
      <w:pPr>
        <w:ind w:left="870" w:hanging="363"/>
      </w:pPr>
      <w:rPr/>
    </w:lvl>
    <w:lvl w:ilvl="4">
      <w:start w:val="0"/>
      <w:numFmt w:val="bullet"/>
      <w:lvlText w:val="•"/>
      <w:lvlJc w:val="left"/>
      <w:pPr>
        <w:ind w:left="2750" w:hanging="363"/>
      </w:pPr>
      <w:rPr/>
    </w:lvl>
    <w:lvl w:ilvl="5">
      <w:start w:val="0"/>
      <w:numFmt w:val="bullet"/>
      <w:lvlText w:val="•"/>
      <w:lvlJc w:val="left"/>
      <w:pPr>
        <w:ind w:left="3940" w:hanging="363"/>
      </w:pPr>
      <w:rPr/>
    </w:lvl>
    <w:lvl w:ilvl="6">
      <w:start w:val="0"/>
      <w:numFmt w:val="bullet"/>
      <w:lvlText w:val="•"/>
      <w:lvlJc w:val="left"/>
      <w:pPr>
        <w:ind w:left="5130" w:hanging="363"/>
      </w:pPr>
      <w:rPr/>
    </w:lvl>
    <w:lvl w:ilvl="7">
      <w:start w:val="0"/>
      <w:numFmt w:val="bullet"/>
      <w:lvlText w:val="•"/>
      <w:lvlJc w:val="left"/>
      <w:pPr>
        <w:ind w:left="6320" w:hanging="363"/>
      </w:pPr>
      <w:rPr/>
    </w:lvl>
    <w:lvl w:ilvl="8">
      <w:start w:val="0"/>
      <w:numFmt w:val="bullet"/>
      <w:lvlText w:val="•"/>
      <w:lvlJc w:val="left"/>
      <w:pPr>
        <w:ind w:left="7510" w:hanging="363"/>
      </w:pPr>
      <w:rPr/>
    </w:lvl>
  </w:abstractNum>
  <w:abstractNum w:abstractNumId="42">
    <w:lvl w:ilvl="0">
      <w:start w:val="4"/>
      <w:numFmt w:val="decimal"/>
      <w:lvlText w:val="%1"/>
      <w:lvlJc w:val="left"/>
      <w:pPr>
        <w:ind w:left="1126" w:hanging="444.0000000000001"/>
      </w:pPr>
      <w:rPr/>
    </w:lvl>
    <w:lvl w:ilvl="1">
      <w:start w:val="1"/>
      <w:numFmt w:val="decimal"/>
      <w:lvlText w:val="%1.%2"/>
      <w:lvlJc w:val="left"/>
      <w:pPr>
        <w:ind w:left="1126" w:hanging="444.0000000000001"/>
      </w:pPr>
      <w:rPr>
        <w:rFonts w:ascii="Arial" w:cs="Arial" w:eastAsia="Arial" w:hAnsi="Arial"/>
        <w:b w:val="0"/>
        <w:bCs w:val="0"/>
        <w:i w:val="0"/>
        <w:iCs w:val="0"/>
        <w:sz w:val="22"/>
        <w:szCs w:val="22"/>
      </w:rPr>
    </w:lvl>
    <w:lvl w:ilvl="2">
      <w:start w:val="1"/>
      <w:numFmt w:val="upperLetter"/>
      <w:lvlText w:val="%3."/>
      <w:lvlJc w:val="left"/>
      <w:pPr>
        <w:ind w:left="1561" w:hanging="360"/>
      </w:pPr>
      <w:rPr/>
    </w:lvl>
    <w:lvl w:ilvl="3">
      <w:start w:val="1"/>
      <w:numFmt w:val="decimal"/>
      <w:lvlText w:val="%4."/>
      <w:lvlJc w:val="left"/>
      <w:pPr>
        <w:ind w:left="870" w:hanging="363"/>
      </w:pPr>
      <w:rPr/>
    </w:lvl>
    <w:lvl w:ilvl="4">
      <w:start w:val="0"/>
      <w:numFmt w:val="bullet"/>
      <w:lvlText w:val="•"/>
      <w:lvlJc w:val="left"/>
      <w:pPr>
        <w:ind w:left="2750" w:hanging="363"/>
      </w:pPr>
      <w:rPr/>
    </w:lvl>
    <w:lvl w:ilvl="5">
      <w:start w:val="0"/>
      <w:numFmt w:val="bullet"/>
      <w:lvlText w:val="•"/>
      <w:lvlJc w:val="left"/>
      <w:pPr>
        <w:ind w:left="3940" w:hanging="363"/>
      </w:pPr>
      <w:rPr/>
    </w:lvl>
    <w:lvl w:ilvl="6">
      <w:start w:val="0"/>
      <w:numFmt w:val="bullet"/>
      <w:lvlText w:val="•"/>
      <w:lvlJc w:val="left"/>
      <w:pPr>
        <w:ind w:left="5130" w:hanging="363"/>
      </w:pPr>
      <w:rPr/>
    </w:lvl>
    <w:lvl w:ilvl="7">
      <w:start w:val="0"/>
      <w:numFmt w:val="bullet"/>
      <w:lvlText w:val="•"/>
      <w:lvlJc w:val="left"/>
      <w:pPr>
        <w:ind w:left="6320" w:hanging="363"/>
      </w:pPr>
      <w:rPr/>
    </w:lvl>
    <w:lvl w:ilvl="8">
      <w:start w:val="0"/>
      <w:numFmt w:val="bullet"/>
      <w:lvlText w:val="•"/>
      <w:lvlJc w:val="left"/>
      <w:pPr>
        <w:ind w:left="7510" w:hanging="363"/>
      </w:pPr>
      <w:rPr/>
    </w:lvl>
  </w:abstractNum>
  <w:abstractNum w:abstractNumId="43">
    <w:lvl w:ilvl="0">
      <w:start w:val="4"/>
      <w:numFmt w:val="decimal"/>
      <w:lvlText w:val="%1"/>
      <w:lvlJc w:val="left"/>
      <w:pPr>
        <w:ind w:left="1126" w:hanging="444.0000000000001"/>
      </w:pPr>
      <w:rPr/>
    </w:lvl>
    <w:lvl w:ilvl="1">
      <w:start w:val="1"/>
      <w:numFmt w:val="decimal"/>
      <w:lvlText w:val="%1.%2"/>
      <w:lvlJc w:val="left"/>
      <w:pPr>
        <w:ind w:left="1126" w:hanging="444.0000000000001"/>
      </w:pPr>
      <w:rPr>
        <w:rFonts w:ascii="Arial" w:cs="Arial" w:eastAsia="Arial" w:hAnsi="Arial"/>
        <w:b w:val="0"/>
        <w:bCs w:val="0"/>
        <w:i w:val="0"/>
        <w:iCs w:val="0"/>
        <w:sz w:val="22"/>
        <w:szCs w:val="22"/>
      </w:rPr>
    </w:lvl>
    <w:lvl w:ilvl="2">
      <w:start w:val="1"/>
      <w:numFmt w:val="upperLetter"/>
      <w:lvlText w:val="%3."/>
      <w:lvlJc w:val="left"/>
      <w:pPr>
        <w:ind w:left="1561" w:hanging="360"/>
      </w:pPr>
      <w:rPr/>
    </w:lvl>
    <w:lvl w:ilvl="3">
      <w:start w:val="1"/>
      <w:numFmt w:val="decimal"/>
      <w:lvlText w:val="%4."/>
      <w:lvlJc w:val="left"/>
      <w:pPr>
        <w:ind w:left="870" w:hanging="363"/>
      </w:pPr>
      <w:rPr/>
    </w:lvl>
    <w:lvl w:ilvl="4">
      <w:start w:val="0"/>
      <w:numFmt w:val="bullet"/>
      <w:lvlText w:val="•"/>
      <w:lvlJc w:val="left"/>
      <w:pPr>
        <w:ind w:left="2750" w:hanging="363"/>
      </w:pPr>
      <w:rPr/>
    </w:lvl>
    <w:lvl w:ilvl="5">
      <w:start w:val="0"/>
      <w:numFmt w:val="bullet"/>
      <w:lvlText w:val="•"/>
      <w:lvlJc w:val="left"/>
      <w:pPr>
        <w:ind w:left="3940" w:hanging="363"/>
      </w:pPr>
      <w:rPr/>
    </w:lvl>
    <w:lvl w:ilvl="6">
      <w:start w:val="0"/>
      <w:numFmt w:val="bullet"/>
      <w:lvlText w:val="•"/>
      <w:lvlJc w:val="left"/>
      <w:pPr>
        <w:ind w:left="5130" w:hanging="363"/>
      </w:pPr>
      <w:rPr/>
    </w:lvl>
    <w:lvl w:ilvl="7">
      <w:start w:val="0"/>
      <w:numFmt w:val="bullet"/>
      <w:lvlText w:val="•"/>
      <w:lvlJc w:val="left"/>
      <w:pPr>
        <w:ind w:left="6320" w:hanging="363"/>
      </w:pPr>
      <w:rPr/>
    </w:lvl>
    <w:lvl w:ilvl="8">
      <w:start w:val="0"/>
      <w:numFmt w:val="bullet"/>
      <w:lvlText w:val="•"/>
      <w:lvlJc w:val="left"/>
      <w:pPr>
        <w:ind w:left="7510" w:hanging="363"/>
      </w:pPr>
      <w:rPr/>
    </w:lvl>
  </w:abstractNum>
  <w:abstractNum w:abstractNumId="44">
    <w:lvl w:ilvl="0">
      <w:start w:val="4"/>
      <w:numFmt w:val="decimal"/>
      <w:lvlText w:val="%1"/>
      <w:lvlJc w:val="left"/>
      <w:pPr>
        <w:ind w:left="1126" w:hanging="444.0000000000001"/>
      </w:pPr>
      <w:rPr/>
    </w:lvl>
    <w:lvl w:ilvl="1">
      <w:start w:val="1"/>
      <w:numFmt w:val="decimal"/>
      <w:lvlText w:val="%1.%2"/>
      <w:lvlJc w:val="left"/>
      <w:pPr>
        <w:ind w:left="1126" w:hanging="444.0000000000001"/>
      </w:pPr>
      <w:rPr>
        <w:rFonts w:ascii="Arial" w:cs="Arial" w:eastAsia="Arial" w:hAnsi="Arial"/>
        <w:b w:val="0"/>
        <w:bCs w:val="0"/>
        <w:i w:val="0"/>
        <w:iCs w:val="0"/>
        <w:sz w:val="22"/>
        <w:szCs w:val="22"/>
      </w:rPr>
    </w:lvl>
    <w:lvl w:ilvl="2">
      <w:start w:val="1"/>
      <w:numFmt w:val="upperLetter"/>
      <w:lvlText w:val="%3."/>
      <w:lvlJc w:val="left"/>
      <w:pPr>
        <w:ind w:left="1561" w:hanging="360"/>
      </w:pPr>
      <w:rPr/>
    </w:lvl>
    <w:lvl w:ilvl="3">
      <w:start w:val="1"/>
      <w:numFmt w:val="decimal"/>
      <w:lvlText w:val="%4."/>
      <w:lvlJc w:val="left"/>
      <w:pPr>
        <w:ind w:left="870" w:hanging="363"/>
      </w:pPr>
      <w:rPr/>
    </w:lvl>
    <w:lvl w:ilvl="4">
      <w:start w:val="0"/>
      <w:numFmt w:val="bullet"/>
      <w:lvlText w:val="•"/>
      <w:lvlJc w:val="left"/>
      <w:pPr>
        <w:ind w:left="2750" w:hanging="363"/>
      </w:pPr>
      <w:rPr/>
    </w:lvl>
    <w:lvl w:ilvl="5">
      <w:start w:val="0"/>
      <w:numFmt w:val="bullet"/>
      <w:lvlText w:val="•"/>
      <w:lvlJc w:val="left"/>
      <w:pPr>
        <w:ind w:left="3940" w:hanging="363"/>
      </w:pPr>
      <w:rPr/>
    </w:lvl>
    <w:lvl w:ilvl="6">
      <w:start w:val="0"/>
      <w:numFmt w:val="bullet"/>
      <w:lvlText w:val="•"/>
      <w:lvlJc w:val="left"/>
      <w:pPr>
        <w:ind w:left="5130" w:hanging="363"/>
      </w:pPr>
      <w:rPr/>
    </w:lvl>
    <w:lvl w:ilvl="7">
      <w:start w:val="0"/>
      <w:numFmt w:val="bullet"/>
      <w:lvlText w:val="•"/>
      <w:lvlJc w:val="left"/>
      <w:pPr>
        <w:ind w:left="6320" w:hanging="363"/>
      </w:pPr>
      <w:rPr/>
    </w:lvl>
    <w:lvl w:ilvl="8">
      <w:start w:val="0"/>
      <w:numFmt w:val="bullet"/>
      <w:lvlText w:val="•"/>
      <w:lvlJc w:val="left"/>
      <w:pPr>
        <w:ind w:left="7510" w:hanging="363"/>
      </w:pPr>
      <w:rPr/>
    </w:lvl>
  </w:abstractNum>
  <w:abstractNum w:abstractNumId="45">
    <w:lvl w:ilvl="0">
      <w:start w:val="6"/>
      <w:numFmt w:val="decimal"/>
      <w:lvlText w:val="%1"/>
      <w:lvlJc w:val="left"/>
      <w:pPr>
        <w:ind w:left="1126" w:hanging="444.0000000000001"/>
      </w:pPr>
      <w:rPr/>
    </w:lvl>
    <w:lvl w:ilvl="1">
      <w:start w:val="1"/>
      <w:numFmt w:val="decimal"/>
      <w:lvlText w:val="%1.%2"/>
      <w:lvlJc w:val="left"/>
      <w:pPr>
        <w:ind w:left="1126" w:hanging="444.0000000000001"/>
      </w:pPr>
      <w:rPr>
        <w:rFonts w:ascii="Arial" w:cs="Arial" w:eastAsia="Arial" w:hAnsi="Arial"/>
        <w:b w:val="0"/>
        <w:bCs w:val="0"/>
        <w:i w:val="0"/>
        <w:iCs w:val="0"/>
        <w:sz w:val="22"/>
        <w:szCs w:val="22"/>
      </w:rPr>
    </w:lvl>
    <w:lvl w:ilvl="2">
      <w:start w:val="0"/>
      <w:numFmt w:val="bullet"/>
      <w:lvlText w:val="•"/>
      <w:lvlJc w:val="left"/>
      <w:pPr>
        <w:ind w:left="2874" w:hanging="444.00000000000045"/>
      </w:pPr>
      <w:rPr/>
    </w:lvl>
    <w:lvl w:ilvl="3">
      <w:start w:val="0"/>
      <w:numFmt w:val="bullet"/>
      <w:lvlText w:val="•"/>
      <w:lvlJc w:val="left"/>
      <w:pPr>
        <w:ind w:left="3751" w:hanging="443.99999999999955"/>
      </w:pPr>
      <w:rPr/>
    </w:lvl>
    <w:lvl w:ilvl="4">
      <w:start w:val="0"/>
      <w:numFmt w:val="bullet"/>
      <w:lvlText w:val="•"/>
      <w:lvlJc w:val="left"/>
      <w:pPr>
        <w:ind w:left="4628" w:hanging="444"/>
      </w:pPr>
      <w:rPr/>
    </w:lvl>
    <w:lvl w:ilvl="5">
      <w:start w:val="0"/>
      <w:numFmt w:val="bullet"/>
      <w:lvlText w:val="•"/>
      <w:lvlJc w:val="left"/>
      <w:pPr>
        <w:ind w:left="5505" w:hanging="444"/>
      </w:pPr>
      <w:rPr/>
    </w:lvl>
    <w:lvl w:ilvl="6">
      <w:start w:val="0"/>
      <w:numFmt w:val="bullet"/>
      <w:lvlText w:val="•"/>
      <w:lvlJc w:val="left"/>
      <w:pPr>
        <w:ind w:left="6382" w:hanging="443.9999999999991"/>
      </w:pPr>
      <w:rPr/>
    </w:lvl>
    <w:lvl w:ilvl="7">
      <w:start w:val="0"/>
      <w:numFmt w:val="bullet"/>
      <w:lvlText w:val="•"/>
      <w:lvlJc w:val="left"/>
      <w:pPr>
        <w:ind w:left="7259" w:hanging="444"/>
      </w:pPr>
      <w:rPr/>
    </w:lvl>
    <w:lvl w:ilvl="8">
      <w:start w:val="0"/>
      <w:numFmt w:val="bullet"/>
      <w:lvlText w:val="•"/>
      <w:lvlJc w:val="left"/>
      <w:pPr>
        <w:ind w:left="8136" w:hanging="444"/>
      </w:pPr>
      <w:rPr/>
    </w:lvl>
  </w:abstractNum>
  <w:abstractNum w:abstractNumId="46">
    <w:lvl w:ilvl="0">
      <w:start w:val="5"/>
      <w:numFmt w:val="decimal"/>
      <w:lvlText w:val="%1"/>
      <w:lvlJc w:val="left"/>
      <w:pPr>
        <w:ind w:left="1126" w:hanging="428"/>
      </w:pPr>
      <w:rPr/>
    </w:lvl>
    <w:lvl w:ilvl="1">
      <w:start w:val="1"/>
      <w:numFmt w:val="decimal"/>
      <w:lvlText w:val="%1.%2"/>
      <w:lvlJc w:val="left"/>
      <w:pPr>
        <w:ind w:left="1126" w:hanging="428"/>
      </w:pPr>
      <w:rPr>
        <w:rFonts w:ascii="Arial" w:cs="Arial" w:eastAsia="Arial" w:hAnsi="Arial"/>
        <w:b w:val="0"/>
        <w:bCs w:val="0"/>
        <w:i w:val="0"/>
        <w:iCs w:val="0"/>
        <w:sz w:val="22"/>
        <w:szCs w:val="22"/>
      </w:rPr>
    </w:lvl>
    <w:lvl w:ilvl="2">
      <w:start w:val="1"/>
      <w:numFmt w:val="upperLetter"/>
      <w:lvlText w:val="%3."/>
      <w:lvlJc w:val="left"/>
      <w:pPr>
        <w:ind w:left="1561" w:hanging="435"/>
      </w:pPr>
      <w:rPr>
        <w:rFonts w:ascii="Arial" w:cs="Arial" w:eastAsia="Arial" w:hAnsi="Arial"/>
        <w:b w:val="0"/>
        <w:bCs w:val="0"/>
        <w:i w:val="0"/>
        <w:iCs w:val="0"/>
        <w:sz w:val="22"/>
        <w:szCs w:val="22"/>
      </w:rPr>
    </w:lvl>
    <w:lvl w:ilvl="3">
      <w:start w:val="0"/>
      <w:numFmt w:val="bullet"/>
      <w:lvlText w:val="•"/>
      <w:lvlJc w:val="left"/>
      <w:pPr>
        <w:ind w:left="3411" w:hanging="435"/>
      </w:pPr>
      <w:rPr/>
    </w:lvl>
    <w:lvl w:ilvl="4">
      <w:start w:val="0"/>
      <w:numFmt w:val="bullet"/>
      <w:lvlText w:val="•"/>
      <w:lvlJc w:val="left"/>
      <w:pPr>
        <w:ind w:left="4337" w:hanging="435"/>
      </w:pPr>
      <w:rPr/>
    </w:lvl>
    <w:lvl w:ilvl="5">
      <w:start w:val="0"/>
      <w:numFmt w:val="bullet"/>
      <w:lvlText w:val="•"/>
      <w:lvlJc w:val="left"/>
      <w:pPr>
        <w:ind w:left="5262" w:hanging="435"/>
      </w:pPr>
      <w:rPr/>
    </w:lvl>
    <w:lvl w:ilvl="6">
      <w:start w:val="0"/>
      <w:numFmt w:val="bullet"/>
      <w:lvlText w:val="•"/>
      <w:lvlJc w:val="left"/>
      <w:pPr>
        <w:ind w:left="6188" w:hanging="435"/>
      </w:pPr>
      <w:rPr/>
    </w:lvl>
    <w:lvl w:ilvl="7">
      <w:start w:val="0"/>
      <w:numFmt w:val="bullet"/>
      <w:lvlText w:val="•"/>
      <w:lvlJc w:val="left"/>
      <w:pPr>
        <w:ind w:left="7114" w:hanging="435"/>
      </w:pPr>
      <w:rPr/>
    </w:lvl>
    <w:lvl w:ilvl="8">
      <w:start w:val="0"/>
      <w:numFmt w:val="bullet"/>
      <w:lvlText w:val="•"/>
      <w:lvlJc w:val="left"/>
      <w:pPr>
        <w:ind w:left="8039" w:hanging="435"/>
      </w:pPr>
      <w:rPr/>
    </w:lvl>
  </w:abstractNum>
  <w:abstractNum w:abstractNumId="47">
    <w:lvl w:ilvl="0">
      <w:start w:val="4"/>
      <w:numFmt w:val="decimal"/>
      <w:lvlText w:val="%1"/>
      <w:lvlJc w:val="left"/>
      <w:pPr>
        <w:ind w:left="1126" w:hanging="444.0000000000001"/>
      </w:pPr>
      <w:rPr/>
    </w:lvl>
    <w:lvl w:ilvl="1">
      <w:start w:val="1"/>
      <w:numFmt w:val="decimal"/>
      <w:lvlText w:val="%1.%2"/>
      <w:lvlJc w:val="left"/>
      <w:pPr>
        <w:ind w:left="1126" w:hanging="444.0000000000001"/>
      </w:pPr>
      <w:rPr>
        <w:rFonts w:ascii="Arial" w:cs="Arial" w:eastAsia="Arial" w:hAnsi="Arial"/>
        <w:b w:val="0"/>
        <w:bCs w:val="0"/>
        <w:i w:val="0"/>
        <w:iCs w:val="0"/>
        <w:sz w:val="22"/>
        <w:szCs w:val="22"/>
      </w:rPr>
    </w:lvl>
    <w:lvl w:ilvl="2">
      <w:start w:val="1"/>
      <w:numFmt w:val="upperLetter"/>
      <w:lvlText w:val="%3."/>
      <w:lvlJc w:val="left"/>
      <w:pPr>
        <w:ind w:left="1561" w:hanging="360"/>
      </w:pPr>
      <w:rPr/>
    </w:lvl>
    <w:lvl w:ilvl="3">
      <w:start w:val="1"/>
      <w:numFmt w:val="decimal"/>
      <w:lvlText w:val="%4."/>
      <w:lvlJc w:val="left"/>
      <w:pPr>
        <w:ind w:left="870" w:hanging="363"/>
      </w:pPr>
      <w:rPr/>
    </w:lvl>
    <w:lvl w:ilvl="4">
      <w:start w:val="0"/>
      <w:numFmt w:val="bullet"/>
      <w:lvlText w:val="•"/>
      <w:lvlJc w:val="left"/>
      <w:pPr>
        <w:ind w:left="2750" w:hanging="363"/>
      </w:pPr>
      <w:rPr/>
    </w:lvl>
    <w:lvl w:ilvl="5">
      <w:start w:val="0"/>
      <w:numFmt w:val="bullet"/>
      <w:lvlText w:val="•"/>
      <w:lvlJc w:val="left"/>
      <w:pPr>
        <w:ind w:left="3940" w:hanging="363"/>
      </w:pPr>
      <w:rPr/>
    </w:lvl>
    <w:lvl w:ilvl="6">
      <w:start w:val="0"/>
      <w:numFmt w:val="bullet"/>
      <w:lvlText w:val="•"/>
      <w:lvlJc w:val="left"/>
      <w:pPr>
        <w:ind w:left="5130" w:hanging="363"/>
      </w:pPr>
      <w:rPr/>
    </w:lvl>
    <w:lvl w:ilvl="7">
      <w:start w:val="0"/>
      <w:numFmt w:val="bullet"/>
      <w:lvlText w:val="•"/>
      <w:lvlJc w:val="left"/>
      <w:pPr>
        <w:ind w:left="6320" w:hanging="363"/>
      </w:pPr>
      <w:rPr/>
    </w:lvl>
    <w:lvl w:ilvl="8">
      <w:start w:val="0"/>
      <w:numFmt w:val="bullet"/>
      <w:lvlText w:val="•"/>
      <w:lvlJc w:val="left"/>
      <w:pPr>
        <w:ind w:left="7510" w:hanging="363"/>
      </w:pPr>
      <w:rPr/>
    </w:lvl>
  </w:abstractNum>
  <w:abstractNum w:abstractNumId="48">
    <w:lvl w:ilvl="0">
      <w:start w:val="3"/>
      <w:numFmt w:val="decimal"/>
      <w:lvlText w:val="%1"/>
      <w:lvlJc w:val="left"/>
      <w:pPr>
        <w:ind w:left="1126" w:hanging="428"/>
      </w:pPr>
      <w:rPr/>
    </w:lvl>
    <w:lvl w:ilvl="1">
      <w:start w:val="1"/>
      <w:numFmt w:val="decimal"/>
      <w:lvlText w:val="%1.%2"/>
      <w:lvlJc w:val="left"/>
      <w:pPr>
        <w:ind w:left="1126" w:hanging="428"/>
      </w:pPr>
      <w:rPr>
        <w:rFonts w:ascii="Arial" w:cs="Arial" w:eastAsia="Arial" w:hAnsi="Arial"/>
        <w:b w:val="0"/>
        <w:bCs w:val="0"/>
        <w:i w:val="0"/>
        <w:iCs w:val="0"/>
        <w:sz w:val="22"/>
        <w:szCs w:val="22"/>
      </w:rPr>
    </w:lvl>
    <w:lvl w:ilvl="2">
      <w:start w:val="1"/>
      <w:numFmt w:val="upperLetter"/>
      <w:lvlText w:val="%3."/>
      <w:lvlJc w:val="left"/>
      <w:pPr>
        <w:ind w:left="1551" w:hanging="425"/>
      </w:pPr>
      <w:rPr>
        <w:rFonts w:ascii="Arial" w:cs="Arial" w:eastAsia="Arial" w:hAnsi="Arial"/>
        <w:b w:val="0"/>
        <w:bCs w:val="0"/>
        <w:i w:val="0"/>
        <w:iCs w:val="0"/>
        <w:sz w:val="22"/>
        <w:szCs w:val="22"/>
      </w:rPr>
    </w:lvl>
    <w:lvl w:ilvl="3">
      <w:start w:val="0"/>
      <w:numFmt w:val="bullet"/>
      <w:lvlText w:val="•"/>
      <w:lvlJc w:val="left"/>
      <w:pPr>
        <w:ind w:left="3411" w:hanging="425"/>
      </w:pPr>
      <w:rPr/>
    </w:lvl>
    <w:lvl w:ilvl="4">
      <w:start w:val="0"/>
      <w:numFmt w:val="bullet"/>
      <w:lvlText w:val="•"/>
      <w:lvlJc w:val="left"/>
      <w:pPr>
        <w:ind w:left="4337" w:hanging="425"/>
      </w:pPr>
      <w:rPr/>
    </w:lvl>
    <w:lvl w:ilvl="5">
      <w:start w:val="0"/>
      <w:numFmt w:val="bullet"/>
      <w:lvlText w:val="•"/>
      <w:lvlJc w:val="left"/>
      <w:pPr>
        <w:ind w:left="5262" w:hanging="425"/>
      </w:pPr>
      <w:rPr/>
    </w:lvl>
    <w:lvl w:ilvl="6">
      <w:start w:val="0"/>
      <w:numFmt w:val="bullet"/>
      <w:lvlText w:val="•"/>
      <w:lvlJc w:val="left"/>
      <w:pPr>
        <w:ind w:left="6188" w:hanging="425"/>
      </w:pPr>
      <w:rPr/>
    </w:lvl>
    <w:lvl w:ilvl="7">
      <w:start w:val="0"/>
      <w:numFmt w:val="bullet"/>
      <w:lvlText w:val="•"/>
      <w:lvlJc w:val="left"/>
      <w:pPr>
        <w:ind w:left="7114" w:hanging="425"/>
      </w:pPr>
      <w:rPr/>
    </w:lvl>
    <w:lvl w:ilvl="8">
      <w:start w:val="0"/>
      <w:numFmt w:val="bullet"/>
      <w:lvlText w:val="•"/>
      <w:lvlJc w:val="left"/>
      <w:pPr>
        <w:ind w:left="8039" w:hanging="425"/>
      </w:pPr>
      <w:rPr/>
    </w:lvl>
  </w:abstractNum>
  <w:abstractNum w:abstractNumId="49">
    <w:lvl w:ilvl="0">
      <w:start w:val="2"/>
      <w:numFmt w:val="decimal"/>
      <w:lvlText w:val="%1"/>
      <w:lvlJc w:val="left"/>
      <w:pPr>
        <w:ind w:left="1126" w:hanging="428"/>
      </w:pPr>
      <w:rPr/>
    </w:lvl>
    <w:lvl w:ilvl="1">
      <w:start w:val="1"/>
      <w:numFmt w:val="decimal"/>
      <w:lvlText w:val="%1.%2."/>
      <w:lvlJc w:val="left"/>
      <w:pPr>
        <w:ind w:left="1126" w:hanging="428"/>
      </w:pPr>
      <w:rPr>
        <w:rFonts w:ascii="Arial" w:cs="Arial" w:eastAsia="Arial" w:hAnsi="Arial"/>
        <w:b w:val="0"/>
        <w:bCs w:val="0"/>
        <w:i w:val="0"/>
        <w:iCs w:val="0"/>
        <w:sz w:val="22"/>
        <w:szCs w:val="22"/>
      </w:rPr>
    </w:lvl>
    <w:lvl w:ilvl="2">
      <w:start w:val="1"/>
      <w:numFmt w:val="upperLetter"/>
      <w:lvlText w:val="%3."/>
      <w:lvlJc w:val="left"/>
      <w:pPr>
        <w:ind w:left="1551" w:hanging="425"/>
      </w:pPr>
      <w:rPr>
        <w:rFonts w:ascii="Arial" w:cs="Arial" w:eastAsia="Arial" w:hAnsi="Arial"/>
        <w:b w:val="0"/>
        <w:bCs w:val="0"/>
        <w:i w:val="0"/>
        <w:iCs w:val="0"/>
        <w:color w:val="351c75"/>
        <w:sz w:val="22"/>
        <w:szCs w:val="22"/>
      </w:rPr>
    </w:lvl>
    <w:lvl w:ilvl="3">
      <w:start w:val="0"/>
      <w:numFmt w:val="bullet"/>
      <w:lvlText w:val="•"/>
      <w:lvlJc w:val="left"/>
      <w:pPr>
        <w:ind w:left="3411" w:hanging="425"/>
      </w:pPr>
      <w:rPr/>
    </w:lvl>
    <w:lvl w:ilvl="4">
      <w:start w:val="0"/>
      <w:numFmt w:val="bullet"/>
      <w:lvlText w:val="•"/>
      <w:lvlJc w:val="left"/>
      <w:pPr>
        <w:ind w:left="4337" w:hanging="425"/>
      </w:pPr>
      <w:rPr/>
    </w:lvl>
    <w:lvl w:ilvl="5">
      <w:start w:val="0"/>
      <w:numFmt w:val="bullet"/>
      <w:lvlText w:val="•"/>
      <w:lvlJc w:val="left"/>
      <w:pPr>
        <w:ind w:left="5262" w:hanging="425"/>
      </w:pPr>
      <w:rPr/>
    </w:lvl>
    <w:lvl w:ilvl="6">
      <w:start w:val="0"/>
      <w:numFmt w:val="bullet"/>
      <w:lvlText w:val="•"/>
      <w:lvlJc w:val="left"/>
      <w:pPr>
        <w:ind w:left="6188" w:hanging="425"/>
      </w:pPr>
      <w:rPr/>
    </w:lvl>
    <w:lvl w:ilvl="7">
      <w:start w:val="0"/>
      <w:numFmt w:val="bullet"/>
      <w:lvlText w:val="•"/>
      <w:lvlJc w:val="left"/>
      <w:pPr>
        <w:ind w:left="7114" w:hanging="425"/>
      </w:pPr>
      <w:rPr/>
    </w:lvl>
    <w:lvl w:ilvl="8">
      <w:start w:val="0"/>
      <w:numFmt w:val="bullet"/>
      <w:lvlText w:val="•"/>
      <w:lvlJc w:val="left"/>
      <w:pPr>
        <w:ind w:left="8039" w:hanging="425"/>
      </w:pPr>
      <w:rPr/>
    </w:lvl>
  </w:abstractNum>
  <w:abstractNum w:abstractNumId="50">
    <w:lvl w:ilvl="0">
      <w:start w:val="1"/>
      <w:numFmt w:val="decimal"/>
      <w:lvlText w:val="%1"/>
      <w:lvlJc w:val="left"/>
      <w:pPr>
        <w:ind w:left="1126" w:hanging="480"/>
      </w:pPr>
      <w:rPr/>
    </w:lvl>
    <w:lvl w:ilvl="1">
      <w:start w:val="3"/>
      <w:numFmt w:val="decimal"/>
      <w:lvlText w:val="%1.%2."/>
      <w:lvlJc w:val="left"/>
      <w:pPr>
        <w:ind w:left="1126" w:hanging="480"/>
      </w:pPr>
      <w:rPr>
        <w:rFonts w:ascii="Arial" w:cs="Arial" w:eastAsia="Arial" w:hAnsi="Arial"/>
        <w:b w:val="0"/>
        <w:bCs w:val="0"/>
        <w:i w:val="0"/>
        <w:iCs w:val="0"/>
        <w:sz w:val="22"/>
        <w:szCs w:val="22"/>
      </w:rPr>
    </w:lvl>
    <w:lvl w:ilvl="2">
      <w:start w:val="1"/>
      <w:numFmt w:val="upperLetter"/>
      <w:lvlText w:val="%3."/>
      <w:lvlJc w:val="left"/>
      <w:pPr>
        <w:ind w:left="1573" w:hanging="360"/>
      </w:pPr>
      <w:rPr>
        <w:rFonts w:ascii="Arial" w:cs="Arial" w:eastAsia="Arial" w:hAnsi="Arial"/>
        <w:b w:val="0"/>
        <w:bCs w:val="0"/>
        <w:i w:val="0"/>
        <w:iCs w:val="0"/>
        <w:sz w:val="22"/>
        <w:szCs w:val="22"/>
      </w:rPr>
    </w:lvl>
    <w:lvl w:ilvl="3">
      <w:start w:val="0"/>
      <w:numFmt w:val="bullet"/>
      <w:lvlText w:val="•"/>
      <w:lvlJc w:val="left"/>
      <w:pPr>
        <w:ind w:left="3426" w:hanging="360"/>
      </w:pPr>
      <w:rPr/>
    </w:lvl>
    <w:lvl w:ilvl="4">
      <w:start w:val="0"/>
      <w:numFmt w:val="bullet"/>
      <w:lvlText w:val="•"/>
      <w:lvlJc w:val="left"/>
      <w:pPr>
        <w:ind w:left="4350" w:hanging="360"/>
      </w:pPr>
      <w:rPr/>
    </w:lvl>
    <w:lvl w:ilvl="5">
      <w:start w:val="0"/>
      <w:numFmt w:val="bullet"/>
      <w:lvlText w:val="•"/>
      <w:lvlJc w:val="left"/>
      <w:pPr>
        <w:ind w:left="5273" w:hanging="360"/>
      </w:pPr>
      <w:rPr/>
    </w:lvl>
    <w:lvl w:ilvl="6">
      <w:start w:val="0"/>
      <w:numFmt w:val="bullet"/>
      <w:lvlText w:val="•"/>
      <w:lvlJc w:val="left"/>
      <w:pPr>
        <w:ind w:left="6197" w:hanging="360"/>
      </w:pPr>
      <w:rPr/>
    </w:lvl>
    <w:lvl w:ilvl="7">
      <w:start w:val="0"/>
      <w:numFmt w:val="bullet"/>
      <w:lvlText w:val="•"/>
      <w:lvlJc w:val="left"/>
      <w:pPr>
        <w:ind w:left="7120" w:hanging="360"/>
      </w:pPr>
      <w:rPr/>
    </w:lvl>
    <w:lvl w:ilvl="8">
      <w:start w:val="0"/>
      <w:numFmt w:val="bullet"/>
      <w:lvlText w:val="•"/>
      <w:lvlJc w:val="left"/>
      <w:pPr>
        <w:ind w:left="8044" w:hanging="360"/>
      </w:pPr>
      <w:rPr/>
    </w:lvl>
  </w:abstractNum>
  <w:abstractNum w:abstractNumId="51">
    <w:lvl w:ilvl="0">
      <w:start w:val="1"/>
      <w:numFmt w:val="decimal"/>
      <w:lvlText w:val="%1"/>
      <w:lvlJc w:val="left"/>
      <w:pPr>
        <w:ind w:left="1126" w:hanging="444.0000000000001"/>
      </w:pPr>
      <w:rPr/>
    </w:lvl>
    <w:lvl w:ilvl="1">
      <w:start w:val="1"/>
      <w:numFmt w:val="decimal"/>
      <w:lvlText w:val="%1.%2"/>
      <w:lvlJc w:val="left"/>
      <w:pPr>
        <w:ind w:left="1126" w:hanging="444.0000000000001"/>
      </w:pPr>
      <w:rPr>
        <w:rFonts w:ascii="Arial" w:cs="Arial" w:eastAsia="Arial" w:hAnsi="Arial"/>
        <w:b w:val="0"/>
        <w:bCs w:val="0"/>
        <w:i w:val="0"/>
        <w:iCs w:val="0"/>
        <w:sz w:val="22"/>
        <w:szCs w:val="22"/>
      </w:rPr>
    </w:lvl>
    <w:lvl w:ilvl="2">
      <w:start w:val="1"/>
      <w:numFmt w:val="upperLetter"/>
      <w:lvlText w:val="%3."/>
      <w:lvlJc w:val="left"/>
      <w:pPr>
        <w:ind w:left="1551" w:hanging="425"/>
      </w:pPr>
      <w:rPr>
        <w:rFonts w:ascii="Arial" w:cs="Arial" w:eastAsia="Arial" w:hAnsi="Arial"/>
        <w:b w:val="0"/>
        <w:bCs w:val="0"/>
        <w:i w:val="0"/>
        <w:iCs w:val="0"/>
        <w:sz w:val="22"/>
        <w:szCs w:val="22"/>
      </w:rPr>
    </w:lvl>
    <w:lvl w:ilvl="3">
      <w:start w:val="0"/>
      <w:numFmt w:val="bullet"/>
      <w:lvlText w:val="•"/>
      <w:lvlJc w:val="left"/>
      <w:pPr>
        <w:ind w:left="2618" w:hanging="425"/>
      </w:pPr>
      <w:rPr/>
    </w:lvl>
    <w:lvl w:ilvl="4">
      <w:start w:val="0"/>
      <w:numFmt w:val="bullet"/>
      <w:lvlText w:val="•"/>
      <w:lvlJc w:val="left"/>
      <w:pPr>
        <w:ind w:left="3657" w:hanging="425"/>
      </w:pPr>
      <w:rPr/>
    </w:lvl>
    <w:lvl w:ilvl="5">
      <w:start w:val="0"/>
      <w:numFmt w:val="bullet"/>
      <w:lvlText w:val="•"/>
      <w:lvlJc w:val="left"/>
      <w:pPr>
        <w:ind w:left="4696" w:hanging="425"/>
      </w:pPr>
      <w:rPr/>
    </w:lvl>
    <w:lvl w:ilvl="6">
      <w:start w:val="0"/>
      <w:numFmt w:val="bullet"/>
      <w:lvlText w:val="•"/>
      <w:lvlJc w:val="left"/>
      <w:pPr>
        <w:ind w:left="5735" w:hanging="425"/>
      </w:pPr>
      <w:rPr/>
    </w:lvl>
    <w:lvl w:ilvl="7">
      <w:start w:val="0"/>
      <w:numFmt w:val="bullet"/>
      <w:lvlText w:val="•"/>
      <w:lvlJc w:val="left"/>
      <w:pPr>
        <w:ind w:left="6774" w:hanging="425"/>
      </w:pPr>
      <w:rPr/>
    </w:lvl>
    <w:lvl w:ilvl="8">
      <w:start w:val="0"/>
      <w:numFmt w:val="bullet"/>
      <w:lvlText w:val="•"/>
      <w:lvlJc w:val="left"/>
      <w:pPr>
        <w:ind w:left="7813" w:hanging="425"/>
      </w:pPr>
      <w:rPr/>
    </w:lvl>
  </w:abstractNum>
  <w:abstractNum w:abstractNumId="5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4">
    <w:lvl w:ilvl="0">
      <w:start w:val="2"/>
      <w:numFmt w:val="decimal"/>
      <w:lvlText w:val="%1"/>
      <w:lvlJc w:val="left"/>
      <w:pPr>
        <w:ind w:left="1126" w:hanging="428"/>
      </w:pPr>
      <w:rPr/>
    </w:lvl>
    <w:lvl w:ilvl="1">
      <w:start w:val="1"/>
      <w:numFmt w:val="decimal"/>
      <w:lvlText w:val="%1.%2."/>
      <w:lvlJc w:val="left"/>
      <w:pPr>
        <w:ind w:left="1126" w:hanging="428"/>
      </w:pPr>
      <w:rPr>
        <w:rFonts w:ascii="Arial" w:cs="Arial" w:eastAsia="Arial" w:hAnsi="Arial"/>
        <w:b w:val="0"/>
        <w:bCs w:val="0"/>
        <w:i w:val="0"/>
        <w:iCs w:val="0"/>
        <w:sz w:val="22"/>
        <w:szCs w:val="22"/>
      </w:rPr>
    </w:lvl>
    <w:lvl w:ilvl="2">
      <w:start w:val="1"/>
      <w:numFmt w:val="upperLetter"/>
      <w:lvlText w:val="%3."/>
      <w:lvlJc w:val="left"/>
      <w:pPr>
        <w:ind w:left="1551" w:hanging="425"/>
      </w:pPr>
      <w:rPr>
        <w:rFonts w:ascii="Arial" w:cs="Arial" w:eastAsia="Arial" w:hAnsi="Arial"/>
        <w:b w:val="0"/>
        <w:bCs w:val="0"/>
        <w:i w:val="0"/>
        <w:iCs w:val="0"/>
        <w:sz w:val="22"/>
        <w:szCs w:val="22"/>
      </w:rPr>
    </w:lvl>
    <w:lvl w:ilvl="3">
      <w:start w:val="0"/>
      <w:numFmt w:val="bullet"/>
      <w:lvlText w:val="•"/>
      <w:lvlJc w:val="left"/>
      <w:pPr>
        <w:ind w:left="3411" w:hanging="425"/>
      </w:pPr>
      <w:rPr/>
    </w:lvl>
    <w:lvl w:ilvl="4">
      <w:start w:val="0"/>
      <w:numFmt w:val="bullet"/>
      <w:lvlText w:val="•"/>
      <w:lvlJc w:val="left"/>
      <w:pPr>
        <w:ind w:left="4337" w:hanging="425"/>
      </w:pPr>
      <w:rPr/>
    </w:lvl>
    <w:lvl w:ilvl="5">
      <w:start w:val="0"/>
      <w:numFmt w:val="bullet"/>
      <w:lvlText w:val="•"/>
      <w:lvlJc w:val="left"/>
      <w:pPr>
        <w:ind w:left="5262" w:hanging="425"/>
      </w:pPr>
      <w:rPr/>
    </w:lvl>
    <w:lvl w:ilvl="6">
      <w:start w:val="0"/>
      <w:numFmt w:val="bullet"/>
      <w:lvlText w:val="•"/>
      <w:lvlJc w:val="left"/>
      <w:pPr>
        <w:ind w:left="6188" w:hanging="425"/>
      </w:pPr>
      <w:rPr/>
    </w:lvl>
    <w:lvl w:ilvl="7">
      <w:start w:val="0"/>
      <w:numFmt w:val="bullet"/>
      <w:lvlText w:val="•"/>
      <w:lvlJc w:val="left"/>
      <w:pPr>
        <w:ind w:left="7114" w:hanging="425"/>
      </w:pPr>
      <w:rPr/>
    </w:lvl>
    <w:lvl w:ilvl="8">
      <w:start w:val="0"/>
      <w:numFmt w:val="bullet"/>
      <w:lvlText w:val="•"/>
      <w:lvlJc w:val="left"/>
      <w:pPr>
        <w:ind w:left="8039" w:hanging="425"/>
      </w:pPr>
      <w:rPr/>
    </w:lvl>
  </w:abstractNum>
  <w:abstractNum w:abstractNumId="55">
    <w:lvl w:ilvl="0">
      <w:start w:val="2"/>
      <w:numFmt w:val="decimal"/>
      <w:lvlText w:val="%1"/>
      <w:lvlJc w:val="left"/>
      <w:pPr>
        <w:ind w:left="1126" w:hanging="428"/>
      </w:pPr>
      <w:rPr/>
    </w:lvl>
    <w:lvl w:ilvl="1">
      <w:start w:val="1"/>
      <w:numFmt w:val="decimal"/>
      <w:lvlText w:val="%1.%2."/>
      <w:lvlJc w:val="left"/>
      <w:pPr>
        <w:ind w:left="1126" w:hanging="428"/>
      </w:pPr>
      <w:rPr>
        <w:rFonts w:ascii="Arial" w:cs="Arial" w:eastAsia="Arial" w:hAnsi="Arial"/>
        <w:b w:val="0"/>
        <w:bCs w:val="0"/>
        <w:i w:val="0"/>
        <w:iCs w:val="0"/>
        <w:sz w:val="22"/>
        <w:szCs w:val="22"/>
      </w:rPr>
    </w:lvl>
    <w:lvl w:ilvl="2">
      <w:start w:val="1"/>
      <w:numFmt w:val="upperLetter"/>
      <w:lvlText w:val="%3."/>
      <w:lvlJc w:val="left"/>
      <w:pPr>
        <w:ind w:left="1551" w:hanging="425"/>
      </w:pPr>
      <w:rPr>
        <w:rFonts w:ascii="Arial" w:cs="Arial" w:eastAsia="Arial" w:hAnsi="Arial"/>
        <w:b w:val="0"/>
        <w:bCs w:val="0"/>
        <w:i w:val="0"/>
        <w:iCs w:val="0"/>
        <w:sz w:val="22"/>
        <w:szCs w:val="22"/>
      </w:rPr>
    </w:lvl>
    <w:lvl w:ilvl="3">
      <w:start w:val="0"/>
      <w:numFmt w:val="bullet"/>
      <w:lvlText w:val="•"/>
      <w:lvlJc w:val="left"/>
      <w:pPr>
        <w:ind w:left="3411" w:hanging="425"/>
      </w:pPr>
      <w:rPr/>
    </w:lvl>
    <w:lvl w:ilvl="4">
      <w:start w:val="0"/>
      <w:numFmt w:val="bullet"/>
      <w:lvlText w:val="•"/>
      <w:lvlJc w:val="left"/>
      <w:pPr>
        <w:ind w:left="4337" w:hanging="425"/>
      </w:pPr>
      <w:rPr/>
    </w:lvl>
    <w:lvl w:ilvl="5">
      <w:start w:val="0"/>
      <w:numFmt w:val="bullet"/>
      <w:lvlText w:val="•"/>
      <w:lvlJc w:val="left"/>
      <w:pPr>
        <w:ind w:left="5262" w:hanging="425"/>
      </w:pPr>
      <w:rPr/>
    </w:lvl>
    <w:lvl w:ilvl="6">
      <w:start w:val="0"/>
      <w:numFmt w:val="bullet"/>
      <w:lvlText w:val="•"/>
      <w:lvlJc w:val="left"/>
      <w:pPr>
        <w:ind w:left="6188" w:hanging="425"/>
      </w:pPr>
      <w:rPr/>
    </w:lvl>
    <w:lvl w:ilvl="7">
      <w:start w:val="0"/>
      <w:numFmt w:val="bullet"/>
      <w:lvlText w:val="•"/>
      <w:lvlJc w:val="left"/>
      <w:pPr>
        <w:ind w:left="7114" w:hanging="425"/>
      </w:pPr>
      <w:rPr/>
    </w:lvl>
    <w:lvl w:ilvl="8">
      <w:start w:val="0"/>
      <w:numFmt w:val="bullet"/>
      <w:lvlText w:val="•"/>
      <w:lvlJc w:val="left"/>
      <w:pPr>
        <w:ind w:left="8039" w:hanging="425"/>
      </w:pPr>
      <w:rPr/>
    </w:lvl>
  </w:abstractNum>
  <w:abstractNum w:abstractNumId="56">
    <w:lvl w:ilvl="0">
      <w:start w:val="2"/>
      <w:numFmt w:val="decimal"/>
      <w:lvlText w:val="%1"/>
      <w:lvlJc w:val="left"/>
      <w:pPr>
        <w:ind w:left="1126" w:hanging="428"/>
      </w:pPr>
      <w:rPr/>
    </w:lvl>
    <w:lvl w:ilvl="1">
      <w:start w:val="1"/>
      <w:numFmt w:val="decimal"/>
      <w:lvlText w:val="%1.%2."/>
      <w:lvlJc w:val="left"/>
      <w:pPr>
        <w:ind w:left="1126" w:hanging="428"/>
      </w:pPr>
      <w:rPr>
        <w:rFonts w:ascii="Arial" w:cs="Arial" w:eastAsia="Arial" w:hAnsi="Arial"/>
        <w:b w:val="0"/>
        <w:bCs w:val="0"/>
        <w:i w:val="0"/>
        <w:iCs w:val="0"/>
        <w:sz w:val="22"/>
        <w:szCs w:val="22"/>
      </w:rPr>
    </w:lvl>
    <w:lvl w:ilvl="2">
      <w:start w:val="1"/>
      <w:numFmt w:val="upperLetter"/>
      <w:lvlText w:val="%3."/>
      <w:lvlJc w:val="left"/>
      <w:pPr>
        <w:ind w:left="1551" w:hanging="425"/>
      </w:pPr>
      <w:rPr>
        <w:rFonts w:ascii="Arial" w:cs="Arial" w:eastAsia="Arial" w:hAnsi="Arial"/>
        <w:b w:val="0"/>
        <w:bCs w:val="0"/>
        <w:i w:val="0"/>
        <w:iCs w:val="0"/>
        <w:sz w:val="22"/>
        <w:szCs w:val="22"/>
      </w:rPr>
    </w:lvl>
    <w:lvl w:ilvl="3">
      <w:start w:val="0"/>
      <w:numFmt w:val="bullet"/>
      <w:lvlText w:val="•"/>
      <w:lvlJc w:val="left"/>
      <w:pPr>
        <w:ind w:left="3411" w:hanging="425"/>
      </w:pPr>
      <w:rPr/>
    </w:lvl>
    <w:lvl w:ilvl="4">
      <w:start w:val="0"/>
      <w:numFmt w:val="bullet"/>
      <w:lvlText w:val="•"/>
      <w:lvlJc w:val="left"/>
      <w:pPr>
        <w:ind w:left="4337" w:hanging="425"/>
      </w:pPr>
      <w:rPr/>
    </w:lvl>
    <w:lvl w:ilvl="5">
      <w:start w:val="0"/>
      <w:numFmt w:val="bullet"/>
      <w:lvlText w:val="•"/>
      <w:lvlJc w:val="left"/>
      <w:pPr>
        <w:ind w:left="5262" w:hanging="425"/>
      </w:pPr>
      <w:rPr/>
    </w:lvl>
    <w:lvl w:ilvl="6">
      <w:start w:val="0"/>
      <w:numFmt w:val="bullet"/>
      <w:lvlText w:val="•"/>
      <w:lvlJc w:val="left"/>
      <w:pPr>
        <w:ind w:left="6188" w:hanging="425"/>
      </w:pPr>
      <w:rPr/>
    </w:lvl>
    <w:lvl w:ilvl="7">
      <w:start w:val="0"/>
      <w:numFmt w:val="bullet"/>
      <w:lvlText w:val="•"/>
      <w:lvlJc w:val="left"/>
      <w:pPr>
        <w:ind w:left="7114" w:hanging="425"/>
      </w:pPr>
      <w:rPr/>
    </w:lvl>
    <w:lvl w:ilvl="8">
      <w:start w:val="0"/>
      <w:numFmt w:val="bullet"/>
      <w:lvlText w:val="•"/>
      <w:lvlJc w:val="left"/>
      <w:pPr>
        <w:ind w:left="8039" w:hanging="425"/>
      </w:pPr>
      <w:rPr/>
    </w:lvl>
  </w:abstractNum>
  <w:abstractNum w:abstractNumId="5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lvl w:ilvl="0">
      <w:start w:val="1"/>
      <w:numFmt w:val="decimal"/>
      <w:lvlText w:val="%1."/>
      <w:lvlJc w:val="left"/>
      <w:pPr>
        <w:ind w:left="720" w:firstLine="130.3937007874017"/>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840" w:before="480" w:line="276" w:lineRule="auto"/>
      <w:ind w:left="-11"/>
      <w:jc w:val="center"/>
    </w:pPr>
    <w:rPr>
      <w:b w:val="1"/>
      <w:bCs w:val="1"/>
    </w:rPr>
  </w:style>
  <w:style w:type="paragraph" w:styleId="Heading2">
    <w:name w:val="heading 2"/>
    <w:basedOn w:val="Normal"/>
    <w:next w:val="Normal"/>
    <w:pPr>
      <w:tabs>
        <w:tab w:val="left" w:leader="none" w:pos="284"/>
      </w:tabs>
      <w:spacing w:after="160" w:before="240" w:lineRule="auto"/>
      <w:ind w:left="266" w:hanging="266"/>
    </w:pPr>
    <w:rPr>
      <w:b w:val="1"/>
      <w:bCs w:val="1"/>
    </w:rPr>
  </w:style>
  <w:style w:type="paragraph" w:styleId="Heading3">
    <w:name w:val="heading 3"/>
    <w:basedOn w:val="Normal"/>
    <w:next w:val="Normal"/>
    <w:pPr>
      <w:keepNext w:val="1"/>
      <w:keepLines w:val="1"/>
      <w:spacing w:after="120" w:before="200" w:line="276" w:lineRule="auto"/>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720" w:right="546" w:firstLine="20.999999999999943"/>
    </w:pPr>
    <w:rPr>
      <w:rFonts w:ascii="Century Gothic" w:cs="Century Gothic" w:eastAsia="Century Gothic" w:hAnsi="Century Gothic"/>
      <w:b w:val="1"/>
      <w:bCs w:val="1"/>
      <w:sz w:val="62"/>
      <w:szCs w:val="6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drive/folders/1yo_ChUsORFeLhqBTOuTQ9WCNfPGGrzlp?usp=sharing" TargetMode="External"/><Relationship Id="rId22" Type="http://schemas.openxmlformats.org/officeDocument/2006/relationships/image" Target="media/image3.png"/><Relationship Id="rId21" Type="http://schemas.openxmlformats.org/officeDocument/2006/relationships/hyperlink" Target="https://drive.google.com/drive/folders/16xEyMcx_fINtqM2gc4U8ZxKF3sIg6RPW?usp=sharing" TargetMode="External"/><Relationship Id="rId24" Type="http://schemas.openxmlformats.org/officeDocument/2006/relationships/hyperlink" Target="https://spektro-bi.org/event/pengumuman-pemenang-research-grant-bank-indonesia-tahun-2023-1" TargetMode="External"/><Relationship Id="rId23" Type="http://schemas.openxmlformats.org/officeDocument/2006/relationships/hyperlink" Target="https://www.spektro-bi.org/event/resarch-grant-bank-indonesia-tahun-2023-1"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humas@Poltekssn.ac.id" TargetMode="External"/><Relationship Id="rId26" Type="http://schemas.openxmlformats.org/officeDocument/2006/relationships/hyperlink" Target="https://poltekssn.ac.id" TargetMode="External"/><Relationship Id="rId25" Type="http://schemas.openxmlformats.org/officeDocument/2006/relationships/image" Target="media/image4.png"/><Relationship Id="rId28" Type="http://schemas.openxmlformats.org/officeDocument/2006/relationships/footer" Target="footer3.xml"/><Relationship Id="rId27" Type="http://schemas.openxmlformats.org/officeDocument/2006/relationships/hyperlink" Target="https://poltekssn.ac.id"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5.png"/><Relationship Id="rId8" Type="http://schemas.openxmlformats.org/officeDocument/2006/relationships/header" Target="header1.xml"/><Relationship Id="rId11" Type="http://schemas.openxmlformats.org/officeDocument/2006/relationships/hyperlink" Target="https://drive.google.com/file/d/1RTDLEKEwU9GaAdEmAmuhNM5vhiYxRumd/view?usp=sharing" TargetMode="External"/><Relationship Id="rId10" Type="http://schemas.openxmlformats.org/officeDocument/2006/relationships/hyperlink" Target="https://poltekssn.ac.id/" TargetMode="External"/><Relationship Id="rId13" Type="http://schemas.openxmlformats.org/officeDocument/2006/relationships/hyperlink" Target="https://drive.google.com/file/d/1kSBsz50E7DbexaSdHjejEulWj60DGx_E/view?usp=sharing" TargetMode="External"/><Relationship Id="rId12" Type="http://schemas.openxmlformats.org/officeDocument/2006/relationships/hyperlink" Target="https://drive.google.com/file/d/1tErdEpQwOVFNPYiHYfOQBtvdEVen2bKn/view?usp=sharing" TargetMode="External"/><Relationship Id="rId15" Type="http://schemas.openxmlformats.org/officeDocument/2006/relationships/hyperlink" Target="https://drive.google.com/file/d/1NOjYNJFOhHGSZsyHKJgNzYoQFulGG31j/view?usp=sharing" TargetMode="External"/><Relationship Id="rId14" Type="http://schemas.openxmlformats.org/officeDocument/2006/relationships/hyperlink" Target="https://drive.google.com/file/d/1DxIg9CEY2J35c0pXu-zlry18XYzdd91k/view?usp=sharing" TargetMode="External"/><Relationship Id="rId17" Type="http://schemas.openxmlformats.org/officeDocument/2006/relationships/footer" Target="footer1.xml"/><Relationship Id="rId16" Type="http://schemas.openxmlformats.org/officeDocument/2006/relationships/hyperlink" Target="https://drive.google.com/file/d/1qghPQSi3zgU29ts_0txB64Vx2rgkQPDi/view?usp=sharing" TargetMode="External"/><Relationship Id="rId19" Type="http://schemas.openxmlformats.org/officeDocument/2006/relationships/footer" Target="footer2.xml"/><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 Id="rId2"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5.png"/><Relationship Id="rId2"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0.png"/><Relationship Id="rId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2025-04-29T00:00:00Z</vt:lpwstr>
  </property>
  <property fmtid="{D5CDD505-2E9C-101B-9397-08002B2CF9AE}" pid="3" name="Creator">
    <vt:lpwstr>Microsoft® Word for Microsoft 365</vt:lpwstr>
  </property>
  <property fmtid="{D5CDD505-2E9C-101B-9397-08002B2CF9AE}" pid="4" name="LastSaved">
    <vt:lpwstr>2025-06-19T00:00:00Z</vt:lpwstr>
  </property>
</Properties>
</file>