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12E4" w14:textId="77777777" w:rsidR="00EC7767" w:rsidRDefault="00DD33E4">
      <w:pPr>
        <w:spacing w:after="60"/>
      </w:pPr>
      <w:proofErr w:type="spellStart"/>
      <w:r>
        <w:rPr>
          <w:b/>
          <w:bCs/>
          <w:color w:val="1A1A2E"/>
          <w:sz w:val="40"/>
          <w:szCs w:val="40"/>
        </w:rPr>
        <w:t>RealmSpace</w:t>
      </w:r>
      <w:proofErr w:type="spellEnd"/>
      <w:r>
        <w:rPr>
          <w:b/>
          <w:bCs/>
          <w:color w:val="1A1A2E"/>
          <w:sz w:val="40"/>
          <w:szCs w:val="40"/>
        </w:rPr>
        <w:t xml:space="preserve"> — Internal Language Guide</w:t>
      </w:r>
    </w:p>
    <w:p w14:paraId="7C9D61F8" w14:textId="77777777" w:rsidR="00EC7767" w:rsidRDefault="00DD33E4">
      <w:pPr>
        <w:pBdr>
          <w:bottom w:val="single" w:sz="6" w:space="1" w:color="4A90D9"/>
        </w:pBdr>
        <w:spacing w:after="160"/>
      </w:pPr>
      <w:r>
        <w:rPr>
          <w:i/>
          <w:iCs/>
          <w:color w:val="444444"/>
        </w:rPr>
        <w:t xml:space="preserve">A living reference guide for how Floats talks about </w:t>
      </w:r>
      <w:proofErr w:type="spellStart"/>
      <w:r>
        <w:rPr>
          <w:i/>
          <w:iCs/>
          <w:color w:val="444444"/>
        </w:rPr>
        <w:t>RealmSpace</w:t>
      </w:r>
      <w:proofErr w:type="spellEnd"/>
      <w:r>
        <w:rPr>
          <w:i/>
          <w:iCs/>
          <w:color w:val="444444"/>
        </w:rPr>
        <w:t xml:space="preserve"> — internally and externally. Use this when writing decks, proposals, outreach emails, or any client-facing material. Update it as the language evolves.</w:t>
      </w:r>
    </w:p>
    <w:p w14:paraId="3CC46D37" w14:textId="77777777" w:rsidR="00EC7767" w:rsidRDefault="00EC7767">
      <w:pPr>
        <w:spacing w:before="60"/>
      </w:pPr>
    </w:p>
    <w:p w14:paraId="569EB610" w14:textId="77777777" w:rsidR="00EC7767" w:rsidRDefault="00DD33E4">
      <w:pPr>
        <w:pStyle w:val="Heading1"/>
      </w:pPr>
      <w:r>
        <w:t>1. The One-Sentence Description</w:t>
      </w:r>
    </w:p>
    <w:p w14:paraId="21BB70E9" w14:textId="77777777" w:rsidR="00EC7767" w:rsidRDefault="00EC7767">
      <w:pPr>
        <w:spacing w:before="40"/>
      </w:pPr>
    </w:p>
    <w:p w14:paraId="2EE7601B" w14:textId="77777777" w:rsidR="00EC7767" w:rsidRDefault="00DD33E4">
      <w:pPr>
        <w:shd w:val="clear" w:color="auto" w:fill="1A1A2E"/>
        <w:spacing w:before="40" w:after="40"/>
      </w:pPr>
      <w:r>
        <w:rPr>
          <w:b/>
          <w:bCs/>
          <w:color w:val="FFFFFF"/>
          <w:sz w:val="24"/>
          <w:szCs w:val="24"/>
        </w:rPr>
        <w:t xml:space="preserve">  </w:t>
      </w:r>
      <w:proofErr w:type="spellStart"/>
      <w:r>
        <w:rPr>
          <w:b/>
          <w:bCs/>
          <w:color w:val="FFFFFF"/>
          <w:sz w:val="24"/>
          <w:szCs w:val="24"/>
        </w:rPr>
        <w:t>RealmSpace</w:t>
      </w:r>
      <w:proofErr w:type="spellEnd"/>
      <w:r>
        <w:rPr>
          <w:b/>
          <w:bCs/>
          <w:color w:val="FFFFFF"/>
          <w:sz w:val="24"/>
          <w:szCs w:val="24"/>
        </w:rPr>
        <w:t xml:space="preserve"> helps brands and venue operators see what happened in a physical experience, prove what worked, and improve what happens next.  </w:t>
      </w:r>
    </w:p>
    <w:p w14:paraId="7D5EADE4" w14:textId="77777777" w:rsidR="00EC7767" w:rsidRDefault="00EC7767">
      <w:pPr>
        <w:spacing w:before="40"/>
      </w:pPr>
    </w:p>
    <w:p w14:paraId="34420BF9" w14:textId="77777777" w:rsidR="00EC7767" w:rsidRDefault="00DD33E4">
      <w:pPr>
        <w:spacing w:before="50" w:after="50"/>
      </w:pPr>
      <w:r>
        <w:t>Use this as the anchor. If a sentence in a deck or proposal doesn't connect back to one of these three ideas — see, prove, improve — it probably doesn't need to be there.</w:t>
      </w:r>
    </w:p>
    <w:p w14:paraId="64D22AF1" w14:textId="77777777" w:rsidR="00EC7767" w:rsidRDefault="00EC7767">
      <w:pPr>
        <w:spacing w:before="40"/>
      </w:pPr>
    </w:p>
    <w:p w14:paraId="6DC6576F" w14:textId="77777777" w:rsidR="00EC7767" w:rsidRDefault="00DD33E4">
      <w:pPr>
        <w:pBdr>
          <w:left w:val="single" w:sz="14" w:space="4" w:color="FFA500"/>
        </w:pBdr>
        <w:shd w:val="clear" w:color="auto" w:fill="FFF8E1"/>
        <w:spacing w:before="60" w:after="60"/>
        <w:ind w:left="360"/>
      </w:pPr>
      <w:r>
        <w:rPr>
          <w:b/>
          <w:bCs/>
          <w:color w:val="FFA500"/>
          <w:sz w:val="19"/>
          <w:szCs w:val="19"/>
        </w:rPr>
        <w:t xml:space="preserve">Note:  </w:t>
      </w:r>
      <w:r>
        <w:rPr>
          <w:color w:val="7B5800"/>
          <w:sz w:val="19"/>
          <w:szCs w:val="19"/>
        </w:rPr>
        <w:t>This replaces the older framing of 'immersive experiences' as the lead story. Immersive execution is still part of what Floats does — but it is now the delivery format, not the commercial narrative.</w:t>
      </w:r>
    </w:p>
    <w:p w14:paraId="6D152F23" w14:textId="77777777" w:rsidR="00EC7767" w:rsidRDefault="00EC7767">
      <w:pPr>
        <w:spacing w:before="100"/>
      </w:pPr>
    </w:p>
    <w:p w14:paraId="60BE4E9E" w14:textId="77777777" w:rsidR="00EC7767" w:rsidRDefault="00EC7767">
      <w:pPr>
        <w:pBdr>
          <w:bottom w:val="single" w:sz="4" w:space="1" w:color="CCCCCC"/>
        </w:pBdr>
        <w:spacing w:before="100"/>
      </w:pPr>
    </w:p>
    <w:p w14:paraId="7FDAFBCE" w14:textId="77777777" w:rsidR="00EC7767" w:rsidRDefault="00DD33E4">
      <w:pPr>
        <w:pStyle w:val="Heading1"/>
      </w:pPr>
      <w:r>
        <w:t>2. The Three-Part Commercial Narrative</w:t>
      </w:r>
    </w:p>
    <w:p w14:paraId="0EFB0A12" w14:textId="77777777" w:rsidR="00EC7767" w:rsidRDefault="00DD33E4">
      <w:pPr>
        <w:spacing w:before="50" w:after="50"/>
      </w:pPr>
      <w:r>
        <w:t>Every deck, proposal, and outreach email should be built around this sequence. In this order.</w:t>
      </w:r>
    </w:p>
    <w:p w14:paraId="4FBE0E29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80"/>
        <w:gridCol w:w="3880"/>
      </w:tblGrid>
      <w:tr w:rsidR="00EC7767" w14:paraId="31B77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0885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Step</w:t>
            </w:r>
          </w:p>
        </w:tc>
        <w:tc>
          <w:tcPr>
            <w:tcW w:w="368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B70D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What It Means</w:t>
            </w:r>
          </w:p>
        </w:tc>
        <w:tc>
          <w:tcPr>
            <w:tcW w:w="388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344E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Plain English for Clients</w:t>
            </w:r>
          </w:p>
        </w:tc>
      </w:tr>
      <w:tr w:rsidR="00EC7767" w14:paraId="7E76CA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BF09" w14:textId="77777777" w:rsidR="00EC7767" w:rsidRDefault="00DD33E4">
            <w:r>
              <w:rPr>
                <w:sz w:val="19"/>
                <w:szCs w:val="19"/>
              </w:rPr>
              <w:t>Measurement (See)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9D4E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captures what people </w:t>
            </w:r>
            <w:proofErr w:type="gramStart"/>
            <w:r>
              <w:rPr>
                <w:sz w:val="19"/>
                <w:szCs w:val="19"/>
              </w:rPr>
              <w:t>actually do</w:t>
            </w:r>
            <w:proofErr w:type="gramEnd"/>
            <w:r>
              <w:rPr>
                <w:sz w:val="19"/>
                <w:szCs w:val="19"/>
              </w:rPr>
              <w:t xml:space="preserve"> in a physical space — where they go, what they engage with, how long they stay, what drives action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756E" w14:textId="77777777" w:rsidR="00EC7767" w:rsidRDefault="00DD33E4">
            <w:r>
              <w:rPr>
                <w:sz w:val="19"/>
                <w:szCs w:val="19"/>
              </w:rPr>
              <w:t>You'll know exactly what happened at your activation — not guesswork, not footfall estimates. Real behavioural data.</w:t>
            </w:r>
          </w:p>
        </w:tc>
      </w:tr>
      <w:tr w:rsidR="00EC7767" w14:paraId="5B9A7F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1D9D" w14:textId="77777777" w:rsidR="00EC7767" w:rsidRDefault="00DD33E4">
            <w:r>
              <w:rPr>
                <w:sz w:val="19"/>
                <w:szCs w:val="19"/>
              </w:rPr>
              <w:t>Attribution (Prove)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E2FC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connects spatial behaviour to business outcomes — which touchpoints drove the most engagement, which content performed, what correlated with conversion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93F2" w14:textId="77777777" w:rsidR="00EC7767" w:rsidRDefault="00DD33E4">
            <w:r>
              <w:rPr>
                <w:sz w:val="19"/>
                <w:szCs w:val="19"/>
              </w:rPr>
              <w:t>You'll be able to show your team — and your CFO — that the spend was worth it. With numbers, not anecdotes.</w:t>
            </w:r>
          </w:p>
        </w:tc>
      </w:tr>
      <w:tr w:rsidR="00EC7767" w14:paraId="700CD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FA52" w14:textId="77777777" w:rsidR="00EC7767" w:rsidRDefault="00DD33E4">
            <w:r>
              <w:rPr>
                <w:sz w:val="19"/>
                <w:szCs w:val="19"/>
              </w:rPr>
              <w:t>Action (Improve)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F8A0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translates insights into decisions — what to change for the next activation, what to replicate, how to brief the next brief better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EDFC" w14:textId="77777777" w:rsidR="00EC7767" w:rsidRDefault="00DD33E4">
            <w:r>
              <w:rPr>
                <w:sz w:val="19"/>
                <w:szCs w:val="19"/>
              </w:rPr>
              <w:t>You'll walk away with a clear read on what to do differently next time. Every activation makes the next one smarter.</w:t>
            </w:r>
          </w:p>
        </w:tc>
      </w:tr>
    </w:tbl>
    <w:p w14:paraId="36B757EE" w14:textId="77777777" w:rsidR="00EC7767" w:rsidRDefault="00EC7767">
      <w:pPr>
        <w:spacing w:before="100"/>
      </w:pPr>
    </w:p>
    <w:p w14:paraId="32B524D9" w14:textId="77777777" w:rsidR="00EC7767" w:rsidRDefault="00EC7767">
      <w:pPr>
        <w:pBdr>
          <w:bottom w:val="single" w:sz="4" w:space="1" w:color="CCCCCC"/>
        </w:pBdr>
        <w:spacing w:before="100"/>
      </w:pPr>
    </w:p>
    <w:p w14:paraId="6A535512" w14:textId="77777777" w:rsidR="00EC7767" w:rsidRDefault="00DD33E4">
      <w:pPr>
        <w:pStyle w:val="Heading1"/>
      </w:pPr>
      <w:r>
        <w:t xml:space="preserve">3. Key Terms — What </w:t>
      </w:r>
      <w:proofErr w:type="gramStart"/>
      <w:r>
        <w:t>To</w:t>
      </w:r>
      <w:proofErr w:type="gramEnd"/>
      <w:r>
        <w:t xml:space="preserve"> Say and What </w:t>
      </w:r>
      <w:proofErr w:type="gramStart"/>
      <w:r>
        <w:t>To</w:t>
      </w:r>
      <w:proofErr w:type="gramEnd"/>
      <w:r>
        <w:t xml:space="preserve"> Avoid</w:t>
      </w:r>
    </w:p>
    <w:p w14:paraId="19F3953E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EC7767" w14:paraId="157C7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2F1C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Term</w:t>
            </w:r>
          </w:p>
        </w:tc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18DF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Use This</w:t>
            </w:r>
          </w:p>
        </w:tc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D25F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Not This</w:t>
            </w:r>
          </w:p>
        </w:tc>
        <w:tc>
          <w:tcPr>
            <w:tcW w:w="25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231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Why</w:t>
            </w:r>
          </w:p>
        </w:tc>
      </w:tr>
      <w:tr w:rsidR="00EC7767" w14:paraId="519B31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D8E3" w14:textId="77777777" w:rsidR="00EC7767" w:rsidRDefault="00DD33E4">
            <w:r>
              <w:rPr>
                <w:sz w:val="19"/>
                <w:szCs w:val="19"/>
              </w:rPr>
              <w:t>Product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7074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F2E0" w14:textId="77777777" w:rsidR="00EC7767" w:rsidRDefault="00DD33E4">
            <w:r>
              <w:rPr>
                <w:sz w:val="19"/>
                <w:szCs w:val="19"/>
              </w:rPr>
              <w:t xml:space="preserve">Realm Space (two words) / </w:t>
            </w:r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(all lower)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41F5" w14:textId="77777777" w:rsidR="00EC7767" w:rsidRDefault="00DD33E4">
            <w:r>
              <w:rPr>
                <w:sz w:val="19"/>
                <w:szCs w:val="19"/>
              </w:rPr>
              <w:t>One word, capital R and S. Consistent across all materials.</w:t>
            </w:r>
          </w:p>
        </w:tc>
      </w:tr>
      <w:tr w:rsidR="00EC7767" w14:paraId="26122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C228" w14:textId="77777777" w:rsidR="00EC7767" w:rsidRDefault="00DD33E4">
            <w:r>
              <w:rPr>
                <w:sz w:val="19"/>
                <w:szCs w:val="19"/>
              </w:rPr>
              <w:t>Company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5991" w14:textId="77777777" w:rsidR="00EC7767" w:rsidRDefault="00DD33E4">
            <w:r>
              <w:rPr>
                <w:sz w:val="19"/>
                <w:szCs w:val="19"/>
              </w:rPr>
              <w:t>Floats XR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CBC5" w14:textId="77777777" w:rsidR="00EC7767" w:rsidRDefault="00DD33E4">
            <w:proofErr w:type="spellStart"/>
            <w:r>
              <w:rPr>
                <w:sz w:val="19"/>
                <w:szCs w:val="19"/>
              </w:rPr>
              <w:t>FloatsXR</w:t>
            </w:r>
            <w:proofErr w:type="spellEnd"/>
            <w:r>
              <w:rPr>
                <w:sz w:val="19"/>
                <w:szCs w:val="19"/>
              </w:rPr>
              <w:t xml:space="preserve"> / Floats / FLOATS XR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11F7" w14:textId="77777777" w:rsidR="00EC7767" w:rsidRDefault="00DD33E4">
            <w:r>
              <w:rPr>
                <w:sz w:val="19"/>
                <w:szCs w:val="19"/>
              </w:rPr>
              <w:t>Two words, XR in caps. Don't abbreviate in client materials.</w:t>
            </w:r>
          </w:p>
        </w:tc>
      </w:tr>
      <w:tr w:rsidR="00EC7767" w14:paraId="06E1E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8AAF" w14:textId="77777777" w:rsidR="00EC7767" w:rsidRDefault="00DD33E4">
            <w:r>
              <w:rPr>
                <w:sz w:val="19"/>
                <w:szCs w:val="19"/>
              </w:rPr>
              <w:t xml:space="preserve">What </w:t>
            </w:r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11F9" w14:textId="77777777" w:rsidR="00EC7767" w:rsidRDefault="00DD33E4">
            <w:r>
              <w:rPr>
                <w:sz w:val="19"/>
                <w:szCs w:val="19"/>
              </w:rPr>
              <w:t>A privacy-first intelligence layer for physical experiences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5259" w14:textId="77777777" w:rsidR="00EC7767" w:rsidRDefault="00DD33E4">
            <w:r>
              <w:rPr>
                <w:sz w:val="19"/>
                <w:szCs w:val="19"/>
              </w:rPr>
              <w:t>An immersive technology platform / XR product / spatial tool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18D1" w14:textId="77777777" w:rsidR="00EC7767" w:rsidRDefault="00DD33E4">
            <w:r>
              <w:rPr>
                <w:sz w:val="19"/>
                <w:szCs w:val="19"/>
              </w:rPr>
              <w:t>Leads with the business value and privacy angle, not the technology</w:t>
            </w:r>
          </w:p>
        </w:tc>
      </w:tr>
      <w:tr w:rsidR="00EC7767" w14:paraId="02F241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A2B4" w14:textId="77777777" w:rsidR="00EC7767" w:rsidRDefault="00DD33E4">
            <w:r>
              <w:rPr>
                <w:sz w:val="19"/>
                <w:szCs w:val="19"/>
              </w:rPr>
              <w:t>What it does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A165" w14:textId="77777777" w:rsidR="00EC7767" w:rsidRDefault="00DD33E4">
            <w:r>
              <w:rPr>
                <w:sz w:val="19"/>
                <w:szCs w:val="19"/>
              </w:rPr>
              <w:t>Captures, measures, and reports on how people move through and engage with physical spaces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568A" w14:textId="77777777" w:rsidR="00EC7767" w:rsidRDefault="00DD33E4">
            <w:r>
              <w:rPr>
                <w:sz w:val="19"/>
                <w:szCs w:val="19"/>
              </w:rPr>
              <w:t>Tracks people / monitors visitors / collects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C479" w14:textId="77777777" w:rsidR="00EC7767" w:rsidRDefault="00DD33E4">
            <w:r>
              <w:rPr>
                <w:sz w:val="19"/>
                <w:szCs w:val="19"/>
              </w:rPr>
              <w:t>Avoid surveillance language — privacy-first is a core differentiator</w:t>
            </w:r>
          </w:p>
        </w:tc>
      </w:tr>
      <w:tr w:rsidR="00EC7767" w14:paraId="1671A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58C8" w14:textId="77777777" w:rsidR="00EC7767" w:rsidRDefault="00DD33E4">
            <w:r>
              <w:rPr>
                <w:sz w:val="19"/>
                <w:szCs w:val="19"/>
              </w:rPr>
              <w:t>The physical setup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A6B0" w14:textId="77777777" w:rsidR="00EC7767" w:rsidRDefault="00DD33E4">
            <w:r>
              <w:rPr>
                <w:sz w:val="19"/>
                <w:szCs w:val="19"/>
              </w:rPr>
              <w:t>Booths and zones / activation zones / spatial touchpoints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50A2" w14:textId="77777777" w:rsidR="00EC7767" w:rsidRDefault="00DD33E4">
            <w:r>
              <w:rPr>
                <w:sz w:val="19"/>
                <w:szCs w:val="19"/>
              </w:rPr>
              <w:t>Devices / sensors / hardware / tracking equipment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0E25" w14:textId="77777777" w:rsidR="00EC7767" w:rsidRDefault="00DD33E4">
            <w:r>
              <w:rPr>
                <w:sz w:val="19"/>
                <w:szCs w:val="19"/>
              </w:rPr>
              <w:t>Keep it simple and experience-led, not technical</w:t>
            </w:r>
          </w:p>
        </w:tc>
      </w:tr>
      <w:tr w:rsidR="00EC7767" w14:paraId="3B6D6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C554" w14:textId="77777777" w:rsidR="00EC7767" w:rsidRDefault="00DD33E4">
            <w:r>
              <w:rPr>
                <w:sz w:val="19"/>
                <w:szCs w:val="19"/>
              </w:rPr>
              <w:t>The data it produces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E973" w14:textId="77777777" w:rsidR="00EC7767" w:rsidRDefault="00DD33E4">
            <w:r>
              <w:rPr>
                <w:sz w:val="19"/>
                <w:szCs w:val="19"/>
              </w:rPr>
              <w:t>Engagement signals / spatial telemetry / interaction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DAFC" w14:textId="77777777" w:rsidR="00EC7767" w:rsidRDefault="00DD33E4">
            <w:r>
              <w:rPr>
                <w:sz w:val="19"/>
                <w:szCs w:val="19"/>
              </w:rPr>
              <w:t>User data / personal data / tracking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D933" w14:textId="77777777" w:rsidR="00EC7767" w:rsidRDefault="00DD33E4">
            <w:r>
              <w:rPr>
                <w:sz w:val="19"/>
                <w:szCs w:val="19"/>
              </w:rPr>
              <w:t>Signals and telemetry sound purposeful and technical without sounding invasive</w:t>
            </w:r>
          </w:p>
        </w:tc>
      </w:tr>
      <w:tr w:rsidR="00EC7767" w14:paraId="67FF7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847" w14:textId="77777777" w:rsidR="00EC7767" w:rsidRDefault="00DD33E4">
            <w:r>
              <w:rPr>
                <w:sz w:val="19"/>
                <w:szCs w:val="19"/>
              </w:rPr>
              <w:t>The output for clients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AB19" w14:textId="77777777" w:rsidR="00EC7767" w:rsidRDefault="00DD33E4">
            <w:r>
              <w:rPr>
                <w:sz w:val="19"/>
                <w:szCs w:val="19"/>
              </w:rPr>
              <w:t>Insight reports / activation benchmarks / performance intelligence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A8EF" w14:textId="77777777" w:rsidR="00EC7767" w:rsidRDefault="00DD33E4">
            <w:r>
              <w:rPr>
                <w:sz w:val="19"/>
                <w:szCs w:val="19"/>
              </w:rPr>
              <w:t>Data dump / analytics report / spreadsheet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C446" w14:textId="77777777" w:rsidR="00EC7767" w:rsidRDefault="00DD33E4">
            <w:r>
              <w:rPr>
                <w:sz w:val="19"/>
                <w:szCs w:val="19"/>
              </w:rPr>
              <w:t>Frame it as intelligence that informs decisions, not raw data</w:t>
            </w:r>
          </w:p>
        </w:tc>
      </w:tr>
      <w:tr w:rsidR="00EC7767" w14:paraId="2141F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8AA8" w14:textId="77777777" w:rsidR="00EC7767" w:rsidRDefault="00DD33E4">
            <w:r>
              <w:rPr>
                <w:sz w:val="19"/>
                <w:szCs w:val="19"/>
              </w:rPr>
              <w:t>The ROI angle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2893" w14:textId="77777777" w:rsidR="00EC7767" w:rsidRDefault="00DD33E4">
            <w:r>
              <w:rPr>
                <w:sz w:val="19"/>
                <w:szCs w:val="19"/>
              </w:rPr>
              <w:t>Prove what worked / measurable activation value / evidence-backed ROI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4534" w14:textId="77777777" w:rsidR="00EC7767" w:rsidRDefault="00DD33E4">
            <w:r>
              <w:rPr>
                <w:sz w:val="19"/>
                <w:szCs w:val="19"/>
              </w:rPr>
              <w:t>Return on investment / ROI analysis / performance metrics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9F66" w14:textId="77777777" w:rsidR="00EC7767" w:rsidRDefault="00DD33E4">
            <w:r>
              <w:rPr>
                <w:sz w:val="19"/>
                <w:szCs w:val="19"/>
              </w:rPr>
              <w:t>Client language, not finance language</w:t>
            </w:r>
          </w:p>
        </w:tc>
      </w:tr>
      <w:tr w:rsidR="00EC7767" w14:paraId="41760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0847" w14:textId="77777777" w:rsidR="00EC7767" w:rsidRDefault="00DD33E4">
            <w:r>
              <w:rPr>
                <w:sz w:val="19"/>
                <w:szCs w:val="19"/>
              </w:rPr>
              <w:t>Privacy positioning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83D4" w14:textId="77777777" w:rsidR="00EC7767" w:rsidRDefault="00DD33E4">
            <w:r>
              <w:rPr>
                <w:sz w:val="19"/>
                <w:szCs w:val="19"/>
              </w:rPr>
              <w:t>Privacy-aware / privacy-first / no facial recognition / no cross-session re-identification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3569" w14:textId="77777777" w:rsidR="00EC7767" w:rsidRDefault="00DD33E4">
            <w:r>
              <w:rPr>
                <w:sz w:val="19"/>
                <w:szCs w:val="19"/>
              </w:rPr>
              <w:t>Anonymous tracking / GDPR compliant / non-invasive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502" w14:textId="77777777" w:rsidR="00EC7767" w:rsidRDefault="00DD33E4">
            <w:r>
              <w:rPr>
                <w:sz w:val="19"/>
                <w:szCs w:val="19"/>
              </w:rPr>
              <w:t>Be specific — vague privacy claims sound defensive; specific claims sound confident</w:t>
            </w:r>
          </w:p>
        </w:tc>
      </w:tr>
      <w:tr w:rsidR="00EC7767" w14:paraId="5B731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7FA9" w14:textId="77777777" w:rsidR="00EC7767" w:rsidRDefault="00DD33E4">
            <w:r>
              <w:rPr>
                <w:sz w:val="19"/>
                <w:szCs w:val="19"/>
              </w:rPr>
              <w:t>Activation types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5747" w14:textId="77777777" w:rsidR="00EC7767" w:rsidRDefault="00DD33E4">
            <w:r>
              <w:rPr>
                <w:sz w:val="19"/>
                <w:szCs w:val="19"/>
              </w:rPr>
              <w:t>Event activations / booth experiences / brand zones / kiosk deployments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1350" w14:textId="77777777" w:rsidR="00EC7767" w:rsidRDefault="00DD33E4">
            <w:r>
              <w:rPr>
                <w:sz w:val="19"/>
                <w:szCs w:val="19"/>
              </w:rPr>
              <w:t>Immersive experiences / XR activations / VR/AR experiences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B9B6" w14:textId="77777777" w:rsidR="00EC7767" w:rsidRDefault="00DD33E4">
            <w:r>
              <w:rPr>
                <w:sz w:val="19"/>
                <w:szCs w:val="19"/>
              </w:rPr>
              <w:t>Lead with the physical context, not the technology format</w:t>
            </w:r>
          </w:p>
        </w:tc>
      </w:tr>
    </w:tbl>
    <w:p w14:paraId="6A99085E" w14:textId="77777777" w:rsidR="00EC7767" w:rsidRDefault="00EC7767">
      <w:pPr>
        <w:spacing w:before="100"/>
      </w:pPr>
    </w:p>
    <w:p w14:paraId="0BE2DDC3" w14:textId="77777777" w:rsidR="00EC7767" w:rsidRDefault="00EC7767">
      <w:pPr>
        <w:pBdr>
          <w:bottom w:val="single" w:sz="4" w:space="1" w:color="CCCCCC"/>
        </w:pBdr>
        <w:spacing w:before="100"/>
      </w:pPr>
    </w:p>
    <w:p w14:paraId="19622CA0" w14:textId="77777777" w:rsidR="00EC7767" w:rsidRDefault="00DD33E4">
      <w:pPr>
        <w:pStyle w:val="Heading1"/>
      </w:pPr>
      <w:r>
        <w:t>4. The Offer Architecture — Three Layers</w:t>
      </w:r>
    </w:p>
    <w:p w14:paraId="6656C519" w14:textId="77777777" w:rsidR="00EC7767" w:rsidRDefault="00DD33E4">
      <w:pPr>
        <w:spacing w:before="50" w:after="50"/>
      </w:pPr>
      <w:r>
        <w:t>When describing what Floats sells, always use this three-layer structure. Never describe it as a single product or a bespoke service.</w:t>
      </w:r>
    </w:p>
    <w:p w14:paraId="29D43B28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3000"/>
        <w:gridCol w:w="1560"/>
      </w:tblGrid>
      <w:tr w:rsidR="00EC7767" w14:paraId="5BD83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36A9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D606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What It Is</w:t>
            </w:r>
          </w:p>
        </w:tc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7BD8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Client-Facing Description</w:t>
            </w:r>
          </w:p>
        </w:tc>
        <w:tc>
          <w:tcPr>
            <w:tcW w:w="15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FB3D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Sold As</w:t>
            </w:r>
          </w:p>
        </w:tc>
      </w:tr>
      <w:tr w:rsidR="00EC7767" w14:paraId="07BC9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63C4" w14:textId="77777777" w:rsidR="00EC7767" w:rsidRDefault="00DD33E4">
            <w:r>
              <w:rPr>
                <w:sz w:val="19"/>
                <w:szCs w:val="19"/>
              </w:rPr>
              <w:t>Experience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17D7" w14:textId="77777777" w:rsidR="00EC7767" w:rsidRDefault="00DD33E4">
            <w:r>
              <w:rPr>
                <w:sz w:val="19"/>
                <w:szCs w:val="19"/>
              </w:rPr>
              <w:t>The physical activation — booth, kiosk, digital surface, immersive zone, branded touchpoint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171" w14:textId="77777777" w:rsidR="00EC7767" w:rsidRDefault="00DD33E4">
            <w:r>
              <w:rPr>
                <w:sz w:val="19"/>
                <w:szCs w:val="19"/>
              </w:rPr>
              <w:t>The environment people walk into, interact with, and remember — designed and built by Floats XR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C9D4" w14:textId="77777777" w:rsidR="00EC7767" w:rsidRDefault="00DD33E4">
            <w:r>
              <w:rPr>
                <w:sz w:val="19"/>
                <w:szCs w:val="19"/>
              </w:rPr>
              <w:t>Standalone or bundled</w:t>
            </w:r>
          </w:p>
        </w:tc>
      </w:tr>
      <w:tr w:rsidR="00EC7767" w14:paraId="5BB55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387E" w14:textId="77777777" w:rsidR="00EC7767" w:rsidRDefault="00DD33E4">
            <w:r>
              <w:rPr>
                <w:sz w:val="19"/>
                <w:szCs w:val="19"/>
              </w:rPr>
              <w:t>Measurement &amp; Insight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1868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— sensors, telemetry, dashboard, session replay, plain-English query surface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376F" w14:textId="77777777" w:rsidR="00EC7767" w:rsidRDefault="00DD33E4">
            <w:r>
              <w:rPr>
                <w:sz w:val="19"/>
                <w:szCs w:val="19"/>
              </w:rPr>
              <w:t xml:space="preserve">The intelligence system that tells you what people </w:t>
            </w:r>
            <w:proofErr w:type="gramStart"/>
            <w:r>
              <w:rPr>
                <w:sz w:val="19"/>
                <w:szCs w:val="19"/>
              </w:rPr>
              <w:t>actually did</w:t>
            </w:r>
            <w:proofErr w:type="gramEnd"/>
            <w:r>
              <w:rPr>
                <w:sz w:val="19"/>
                <w:szCs w:val="19"/>
              </w:rPr>
              <w:t xml:space="preserve"> — where they went, what they engaged with, how long they stayed, what drove action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5526" w14:textId="77777777" w:rsidR="00EC7767" w:rsidRDefault="00DD33E4">
            <w:r>
              <w:rPr>
                <w:sz w:val="19"/>
                <w:szCs w:val="19"/>
              </w:rPr>
              <w:t>Standalone (Intelligence Layer Only) or bundled</w:t>
            </w:r>
          </w:p>
        </w:tc>
      </w:tr>
      <w:tr w:rsidR="00EC7767" w14:paraId="1AA40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547D" w14:textId="77777777" w:rsidR="00EC7767" w:rsidRDefault="00DD33E4">
            <w:r>
              <w:rPr>
                <w:sz w:val="19"/>
                <w:szCs w:val="19"/>
              </w:rPr>
              <w:t>Action &amp; Reporting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235E" w14:textId="77777777" w:rsidR="00EC7767" w:rsidRDefault="00DD33E4">
            <w:r>
              <w:rPr>
                <w:sz w:val="19"/>
                <w:szCs w:val="19"/>
              </w:rPr>
              <w:t>Post-activation report, benchmark data, recommendations, integration with client CRM or marketing stack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8C77" w14:textId="77777777" w:rsidR="00EC7767" w:rsidRDefault="00DD33E4">
            <w:r>
              <w:rPr>
                <w:sz w:val="19"/>
                <w:szCs w:val="19"/>
              </w:rPr>
              <w:t xml:space="preserve">The output your team can </w:t>
            </w:r>
            <w:proofErr w:type="gramStart"/>
            <w:r>
              <w:rPr>
                <w:sz w:val="19"/>
                <w:szCs w:val="19"/>
              </w:rPr>
              <w:t>actually use</w:t>
            </w:r>
            <w:proofErr w:type="gramEnd"/>
            <w:r>
              <w:rPr>
                <w:sz w:val="19"/>
                <w:szCs w:val="19"/>
              </w:rPr>
              <w:t xml:space="preserve"> — a clear read on what worked, what to change, and how to brief the next activation better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775D" w14:textId="77777777" w:rsidR="00EC7767" w:rsidRDefault="00DD33E4">
            <w:r>
              <w:rPr>
                <w:sz w:val="19"/>
                <w:szCs w:val="19"/>
              </w:rPr>
              <w:t>Bundled with Measurement or as retainer</w:t>
            </w:r>
          </w:p>
        </w:tc>
      </w:tr>
    </w:tbl>
    <w:p w14:paraId="21693EC4" w14:textId="77777777" w:rsidR="00EC7767" w:rsidRDefault="00EC7767">
      <w:pPr>
        <w:spacing w:before="40"/>
      </w:pPr>
    </w:p>
    <w:p w14:paraId="5D999D9F" w14:textId="77777777" w:rsidR="00EC7767" w:rsidRDefault="00DD33E4">
      <w:pPr>
        <w:pBdr>
          <w:left w:val="single" w:sz="14" w:space="4" w:color="FFA500"/>
        </w:pBdr>
        <w:shd w:val="clear" w:color="auto" w:fill="FFF8E1"/>
        <w:spacing w:before="60" w:after="60"/>
        <w:ind w:left="360"/>
      </w:pPr>
      <w:r>
        <w:rPr>
          <w:b/>
          <w:bCs/>
          <w:color w:val="FFA500"/>
          <w:sz w:val="19"/>
          <w:szCs w:val="19"/>
        </w:rPr>
        <w:t xml:space="preserve">Pricing note:  </w:t>
      </w:r>
      <w:r>
        <w:rPr>
          <w:color w:val="7B5800"/>
          <w:sz w:val="19"/>
          <w:szCs w:val="19"/>
        </w:rPr>
        <w:t>Quote each layer separately in proposals. Never bundle them invisibly. Clients should always see what they are paying for at each level.</w:t>
      </w:r>
    </w:p>
    <w:p w14:paraId="6940D458" w14:textId="77777777" w:rsidR="00EC7767" w:rsidRDefault="00EC7767">
      <w:pPr>
        <w:spacing w:before="100"/>
      </w:pPr>
    </w:p>
    <w:p w14:paraId="771F3046" w14:textId="77777777" w:rsidR="00EC7767" w:rsidRDefault="00EC7767">
      <w:pPr>
        <w:pBdr>
          <w:bottom w:val="single" w:sz="4" w:space="1" w:color="CCCCCC"/>
        </w:pBdr>
        <w:spacing w:before="100"/>
      </w:pPr>
    </w:p>
    <w:p w14:paraId="028BD463" w14:textId="77777777" w:rsidR="00EC7767" w:rsidRDefault="00DD33E4">
      <w:pPr>
        <w:pStyle w:val="Heading1"/>
      </w:pPr>
      <w:r>
        <w:t xml:space="preserve">5. Phrases Captured </w:t>
      </w:r>
      <w:proofErr w:type="gramStart"/>
      <w:r>
        <w:t>From</w:t>
      </w:r>
      <w:proofErr w:type="gramEnd"/>
      <w:r>
        <w:t xml:space="preserve"> the June 8 Sync</w:t>
      </w:r>
    </w:p>
    <w:p w14:paraId="495F7D1B" w14:textId="77777777" w:rsidR="00EC7767" w:rsidRDefault="00DD33E4">
      <w:pPr>
        <w:spacing w:before="50" w:after="50"/>
      </w:pPr>
      <w:r>
        <w:t>These phrases came directly from the founding team in the weekly sync. They are the raw material for sharper commercial language — use them as building blocks, not verbatim copy.</w:t>
      </w:r>
    </w:p>
    <w:p w14:paraId="6F4F55EA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80"/>
        <w:gridCol w:w="3880"/>
      </w:tblGrid>
      <w:tr w:rsidR="00EC7767" w14:paraId="17EE1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F26F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Raw Phrase</w:t>
            </w:r>
          </w:p>
        </w:tc>
        <w:tc>
          <w:tcPr>
            <w:tcW w:w="308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72E8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What It Means</w:t>
            </w:r>
          </w:p>
        </w:tc>
        <w:tc>
          <w:tcPr>
            <w:tcW w:w="388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D4F3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Client-Friendly Version</w:t>
            </w:r>
          </w:p>
        </w:tc>
      </w:tr>
      <w:tr w:rsidR="00EC7767" w14:paraId="62668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5B43" w14:textId="77777777" w:rsidR="00EC7767" w:rsidRDefault="00DD33E4">
            <w:r>
              <w:rPr>
                <w:sz w:val="19"/>
                <w:szCs w:val="19"/>
              </w:rPr>
              <w:t>Booths and zones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D0EC" w14:textId="77777777" w:rsidR="00EC7767" w:rsidRDefault="00DD33E4">
            <w:r>
              <w:rPr>
                <w:sz w:val="19"/>
                <w:szCs w:val="19"/>
              </w:rPr>
              <w:t xml:space="preserve">The physical abstraction for how </w:t>
            </w:r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instruments a space — a booth is a single branded </w:t>
            </w:r>
            <w:proofErr w:type="gramStart"/>
            <w:r>
              <w:rPr>
                <w:sz w:val="19"/>
                <w:szCs w:val="19"/>
              </w:rPr>
              <w:t>touchpoint,</w:t>
            </w:r>
            <w:proofErr w:type="gramEnd"/>
            <w:r>
              <w:rPr>
                <w:sz w:val="19"/>
                <w:szCs w:val="19"/>
              </w:rPr>
              <w:t xml:space="preserve"> a zone is a larger defined area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A08A" w14:textId="77777777" w:rsidR="00EC7767" w:rsidRDefault="00DD33E4">
            <w:r>
              <w:rPr>
                <w:sz w:val="19"/>
                <w:szCs w:val="19"/>
              </w:rPr>
              <w:t>We instrument your activation space — whether that's a single kiosk or an entire branded zone — and measure everything that happens inside it</w:t>
            </w:r>
          </w:p>
        </w:tc>
      </w:tr>
      <w:tr w:rsidR="00EC7767" w14:paraId="191C7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4543" w14:textId="77777777" w:rsidR="00EC7767" w:rsidRDefault="00DD33E4">
            <w:r>
              <w:rPr>
                <w:sz w:val="19"/>
                <w:szCs w:val="19"/>
              </w:rPr>
              <w:t>Telemetry for physical spaces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D6D6" w14:textId="77777777" w:rsidR="00EC7767" w:rsidRDefault="00DD33E4">
            <w:r>
              <w:rPr>
                <w:sz w:val="19"/>
                <w:szCs w:val="19"/>
              </w:rPr>
              <w:t xml:space="preserve">Structured data capture from sensors placed in physical environments — </w:t>
            </w:r>
            <w:proofErr w:type="gramStart"/>
            <w:r>
              <w:rPr>
                <w:sz w:val="19"/>
                <w:szCs w:val="19"/>
              </w:rPr>
              <w:t>similar to</w:t>
            </w:r>
            <w:proofErr w:type="gramEnd"/>
            <w:r>
              <w:rPr>
                <w:sz w:val="19"/>
                <w:szCs w:val="19"/>
              </w:rPr>
              <w:t xml:space="preserve"> how web analytics captures clicks, but for physical behaviour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8BC2" w14:textId="77777777" w:rsidR="00EC7767" w:rsidRDefault="00DD33E4">
            <w:r>
              <w:rPr>
                <w:sz w:val="19"/>
                <w:szCs w:val="19"/>
              </w:rPr>
              <w:t>We give your physical activation the same measurement capability your website has — real data on what people did, not just how many showed up</w:t>
            </w:r>
          </w:p>
        </w:tc>
      </w:tr>
      <w:tr w:rsidR="00EC7767" w14:paraId="474A5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1360" w14:textId="77777777" w:rsidR="00EC7767" w:rsidRDefault="00DD33E4">
            <w:r>
              <w:rPr>
                <w:sz w:val="19"/>
                <w:szCs w:val="19"/>
              </w:rPr>
              <w:t>Natural-language query layer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42D0" w14:textId="77777777" w:rsidR="00EC7767" w:rsidRDefault="00DD33E4">
            <w:r>
              <w:rPr>
                <w:sz w:val="19"/>
                <w:szCs w:val="19"/>
              </w:rPr>
              <w:t>A feature that lets clients ask questions about their activation data in plain English — e.g. 'Which touchpoint had the longest dwell time on day 2?'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DF7C" w14:textId="77777777" w:rsidR="00EC7767" w:rsidRDefault="00DD33E4">
            <w:r>
              <w:rPr>
                <w:sz w:val="19"/>
                <w:szCs w:val="19"/>
              </w:rPr>
              <w:t>You can ask questions about your event data the same way you'd ask a colleague — in plain language, without needing a data analyst</w:t>
            </w:r>
          </w:p>
        </w:tc>
      </w:tr>
      <w:tr w:rsidR="00EC7767" w14:paraId="656EB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EA53" w14:textId="77777777" w:rsidR="00EC7767" w:rsidRDefault="00DD33E4">
            <w:r>
              <w:rPr>
                <w:sz w:val="19"/>
                <w:szCs w:val="19"/>
              </w:rPr>
              <w:t>Predictive ROI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3A3C" w14:textId="77777777" w:rsidR="00EC7767" w:rsidRDefault="00DD33E4">
            <w:r>
              <w:rPr>
                <w:sz w:val="19"/>
                <w:szCs w:val="19"/>
              </w:rPr>
              <w:t>Moving beyond retroactive reporting (what happened) to forward-looking recommendations (what to do next time to get a better result)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F98" w14:textId="77777777" w:rsidR="00EC7767" w:rsidRDefault="00DD33E4">
            <w:r>
              <w:rPr>
                <w:sz w:val="19"/>
                <w:szCs w:val="19"/>
              </w:rPr>
              <w:t>We don't just report on what happened. We use what we learned to tell you what to change next time — so every activation gets smarter</w:t>
            </w:r>
          </w:p>
        </w:tc>
      </w:tr>
      <w:tr w:rsidR="00EC7767" w14:paraId="52EAE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E781" w14:textId="77777777" w:rsidR="00EC7767" w:rsidRDefault="00DD33E4">
            <w:r>
              <w:rPr>
                <w:sz w:val="19"/>
                <w:szCs w:val="19"/>
              </w:rPr>
              <w:t>Privacy-aware telemetry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289E" w14:textId="77777777" w:rsidR="00EC7767" w:rsidRDefault="00DD33E4">
            <w:r>
              <w:rPr>
                <w:sz w:val="19"/>
                <w:szCs w:val="19"/>
              </w:rPr>
              <w:t>Data capture that is structured to protect individual identity — no facial recognition, no persistent cross-session tracking, no personally identifiable data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E654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measures behaviour, not people. No facial recognition. No personal data. Just spatial signals that tell you how your activation performed</w:t>
            </w:r>
          </w:p>
        </w:tc>
      </w:tr>
      <w:tr w:rsidR="00EC7767" w14:paraId="1736C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C241" w14:textId="77777777" w:rsidR="00EC7767" w:rsidRDefault="00DD33E4">
            <w:r>
              <w:rPr>
                <w:sz w:val="19"/>
                <w:szCs w:val="19"/>
              </w:rPr>
              <w:t>Session-scoped graph logic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0949" w14:textId="77777777" w:rsidR="00EC7767" w:rsidRDefault="00DD33E4">
            <w:r>
              <w:rPr>
                <w:sz w:val="19"/>
                <w:szCs w:val="19"/>
              </w:rPr>
              <w:t>Technical term — means data is organised by individual visit sessions, not persistently linked to individuals over time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0EE9" w14:textId="77777777" w:rsidR="00EC7767" w:rsidRDefault="00DD33E4">
            <w:r>
              <w:rPr>
                <w:sz w:val="19"/>
                <w:szCs w:val="19"/>
              </w:rPr>
              <w:t>Each visit is measured independently. We never build profiles on your visitors across events or over time</w:t>
            </w:r>
          </w:p>
        </w:tc>
      </w:tr>
      <w:tr w:rsidR="00EC7767" w14:paraId="50222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0CC4" w14:textId="77777777" w:rsidR="00EC7767" w:rsidRDefault="00DD33E4">
            <w:r>
              <w:rPr>
                <w:sz w:val="19"/>
                <w:szCs w:val="19"/>
              </w:rPr>
              <w:t>Attribution and action platform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872E" w14:textId="77777777" w:rsidR="00EC7767" w:rsidRDefault="00DD33E4">
            <w:r>
              <w:rPr>
                <w:sz w:val="19"/>
                <w:szCs w:val="19"/>
              </w:rPr>
              <w:t xml:space="preserve">The strategic framing for what </w:t>
            </w:r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is — not just a measurement tool, but a system that connects spatial data to business outcomes and next steps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D099" w14:textId="77777777" w:rsidR="00EC7767" w:rsidRDefault="00DD33E4"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connects what happened at your event to what it meant for your business — and what to do about it</w:t>
            </w:r>
          </w:p>
        </w:tc>
      </w:tr>
    </w:tbl>
    <w:p w14:paraId="49F4C74E" w14:textId="77777777" w:rsidR="00EC7767" w:rsidRDefault="00EC7767">
      <w:pPr>
        <w:spacing w:before="100"/>
      </w:pPr>
    </w:p>
    <w:p w14:paraId="4E8EC66A" w14:textId="77777777" w:rsidR="00EC7767" w:rsidRDefault="00EC7767">
      <w:pPr>
        <w:pBdr>
          <w:bottom w:val="single" w:sz="4" w:space="1" w:color="CCCCCC"/>
        </w:pBdr>
        <w:spacing w:before="100"/>
      </w:pPr>
    </w:p>
    <w:p w14:paraId="565EAA7F" w14:textId="77777777" w:rsidR="00EC7767" w:rsidRDefault="00DD33E4">
      <w:pPr>
        <w:pStyle w:val="Heading1"/>
      </w:pPr>
      <w:r>
        <w:t>6. Language to Retire</w:t>
      </w:r>
    </w:p>
    <w:p w14:paraId="08BFA9C0" w14:textId="77777777" w:rsidR="00EC7767" w:rsidRDefault="00DD33E4">
      <w:pPr>
        <w:spacing w:before="50" w:after="50"/>
      </w:pPr>
      <w:r>
        <w:t>These phrases were used in earlier Floats materials and should be phased out of all new decks, proposals, and outreach.</w:t>
      </w:r>
    </w:p>
    <w:p w14:paraId="3BDFD589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EC7767" w14:paraId="67E07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B7BF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Retire This</w:t>
            </w:r>
          </w:p>
        </w:tc>
        <w:tc>
          <w:tcPr>
            <w:tcW w:w="31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DF19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Replace With</w:t>
            </w:r>
          </w:p>
        </w:tc>
        <w:tc>
          <w:tcPr>
            <w:tcW w:w="3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8B36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Reason</w:t>
            </w:r>
          </w:p>
        </w:tc>
      </w:tr>
      <w:tr w:rsidR="00EC7767" w14:paraId="37685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F78E" w14:textId="77777777" w:rsidR="00EC7767" w:rsidRDefault="00DD33E4">
            <w:r>
              <w:rPr>
                <w:sz w:val="19"/>
                <w:szCs w:val="19"/>
              </w:rPr>
              <w:t>Immersive experience company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C9FE" w14:textId="77777777" w:rsidR="00EC7767" w:rsidRDefault="00DD33E4">
            <w:r>
              <w:rPr>
                <w:sz w:val="19"/>
                <w:szCs w:val="19"/>
              </w:rPr>
              <w:t>Spatial intelligence company / privacy-first intelligence layer for physical experiences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F316" w14:textId="77777777" w:rsidR="00EC7767" w:rsidRDefault="00DD33E4">
            <w:r>
              <w:rPr>
                <w:sz w:val="19"/>
                <w:szCs w:val="19"/>
              </w:rPr>
              <w:t>Too vague and oversaturated — every XR agency says this</w:t>
            </w:r>
          </w:p>
        </w:tc>
      </w:tr>
      <w:tr w:rsidR="00EC7767" w14:paraId="19027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9FD9" w14:textId="77777777" w:rsidR="00EC7767" w:rsidRDefault="00DD33E4">
            <w:r>
              <w:rPr>
                <w:sz w:val="19"/>
                <w:szCs w:val="19"/>
              </w:rPr>
              <w:t>Wow factor / memorable experiences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29EB" w14:textId="77777777" w:rsidR="00EC7767" w:rsidRDefault="00DD33E4">
            <w:r>
              <w:rPr>
                <w:sz w:val="19"/>
                <w:szCs w:val="19"/>
              </w:rPr>
              <w:t>Measurable activations / evidence-backed brand experiences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C6EE" w14:textId="77777777" w:rsidR="00EC7767" w:rsidRDefault="00DD33E4">
            <w:r>
              <w:rPr>
                <w:sz w:val="19"/>
                <w:szCs w:val="19"/>
              </w:rPr>
              <w:t>Emotion-first language without business outcome — doesn't justify spend</w:t>
            </w:r>
          </w:p>
        </w:tc>
      </w:tr>
      <w:tr w:rsidR="00EC7767" w14:paraId="76BAA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BA44" w14:textId="77777777" w:rsidR="00EC7767" w:rsidRDefault="00DD33E4">
            <w:r>
              <w:rPr>
                <w:sz w:val="19"/>
                <w:szCs w:val="19"/>
              </w:rPr>
              <w:t>We build immersive worlds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8AB5" w14:textId="77777777" w:rsidR="00EC7767" w:rsidRDefault="00DD33E4">
            <w:r>
              <w:rPr>
                <w:sz w:val="19"/>
                <w:szCs w:val="19"/>
              </w:rPr>
              <w:t>We help brands understand and improve their physical presence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30F3" w14:textId="77777777" w:rsidR="00EC7767" w:rsidRDefault="00DD33E4">
            <w:r>
              <w:rPr>
                <w:sz w:val="19"/>
                <w:szCs w:val="19"/>
              </w:rPr>
              <w:t>Too abstract for B2B buyers — they need to see business value immediately</w:t>
            </w:r>
          </w:p>
        </w:tc>
      </w:tr>
      <w:tr w:rsidR="00EC7767" w14:paraId="28BC7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520E" w14:textId="77777777" w:rsidR="00EC7767" w:rsidRDefault="00DD33E4">
            <w:r>
              <w:rPr>
                <w:sz w:val="19"/>
                <w:szCs w:val="19"/>
              </w:rPr>
              <w:t>XR / AR / VR activations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CF5C" w14:textId="77777777" w:rsidR="00EC7767" w:rsidRDefault="00DD33E4">
            <w:r>
              <w:rPr>
                <w:sz w:val="19"/>
                <w:szCs w:val="19"/>
              </w:rPr>
              <w:t>Spatial experiences / activation zones / booth experiences (only mention AR/VR if specifically relevant)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C207" w14:textId="77777777" w:rsidR="00EC7767" w:rsidRDefault="00DD33E4">
            <w:r>
              <w:rPr>
                <w:sz w:val="19"/>
                <w:szCs w:val="19"/>
              </w:rPr>
              <w:t>Tech-first framing confuses buyers who don't know the acronyms</w:t>
            </w:r>
          </w:p>
        </w:tc>
      </w:tr>
      <w:tr w:rsidR="00EC7767" w14:paraId="7786F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9000" w14:textId="77777777" w:rsidR="00EC7767" w:rsidRDefault="00DD33E4">
            <w:r>
              <w:rPr>
                <w:sz w:val="19"/>
                <w:szCs w:val="19"/>
              </w:rPr>
              <w:t>Cutting-edge 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2C29" w14:textId="77777777" w:rsidR="00EC7767" w:rsidRDefault="00DD33E4">
            <w:r>
              <w:rPr>
                <w:sz w:val="19"/>
                <w:szCs w:val="19"/>
              </w:rPr>
              <w:t>Proven at [event name] / deployed across [X] activations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0AC5" w14:textId="77777777" w:rsidR="00EC7767" w:rsidRDefault="00DD33E4">
            <w:r>
              <w:rPr>
                <w:sz w:val="19"/>
                <w:szCs w:val="19"/>
              </w:rPr>
              <w:t>Claim without evidence — replace with specific proof points always</w:t>
            </w:r>
          </w:p>
        </w:tc>
      </w:tr>
      <w:tr w:rsidR="00EC7767" w14:paraId="0E707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BB17" w14:textId="77777777" w:rsidR="00EC7767" w:rsidRDefault="00DD33E4">
            <w:r>
              <w:rPr>
                <w:sz w:val="19"/>
                <w:szCs w:val="19"/>
              </w:rPr>
              <w:t>We track audience behaviour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0CBE" w14:textId="77777777" w:rsidR="00EC7767" w:rsidRDefault="00DD33E4">
            <w:r>
              <w:rPr>
                <w:sz w:val="19"/>
                <w:szCs w:val="19"/>
              </w:rPr>
              <w:t>We capture engagement signals across your activation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8F04" w14:textId="77777777" w:rsidR="00EC7767" w:rsidRDefault="00DD33E4">
            <w:r>
              <w:rPr>
                <w:sz w:val="19"/>
                <w:szCs w:val="19"/>
              </w:rPr>
              <w:t>Track and behaviour have surveillance connotations — avoid them</w:t>
            </w:r>
          </w:p>
        </w:tc>
      </w:tr>
      <w:tr w:rsidR="00EC7767" w14:paraId="6F2A6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35F1" w14:textId="77777777" w:rsidR="00EC7767" w:rsidRDefault="00DD33E4">
            <w:r>
              <w:rPr>
                <w:sz w:val="19"/>
                <w:szCs w:val="19"/>
              </w:rPr>
              <w:t>Data collection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079E" w14:textId="77777777" w:rsidR="00EC7767" w:rsidRDefault="00DD33E4">
            <w:r>
              <w:rPr>
                <w:sz w:val="19"/>
                <w:szCs w:val="19"/>
              </w:rPr>
              <w:t>Insight generation / engagement measurement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DA32" w14:textId="77777777" w:rsidR="00EC7767" w:rsidRDefault="00DD33E4">
            <w:r>
              <w:rPr>
                <w:sz w:val="19"/>
                <w:szCs w:val="19"/>
              </w:rPr>
              <w:t>Collection implies extraction — generation implies value creation</w:t>
            </w:r>
          </w:p>
        </w:tc>
      </w:tr>
    </w:tbl>
    <w:p w14:paraId="47C7818D" w14:textId="77777777" w:rsidR="00EC7767" w:rsidRDefault="00EC7767">
      <w:pPr>
        <w:spacing w:before="100"/>
      </w:pPr>
    </w:p>
    <w:p w14:paraId="4BC1E732" w14:textId="77777777" w:rsidR="00EC7767" w:rsidRDefault="00EC7767">
      <w:pPr>
        <w:pBdr>
          <w:bottom w:val="single" w:sz="4" w:space="1" w:color="CCCCCC"/>
        </w:pBdr>
        <w:spacing w:before="100"/>
      </w:pPr>
    </w:p>
    <w:p w14:paraId="68CF555C" w14:textId="77777777" w:rsidR="00EC7767" w:rsidRDefault="00DD33E4">
      <w:pPr>
        <w:pStyle w:val="Heading1"/>
      </w:pPr>
      <w:r>
        <w:t>7. How the Language Shifts by Audience</w:t>
      </w:r>
    </w:p>
    <w:p w14:paraId="750A8F59" w14:textId="77777777" w:rsidR="00EC7767" w:rsidRDefault="00DD33E4">
      <w:pPr>
        <w:spacing w:before="50" w:after="50"/>
      </w:pPr>
      <w:r>
        <w:t>The core message stays the same. The emphasis shifts based on who you are talking to.</w:t>
      </w:r>
    </w:p>
    <w:p w14:paraId="312A3CDF" w14:textId="77777777" w:rsidR="00EC7767" w:rsidRDefault="00EC77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800"/>
        <w:gridCol w:w="1760"/>
      </w:tblGrid>
      <w:tr w:rsidR="00EC7767" w14:paraId="681E7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144C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Audience</w:t>
            </w:r>
          </w:p>
        </w:tc>
        <w:tc>
          <w:tcPr>
            <w:tcW w:w="2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86EB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Lead With</w:t>
            </w:r>
          </w:p>
        </w:tc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C102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Supporting Points</w:t>
            </w:r>
          </w:p>
        </w:tc>
        <w:tc>
          <w:tcPr>
            <w:tcW w:w="17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4930" w14:textId="77777777" w:rsidR="00EC7767" w:rsidRDefault="00DD33E4">
            <w:r>
              <w:rPr>
                <w:b/>
                <w:bCs/>
                <w:color w:val="1A1A2E"/>
                <w:sz w:val="19"/>
                <w:szCs w:val="19"/>
              </w:rPr>
              <w:t>Avoid</w:t>
            </w:r>
          </w:p>
        </w:tc>
      </w:tr>
      <w:tr w:rsidR="00EC7767" w14:paraId="50812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AC85" w14:textId="77777777" w:rsidR="00EC7767" w:rsidRDefault="00DD33E4">
            <w:r>
              <w:rPr>
                <w:sz w:val="19"/>
                <w:szCs w:val="19"/>
              </w:rPr>
              <w:t>Brand / Marketing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54A4" w14:textId="77777777" w:rsidR="00EC7767" w:rsidRDefault="00DD33E4">
            <w:r>
              <w:rPr>
                <w:sz w:val="19"/>
                <w:szCs w:val="19"/>
              </w:rPr>
              <w:t>Proof that the activation worked — engagement data, dwell time, what drove 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E7D4" w14:textId="77777777" w:rsidR="00EC7767" w:rsidRDefault="00DD33E4">
            <w:r>
              <w:rPr>
                <w:sz w:val="19"/>
                <w:szCs w:val="19"/>
              </w:rPr>
              <w:t>ROI story, benchmark comparison, 'your CFO will understand this' angle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7818" w14:textId="77777777" w:rsidR="00EC7767" w:rsidRDefault="00DD33E4">
            <w:r>
              <w:rPr>
                <w:sz w:val="19"/>
                <w:szCs w:val="19"/>
              </w:rPr>
              <w:t>Technical language, sensor architecture, data governance details</w:t>
            </w:r>
          </w:p>
        </w:tc>
      </w:tr>
      <w:tr w:rsidR="00EC7767" w14:paraId="12656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70D1" w14:textId="77777777" w:rsidR="00EC7767" w:rsidRDefault="00DD33E4">
            <w:r>
              <w:rPr>
                <w:sz w:val="19"/>
                <w:szCs w:val="19"/>
              </w:rPr>
              <w:t>Event Organiser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A4B1" w14:textId="77777777" w:rsidR="00EC7767" w:rsidRDefault="00DD33E4">
            <w:r>
              <w:rPr>
                <w:sz w:val="19"/>
                <w:szCs w:val="19"/>
              </w:rPr>
              <w:t>Better sponsor experiences that give sponsors a reason to come 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FEED" w14:textId="77777777" w:rsidR="00EC7767" w:rsidRDefault="00DD33E4">
            <w:r>
              <w:rPr>
                <w:sz w:val="19"/>
                <w:szCs w:val="19"/>
              </w:rPr>
              <w:t>Sponsor retention, differentiated packages, organiser data on what sponsors activated best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C821" w14:textId="77777777" w:rsidR="00EC7767" w:rsidRDefault="00DD33E4">
            <w:r>
              <w:rPr>
                <w:sz w:val="19"/>
                <w:szCs w:val="19"/>
              </w:rPr>
              <w:t>Measurement-heavy language — they care about sponsor satisfaction first</w:t>
            </w:r>
          </w:p>
        </w:tc>
      </w:tr>
      <w:tr w:rsidR="00EC7767" w14:paraId="622B9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3D80" w14:textId="77777777" w:rsidR="00EC7767" w:rsidRDefault="00DD33E4">
            <w:r>
              <w:rPr>
                <w:sz w:val="19"/>
                <w:szCs w:val="19"/>
              </w:rPr>
              <w:t>C-Suite / Decision Maker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4139" w14:textId="77777777" w:rsidR="00EC7767" w:rsidRDefault="00DD33E4">
            <w:r>
              <w:rPr>
                <w:sz w:val="19"/>
                <w:szCs w:val="19"/>
              </w:rPr>
              <w:t>Commercial outcome — predictable ROI, repeatable activations, defensible spend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0CDD" w14:textId="77777777" w:rsidR="00EC7767" w:rsidRDefault="00DD33E4">
            <w:r>
              <w:rPr>
                <w:sz w:val="19"/>
                <w:szCs w:val="19"/>
              </w:rPr>
              <w:t>Case study evidence, multi-activation value, cost-per-insight logic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3600" w14:textId="77777777" w:rsidR="00EC7767" w:rsidRDefault="00DD33E4">
            <w:r>
              <w:rPr>
                <w:sz w:val="19"/>
                <w:szCs w:val="19"/>
              </w:rPr>
              <w:t>Feature lists, technical specs, long explanations of how it works</w:t>
            </w:r>
          </w:p>
        </w:tc>
      </w:tr>
      <w:tr w:rsidR="00EC7767" w14:paraId="5BBA8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F1F4" w14:textId="77777777" w:rsidR="00EC7767" w:rsidRDefault="00DD33E4">
            <w:r>
              <w:rPr>
                <w:sz w:val="19"/>
                <w:szCs w:val="19"/>
              </w:rPr>
              <w:t>Tech / Product Stakeholder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EEB6" w14:textId="77777777" w:rsidR="00EC7767" w:rsidRDefault="00DD33E4">
            <w:r>
              <w:rPr>
                <w:sz w:val="19"/>
                <w:szCs w:val="19"/>
              </w:rPr>
              <w:t>Data architecture, privacy model, integration capability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AA7D" w14:textId="77777777" w:rsidR="00EC7767" w:rsidRDefault="00DD33E4">
            <w:r>
              <w:rPr>
                <w:sz w:val="19"/>
                <w:szCs w:val="19"/>
              </w:rPr>
              <w:t>Telemetry approach, session-scoped logic, CRM integration, query surface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463D" w14:textId="77777777" w:rsidR="00EC7767" w:rsidRDefault="00DD33E4">
            <w:r>
              <w:rPr>
                <w:sz w:val="19"/>
                <w:szCs w:val="19"/>
              </w:rPr>
              <w:t>Over-simplified language — these buyers respect technical specificity</w:t>
            </w:r>
          </w:p>
        </w:tc>
      </w:tr>
      <w:tr w:rsidR="00EC7767" w14:paraId="70550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6905" w14:textId="77777777" w:rsidR="00EC7767" w:rsidRDefault="00DD33E4">
            <w:r>
              <w:rPr>
                <w:sz w:val="19"/>
                <w:szCs w:val="19"/>
              </w:rPr>
              <w:t>Partnership Target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B1B1" w14:textId="77777777" w:rsidR="00EC7767" w:rsidRDefault="00DD33E4">
            <w:r>
              <w:rPr>
                <w:sz w:val="19"/>
                <w:szCs w:val="19"/>
              </w:rPr>
              <w:t xml:space="preserve">Mutual value — how </w:t>
            </w:r>
            <w:proofErr w:type="spellStart"/>
            <w:r>
              <w:rPr>
                <w:sz w:val="19"/>
                <w:szCs w:val="19"/>
              </w:rPr>
              <w:t>RealmSpace</w:t>
            </w:r>
            <w:proofErr w:type="spellEnd"/>
            <w:r>
              <w:rPr>
                <w:sz w:val="19"/>
                <w:szCs w:val="19"/>
              </w:rPr>
              <w:t xml:space="preserve"> extends what they offer their clients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BB13" w14:textId="77777777" w:rsidR="00EC7767" w:rsidRDefault="00DD33E4">
            <w:r>
              <w:rPr>
                <w:sz w:val="19"/>
                <w:szCs w:val="19"/>
              </w:rPr>
              <w:t>Complementary capability, shared target client base, co-deployment model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B7B2" w14:textId="77777777" w:rsidR="00EC7767" w:rsidRDefault="00DD33E4">
            <w:r>
              <w:rPr>
                <w:sz w:val="19"/>
                <w:szCs w:val="19"/>
              </w:rPr>
              <w:t>Hard sales pitch — partnerships are relationship-first conversations</w:t>
            </w:r>
          </w:p>
        </w:tc>
      </w:tr>
    </w:tbl>
    <w:p w14:paraId="08330306" w14:textId="77777777" w:rsidR="00EC7767" w:rsidRDefault="00EC7767">
      <w:pPr>
        <w:spacing w:before="100"/>
      </w:pPr>
    </w:p>
    <w:p w14:paraId="28079FB9" w14:textId="77777777" w:rsidR="00EC7767" w:rsidRDefault="00EC7767">
      <w:pPr>
        <w:pBdr>
          <w:bottom w:val="single" w:sz="4" w:space="1" w:color="CCCCCC"/>
        </w:pBdr>
        <w:spacing w:before="100"/>
      </w:pPr>
    </w:p>
    <w:p w14:paraId="47874BEE" w14:textId="77777777" w:rsidR="00EC7767" w:rsidRDefault="00DD33E4">
      <w:pPr>
        <w:pStyle w:val="Heading1"/>
      </w:pPr>
      <w:r>
        <w:t>8. Naming and Capitalisation Rules</w:t>
      </w:r>
    </w:p>
    <w:p w14:paraId="2C78CD7E" w14:textId="77777777" w:rsidR="00EC7767" w:rsidRDefault="00EC7767">
      <w:pPr>
        <w:spacing w:before="40"/>
      </w:pPr>
    </w:p>
    <w:p w14:paraId="3170210F" w14:textId="77777777" w:rsidR="00EC7767" w:rsidRDefault="00DD33E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RealmSpace</w:t>
      </w:r>
      <w:proofErr w:type="spellEnd"/>
      <w:r>
        <w:t xml:space="preserve"> — capital R, capital S, one word. Always. No exceptions in client materials.</w:t>
      </w:r>
    </w:p>
    <w:p w14:paraId="35B0FE76" w14:textId="77777777" w:rsidR="00EC7767" w:rsidRDefault="00DD33E4">
      <w:pPr>
        <w:pStyle w:val="ListParagraph"/>
        <w:numPr>
          <w:ilvl w:val="0"/>
          <w:numId w:val="2"/>
        </w:numPr>
        <w:spacing w:before="40" w:after="40"/>
      </w:pPr>
      <w:r>
        <w:t>Floats XR — two words, XR in capitals. Use the full name in first references in any document.</w:t>
      </w:r>
    </w:p>
    <w:p w14:paraId="621ECFAE" w14:textId="77777777" w:rsidR="00EC7767" w:rsidRDefault="00DD33E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realmspace</w:t>
      </w:r>
      <w:proofErr w:type="spellEnd"/>
      <w:r>
        <w:t xml:space="preserve"> — lowercase version may be used in internal technical documentation only, never in client-facing materials.</w:t>
      </w:r>
    </w:p>
    <w:p w14:paraId="531225BE" w14:textId="77777777" w:rsidR="00EC7767" w:rsidRDefault="00DD33E4">
      <w:pPr>
        <w:pStyle w:val="ListParagraph"/>
        <w:numPr>
          <w:ilvl w:val="0"/>
          <w:numId w:val="2"/>
        </w:numPr>
        <w:spacing w:before="40" w:after="40"/>
      </w:pPr>
      <w:r>
        <w:t>The product — refer to as '</w:t>
      </w:r>
      <w:proofErr w:type="spellStart"/>
      <w:r>
        <w:t>RealmSpace</w:t>
      </w:r>
      <w:proofErr w:type="spellEnd"/>
      <w:r>
        <w:t>' not 'the platform', 'the tool', or 'the system' in client materials.</w:t>
      </w:r>
    </w:p>
    <w:p w14:paraId="7A3EDA90" w14:textId="77777777" w:rsidR="00EC7767" w:rsidRDefault="00DD33E4">
      <w:pPr>
        <w:pStyle w:val="ListParagraph"/>
        <w:numPr>
          <w:ilvl w:val="0"/>
          <w:numId w:val="2"/>
        </w:numPr>
        <w:spacing w:before="40" w:after="40"/>
      </w:pPr>
      <w:r>
        <w:t>Intelligence layer — useful shorthand internally. In client materials always pair it with context: '</w:t>
      </w:r>
      <w:proofErr w:type="spellStart"/>
      <w:r>
        <w:t>RealmSpace</w:t>
      </w:r>
      <w:proofErr w:type="spellEnd"/>
      <w:r>
        <w:t>, the intelligence layer for physical experiences.'</w:t>
      </w:r>
    </w:p>
    <w:p w14:paraId="5853BFC5" w14:textId="77777777" w:rsidR="00EC7767" w:rsidRDefault="00EC7767">
      <w:pPr>
        <w:spacing w:before="40"/>
      </w:pPr>
    </w:p>
    <w:p w14:paraId="1FF0D357" w14:textId="77777777" w:rsidR="00EC7767" w:rsidRDefault="00DD33E4">
      <w:pPr>
        <w:pBdr>
          <w:left w:val="single" w:sz="14" w:space="4" w:color="FFA500"/>
        </w:pBdr>
        <w:shd w:val="clear" w:color="auto" w:fill="FFF8E1"/>
        <w:spacing w:before="60" w:after="60"/>
        <w:ind w:left="360"/>
      </w:pPr>
      <w:r>
        <w:rPr>
          <w:b/>
          <w:bCs/>
          <w:color w:val="FFA500"/>
          <w:sz w:val="19"/>
          <w:szCs w:val="19"/>
        </w:rPr>
        <w:t xml:space="preserve">Branding note:  </w:t>
      </w:r>
      <w:r>
        <w:rPr>
          <w:color w:val="7B5800"/>
          <w:sz w:val="19"/>
          <w:szCs w:val="19"/>
        </w:rPr>
        <w:t>Logo and typography direction is being finalised — starting with black and white typographic options before adding colour. Until confirmed, do not use unofficial colour variants in client decks.</w:t>
      </w:r>
    </w:p>
    <w:p w14:paraId="74E88439" w14:textId="77777777" w:rsidR="00EC7767" w:rsidRDefault="00EC7767">
      <w:pPr>
        <w:spacing w:before="120"/>
      </w:pPr>
    </w:p>
    <w:p w14:paraId="172573D3" w14:textId="1D843DC2" w:rsidR="00EC7767" w:rsidRDefault="00EC7767">
      <w:pPr>
        <w:pBdr>
          <w:top w:val="single" w:sz="3" w:space="1" w:color="CCCCCC"/>
        </w:pBdr>
        <w:spacing w:before="60"/>
      </w:pPr>
    </w:p>
    <w:sectPr w:rsidR="00EC77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D702F"/>
    <w:multiLevelType w:val="hybridMultilevel"/>
    <w:tmpl w:val="22020F12"/>
    <w:lvl w:ilvl="0" w:tplc="AC9C5902">
      <w:start w:val="1"/>
      <w:numFmt w:val="bullet"/>
      <w:lvlText w:val="●"/>
      <w:lvlJc w:val="left"/>
      <w:pPr>
        <w:ind w:left="720" w:hanging="360"/>
      </w:pPr>
    </w:lvl>
    <w:lvl w:ilvl="1" w:tplc="F9C24F76">
      <w:start w:val="1"/>
      <w:numFmt w:val="bullet"/>
      <w:lvlText w:val="○"/>
      <w:lvlJc w:val="left"/>
      <w:pPr>
        <w:ind w:left="1440" w:hanging="360"/>
      </w:pPr>
    </w:lvl>
    <w:lvl w:ilvl="2" w:tplc="CE507308">
      <w:start w:val="1"/>
      <w:numFmt w:val="bullet"/>
      <w:lvlText w:val="■"/>
      <w:lvlJc w:val="left"/>
      <w:pPr>
        <w:ind w:left="2160" w:hanging="360"/>
      </w:pPr>
    </w:lvl>
    <w:lvl w:ilvl="3" w:tplc="8CAAE738">
      <w:start w:val="1"/>
      <w:numFmt w:val="bullet"/>
      <w:lvlText w:val="●"/>
      <w:lvlJc w:val="left"/>
      <w:pPr>
        <w:ind w:left="2880" w:hanging="360"/>
      </w:pPr>
    </w:lvl>
    <w:lvl w:ilvl="4" w:tplc="D26639BC">
      <w:start w:val="1"/>
      <w:numFmt w:val="bullet"/>
      <w:lvlText w:val="○"/>
      <w:lvlJc w:val="left"/>
      <w:pPr>
        <w:ind w:left="3600" w:hanging="360"/>
      </w:pPr>
    </w:lvl>
    <w:lvl w:ilvl="5" w:tplc="3FCE4D32">
      <w:start w:val="1"/>
      <w:numFmt w:val="bullet"/>
      <w:lvlText w:val="■"/>
      <w:lvlJc w:val="left"/>
      <w:pPr>
        <w:ind w:left="4320" w:hanging="360"/>
      </w:pPr>
    </w:lvl>
    <w:lvl w:ilvl="6" w:tplc="D17AF28A">
      <w:start w:val="1"/>
      <w:numFmt w:val="bullet"/>
      <w:lvlText w:val="●"/>
      <w:lvlJc w:val="left"/>
      <w:pPr>
        <w:ind w:left="5040" w:hanging="360"/>
      </w:pPr>
    </w:lvl>
    <w:lvl w:ilvl="7" w:tplc="17E28B5C">
      <w:start w:val="1"/>
      <w:numFmt w:val="bullet"/>
      <w:lvlText w:val="●"/>
      <w:lvlJc w:val="left"/>
      <w:pPr>
        <w:ind w:left="5760" w:hanging="360"/>
      </w:pPr>
    </w:lvl>
    <w:lvl w:ilvl="8" w:tplc="D67AA7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F39AD"/>
    <w:multiLevelType w:val="hybridMultilevel"/>
    <w:tmpl w:val="B410432C"/>
    <w:lvl w:ilvl="0" w:tplc="685871AA">
      <w:start w:val="1"/>
      <w:numFmt w:val="bullet"/>
      <w:lvlText w:val="•"/>
      <w:lvlJc w:val="left"/>
      <w:pPr>
        <w:ind w:left="720" w:hanging="360"/>
      </w:pPr>
    </w:lvl>
    <w:lvl w:ilvl="1" w:tplc="09788644">
      <w:numFmt w:val="decimal"/>
      <w:lvlText w:val=""/>
      <w:lvlJc w:val="left"/>
    </w:lvl>
    <w:lvl w:ilvl="2" w:tplc="5A0A8FC0">
      <w:numFmt w:val="decimal"/>
      <w:lvlText w:val=""/>
      <w:lvlJc w:val="left"/>
    </w:lvl>
    <w:lvl w:ilvl="3" w:tplc="5D7CC9EE">
      <w:numFmt w:val="decimal"/>
      <w:lvlText w:val=""/>
      <w:lvlJc w:val="left"/>
    </w:lvl>
    <w:lvl w:ilvl="4" w:tplc="257E9FBA">
      <w:numFmt w:val="decimal"/>
      <w:lvlText w:val=""/>
      <w:lvlJc w:val="left"/>
    </w:lvl>
    <w:lvl w:ilvl="5" w:tplc="3ACC0020">
      <w:numFmt w:val="decimal"/>
      <w:lvlText w:val=""/>
      <w:lvlJc w:val="left"/>
    </w:lvl>
    <w:lvl w:ilvl="6" w:tplc="02667032">
      <w:numFmt w:val="decimal"/>
      <w:lvlText w:val=""/>
      <w:lvlJc w:val="left"/>
    </w:lvl>
    <w:lvl w:ilvl="7" w:tplc="85F23626">
      <w:numFmt w:val="decimal"/>
      <w:lvlText w:val=""/>
      <w:lvlJc w:val="left"/>
    </w:lvl>
    <w:lvl w:ilvl="8" w:tplc="B83431CC">
      <w:numFmt w:val="decimal"/>
      <w:lvlText w:val=""/>
      <w:lvlJc w:val="left"/>
    </w:lvl>
  </w:abstractNum>
  <w:abstractNum w:abstractNumId="2" w15:restartNumberingAfterBreak="0">
    <w:nsid w:val="75C267C6"/>
    <w:multiLevelType w:val="hybridMultilevel"/>
    <w:tmpl w:val="B9A81C64"/>
    <w:lvl w:ilvl="0" w:tplc="6D64F3D2">
      <w:start w:val="1"/>
      <w:numFmt w:val="decimal"/>
      <w:lvlText w:val="%1."/>
      <w:lvlJc w:val="left"/>
      <w:pPr>
        <w:ind w:left="720" w:hanging="360"/>
      </w:pPr>
    </w:lvl>
    <w:lvl w:ilvl="1" w:tplc="4F6410F6">
      <w:numFmt w:val="decimal"/>
      <w:lvlText w:val=""/>
      <w:lvlJc w:val="left"/>
    </w:lvl>
    <w:lvl w:ilvl="2" w:tplc="16B43DF0">
      <w:numFmt w:val="decimal"/>
      <w:lvlText w:val=""/>
      <w:lvlJc w:val="left"/>
    </w:lvl>
    <w:lvl w:ilvl="3" w:tplc="92F07300">
      <w:numFmt w:val="decimal"/>
      <w:lvlText w:val=""/>
      <w:lvlJc w:val="left"/>
    </w:lvl>
    <w:lvl w:ilvl="4" w:tplc="3618BD42">
      <w:numFmt w:val="decimal"/>
      <w:lvlText w:val=""/>
      <w:lvlJc w:val="left"/>
    </w:lvl>
    <w:lvl w:ilvl="5" w:tplc="FFDE9C24">
      <w:numFmt w:val="decimal"/>
      <w:lvlText w:val=""/>
      <w:lvlJc w:val="left"/>
    </w:lvl>
    <w:lvl w:ilvl="6" w:tplc="7AF6C8E4">
      <w:numFmt w:val="decimal"/>
      <w:lvlText w:val=""/>
      <w:lvlJc w:val="left"/>
    </w:lvl>
    <w:lvl w:ilvl="7" w:tplc="540E2250">
      <w:numFmt w:val="decimal"/>
      <w:lvlText w:val=""/>
      <w:lvlJc w:val="left"/>
    </w:lvl>
    <w:lvl w:ilvl="8" w:tplc="D31EAB4A">
      <w:numFmt w:val="decimal"/>
      <w:lvlText w:val=""/>
      <w:lvlJc w:val="left"/>
    </w:lvl>
  </w:abstractNum>
  <w:num w:numId="1" w16cid:durableId="2021810603">
    <w:abstractNumId w:val="0"/>
    <w:lvlOverride w:ilvl="0">
      <w:startOverride w:val="1"/>
    </w:lvlOverride>
  </w:num>
  <w:num w:numId="2" w16cid:durableId="1413284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767"/>
    <w:rsid w:val="000162D7"/>
    <w:rsid w:val="008203CB"/>
    <w:rsid w:val="00DD33E4"/>
    <w:rsid w:val="00EC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07782"/>
  <w15:docId w15:val="{B31736C8-854B-B943-880F-5E7727BA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A1A2E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4A90D9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2026-06-09T22:06:00Z</dcterms:created>
  <dcterms:modified xsi:type="dcterms:W3CDTF">2026-06-09T22:06:00Z</dcterms:modified>
</cp:coreProperties>
</file>