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5rls371n9n09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Controls and compliance checklist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To complete the controls assessment checklist, refer to the information provided in the </w:t>
      </w: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scope, goals, and risk assessment report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. For more details about each control, including the type and purpose, refer to the </w:t>
      </w:r>
      <w:hyperlink r:id="rId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Then, select “yes” or “no” to answer the question: 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Does Botium Toys currently have this control in place? 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Controls assessment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0"/>
        <w:gridCol w:w="945"/>
        <w:gridCol w:w="7515"/>
        <w:tblGridChange w:id="0">
          <w:tblGrid>
            <w:gridCol w:w="900"/>
            <w:gridCol w:w="9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Least Privilege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Disaster recovery plans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policies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Separation of duties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Firewall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Intrusion detection system (IDS)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Backups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Antivirus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Manual monitoring, maintenance, and intervention for legacy 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Encryption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Locks (offices, storefront, warehouse)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 detection/prevention (fire alarm, sprinkler system, etc.)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To complete the compliance checklist, refer to the information provided in the </w:t>
      </w:r>
      <w:hyperlink r:id="rId8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scope, goals, and risk assessment report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. For more details about each compliance regulation, review the </w:t>
      </w:r>
      <w:hyperlink r:id="rId9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controls, frameworks, and compliance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reading.</w:t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Then, select “yes” or “no” to answer the question: 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Does Botium Toys currently adhere to this compliance best practice?</w:t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Compliance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rPr>
          <w:rFonts w:ascii="Google Sans" w:cs="Google Sans" w:eastAsia="Google Sans" w:hAnsi="Google Sans"/>
          <w:sz w:val="24"/>
          <w:szCs w:val="24"/>
          <w:u w:val="single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u w:val="single"/>
          <w:rtl w:val="0"/>
        </w:rPr>
        <w:t xml:space="preserve">Payment Card Industry Data Security Standard (PCI DSS)</w:t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0"/>
        <w:gridCol w:w="915"/>
        <w:gridCol w:w="7515"/>
        <w:tblGridChange w:id="0">
          <w:tblGrid>
            <w:gridCol w:w="930"/>
            <w:gridCol w:w="9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Only authorized users have access to customers’ credit card information.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Credit card information is stored, accepted, processed, and transmitted internally, in a secure environment.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Implement data encryption procedures to better secure credit card transaction touchpoints and data.</w:t>
            </w: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Adopt secure password management policies.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rPr>
          <w:rFonts w:ascii="Google Sans" w:cs="Google Sans" w:eastAsia="Google Sans" w:hAnsi="Google Sans"/>
          <w:sz w:val="24"/>
          <w:szCs w:val="24"/>
          <w:u w:val="single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u w:val="single"/>
          <w:rtl w:val="0"/>
        </w:rPr>
        <w:t xml:space="preserve">General Data Protection Regulation (GDPR)</w:t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0"/>
        <w:gridCol w:w="945"/>
        <w:gridCol w:w="7515"/>
        <w:tblGridChange w:id="0">
          <w:tblGrid>
            <w:gridCol w:w="900"/>
            <w:gridCol w:w="9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E.U. customers’ data is kept private/secured.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There is a plan in place to notify E.U. customers within 72 hours if their data is compromised/there is a breach.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Ensure data is properly classified and inventoried.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Enforce privacy policies, procedures, and processes to properly document and maintain data.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360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u w:val="single"/>
          <w:rtl w:val="0"/>
        </w:rPr>
        <w:t xml:space="preserve">System and Organizations Controls (SOC type 1, SOC type 2)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tbl>
      <w:tblPr>
        <w:tblStyle w:val="Table4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0"/>
        <w:gridCol w:w="915"/>
        <w:gridCol w:w="7515"/>
        <w:tblGridChange w:id="0">
          <w:tblGrid>
            <w:gridCol w:w="930"/>
            <w:gridCol w:w="9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User access policies are established.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Sensitive data (PII/SPII) is confidential/private.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Data integrity ensures the data is consistent, complete, accurate, and has been validated.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Data is available to individuals authorized to access it.</w:t>
            </w:r>
          </w:p>
        </w:tc>
      </w:tr>
    </w:tbl>
    <w:p w:rsidR="00000000" w:rsidDel="00000000" w:rsidP="00000000" w:rsidRDefault="00000000" w:rsidRPr="00000000" w14:paraId="00000074">
      <w:pPr>
        <w:spacing w:after="200" w:line="360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360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360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This section is 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 w:rsidR="00000000" w:rsidDel="00000000" w:rsidP="00000000" w:rsidRDefault="00000000" w:rsidRPr="00000000" w14:paraId="00000077">
      <w:pPr>
        <w:spacing w:after="200" w:line="360" w:lineRule="auto"/>
        <w:rPr/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Recommendations (optional): 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 this section, provide recommendations, related to controls and/or compliance needs, that your IT manager could communicate to stakeholders to reduce risks to assets and improve Botium Toys’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oogle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foundations-of-cybersecurity/supplement/xu4pr/controls-frameworks-and-compli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2u_RuhRAI40JSh-eZHvaFsV1ZMxcNSWXifHDTOsgFc/template/preview#heading=h.evidx83t54sc" TargetMode="External"/><Relationship Id="rId7" Type="http://schemas.openxmlformats.org/officeDocument/2006/relationships/hyperlink" Target="https://docs.google.com/document/d/1btezuy_bMKWoK8pd97ZuzdWB9y6au_zfkrpkfVf8ktI/template/preview" TargetMode="External"/><Relationship Id="rId8" Type="http://schemas.openxmlformats.org/officeDocument/2006/relationships/hyperlink" Target="https://docs.google.com/document/d/1s2u_RuhRAI40JSh-eZHvaFsV1ZMxcNSWXifHDTOsgFc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