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Quy tắc kiểm tra hồ sơ HÀNG NHẬP KHO</w:t>
      </w:r>
    </w:p>
    <w:p>
      <w:r>
        <w:t>Các quy tắc bên dưới được sử dụng để kiểm tra hồ sơ nhập kho (hàng nội địa hoặc hàng oversea) từ dữ liệu OCR.</w:t>
      </w:r>
    </w:p>
    <w:p>
      <w:pPr>
        <w:pStyle w:val="Heading2"/>
      </w:pPr>
      <w:r>
        <w:t>1. Xác định loại hồ sơ</w:t>
      </w:r>
    </w:p>
    <w:p>
      <w:r>
        <w:t>- Nếu có Hóa đơn điện tử → hàng nội địa</w:t>
      </w:r>
    </w:p>
    <w:p>
      <w:r>
        <w:t>- Nếu không có Hóa đơn điện tử → hàng oversea</w:t>
      </w:r>
    </w:p>
    <w:p>
      <w:pPr>
        <w:pStyle w:val="Heading2"/>
      </w:pPr>
      <w:r>
        <w:t>2. Hồ sơ bắt buộc theo loại</w:t>
      </w:r>
    </w:p>
    <w:p>
      <w:r>
        <w:t>- Hàng nội địa: Hóa đơn điện tử, INV/PL, Tờ khai HQ, PO</w:t>
      </w:r>
    </w:p>
    <w:p>
      <w:r>
        <w:t>- Hàng oversea: INV/PL, Tờ khai HQ, PO</w:t>
      </w:r>
    </w:p>
    <w:p>
      <w:pPr>
        <w:pStyle w:val="Heading2"/>
      </w:pPr>
      <w:r>
        <w:t>3. Kiểm tra chi tiết các trường thông tin</w:t>
      </w:r>
    </w:p>
    <w:p>
      <w:r>
        <w:t>✅ Tên NCC: Phải giống nhau giữa ĐNTT, PO, Tờ khai HQ (không cần giống hóa đơn)</w:t>
      </w:r>
    </w:p>
    <w:p>
      <w:r>
        <w:t>✅ Số hóa đơn: Giống nhau giữa ĐNTT, Hóa đơn, Invoice, Tờ khai HQ</w:t>
      </w:r>
    </w:p>
    <w:p>
      <w:r>
        <w:t>✅ Ngày hóa đơn: Giống nhau giữa Hóa đơn, Invoice, Tờ khai HQ</w:t>
      </w:r>
    </w:p>
    <w:p>
      <w:r>
        <w:t>✅ Số tiền:</w:t>
      </w:r>
    </w:p>
    <w:p>
      <w:r>
        <w:t xml:space="preserve">   - Trùng giữa ĐNTT, Hóa đơn, Invoice (bỏ qua dòng 'No commercial value')</w:t>
      </w:r>
    </w:p>
    <w:p>
      <w:r>
        <w:t xml:space="preserve">   - Tổng tiền trên Tờ khai phải lớn hơn hoặc bằng giá trị Invoice</w:t>
      </w:r>
    </w:p>
    <w:p>
      <w:r>
        <w:t>✅ Incoterm: Giống nhau giữa Invoice, Tờ khai HQ, PO</w:t>
      </w:r>
    </w:p>
    <w:p>
      <w:r>
        <w:t>✅ Deadline thanh toán trên ĐNTT phải phù hợp với Payment Term trên PO (dựa theo ngày thông quan trên Tờ khai)</w:t>
      </w:r>
    </w:p>
    <w:p>
      <w:pPr>
        <w:pStyle w:val="Heading2"/>
      </w:pPr>
      <w:r>
        <w:t>4. Ngày hoàn thành kiểm tra trên tờ khai</w:t>
      </w:r>
    </w:p>
    <w:p>
      <w:r>
        <w:t>- Trả về: OK / NG / Blank</w:t>
      </w:r>
    </w:p>
    <w:p>
      <w:pPr>
        <w:pStyle w:val="Heading2"/>
      </w:pPr>
      <w:r>
        <w:t>5. Kiểm tra Ringi</w:t>
      </w:r>
    </w:p>
    <w:p>
      <w:r>
        <w:t>- Không cần đọc nội dung Ringi</w:t>
      </w:r>
    </w:p>
    <w:p>
      <w:r>
        <w:t>- Chỉ nhắc: “Export dữ liệu Ringi để lưu lũy kế và so sánh với file mềm.”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