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EAC" w:rsidRPr="000A0EAC" w:rsidRDefault="000A0EAC" w:rsidP="000A0EAC">
      <w:pPr>
        <w:rPr>
          <w:rFonts w:ascii="Cambria" w:eastAsia="Times New Roman" w:hAnsi="Cambria" w:cs="Segoe UI"/>
          <w:b/>
          <w:bCs/>
          <w:color w:val="4F81BD"/>
          <w:sz w:val="32"/>
          <w:szCs w:val="32"/>
        </w:rPr>
      </w:pPr>
      <w:r w:rsidRPr="000A0EAC">
        <w:rPr>
          <w:rFonts w:ascii="Cambria" w:eastAsia="Times New Roman" w:hAnsi="Cambria" w:cs="Segoe UI"/>
          <w:b/>
          <w:bCs/>
          <w:color w:val="4F81BD"/>
          <w:sz w:val="32"/>
          <w:szCs w:val="32"/>
        </w:rPr>
        <w:t>Escalation Report for Non-Conforming Releases</w:t>
      </w:r>
    </w:p>
    <w:p w:rsidR="000A0EAC" w:rsidRDefault="000A0EAC" w:rsidP="000A0EAC"/>
    <w:p w:rsidR="00AF6BB1" w:rsidRDefault="000A0EAC" w:rsidP="000A0EAC">
      <w:pPr>
        <w:rPr>
          <w:highlight w:val="yellow"/>
        </w:rPr>
      </w:pPr>
      <w:r w:rsidRPr="000A0EAC">
        <w:rPr>
          <w:highlight w:val="yellow"/>
        </w:rPr>
        <w:t>&lt;</w:t>
      </w:r>
      <w:r w:rsidR="00AF6BB1">
        <w:rPr>
          <w:highlight w:val="yellow"/>
        </w:rPr>
        <w:t>Remove all highlighted text&gt;</w:t>
      </w:r>
    </w:p>
    <w:p w:rsidR="000A0EAC" w:rsidRDefault="00AF6BB1" w:rsidP="000A0EAC">
      <w:r>
        <w:rPr>
          <w:highlight w:val="yellow"/>
        </w:rPr>
        <w:t>&lt;</w:t>
      </w:r>
      <w:r w:rsidR="000A0EAC" w:rsidRPr="000A0EAC">
        <w:rPr>
          <w:highlight w:val="yellow"/>
        </w:rPr>
        <w:t>For releases that do not meet the pass bar, executive level sign off is required to accept the risk of releasing this build. This template provides the details around what kind of information is provided to assist in making the release decision.&gt;</w:t>
      </w:r>
    </w:p>
    <w:p w:rsidR="000A0EAC" w:rsidRDefault="000A0EAC" w:rsidP="000A0EAC"/>
    <w:p w:rsidR="00EA5CA7" w:rsidRDefault="00EA5CA7" w:rsidP="000A0EAC">
      <w:r w:rsidRPr="00EA5CA7">
        <w:rPr>
          <w:b/>
        </w:rPr>
        <w:t>Introduction</w:t>
      </w:r>
      <w:r>
        <w:t>:</w:t>
      </w:r>
    </w:p>
    <w:p w:rsidR="000A0EAC" w:rsidRDefault="000A0EAC" w:rsidP="000A0EAC">
      <w:r>
        <w:t xml:space="preserve">This report contains the details of all known, unresolved issues impacting product release </w:t>
      </w:r>
      <w:r w:rsidRPr="000A0EAC">
        <w:rPr>
          <w:highlight w:val="yellow"/>
        </w:rPr>
        <w:t>&lt;product name&gt;</w:t>
      </w:r>
      <w:r>
        <w:t xml:space="preserve"> version </w:t>
      </w:r>
      <w:r w:rsidRPr="000A0EAC">
        <w:rPr>
          <w:highlight w:val="yellow"/>
        </w:rPr>
        <w:t>&lt;release build&gt;</w:t>
      </w:r>
      <w:r>
        <w:t>.</w:t>
      </w:r>
    </w:p>
    <w:p w:rsidR="000A0EAC" w:rsidRDefault="000A0EAC" w:rsidP="000A0EAC"/>
    <w:p w:rsidR="000A0EAC" w:rsidRDefault="000A0EAC" w:rsidP="000A0EAC">
      <w:r w:rsidRPr="00EA5CA7">
        <w:rPr>
          <w:b/>
        </w:rPr>
        <w:t>Completed by</w:t>
      </w:r>
      <w:r>
        <w:t xml:space="preserve">: </w:t>
      </w:r>
      <w:r w:rsidRPr="000A0EAC">
        <w:rPr>
          <w:highlight w:val="yellow"/>
        </w:rPr>
        <w:t>&lt;security team representative&gt;</w:t>
      </w:r>
    </w:p>
    <w:p w:rsidR="000A0EAC" w:rsidRDefault="000A0EAC" w:rsidP="000A0EAC">
      <w:r w:rsidRPr="00EA5CA7">
        <w:rPr>
          <w:b/>
        </w:rPr>
        <w:t xml:space="preserve">Date: </w:t>
      </w:r>
      <w:r w:rsidRPr="000A0EAC">
        <w:rPr>
          <w:highlight w:val="yellow"/>
        </w:rPr>
        <w:t>&lt;report creation date&gt;</w:t>
      </w:r>
    </w:p>
    <w:p w:rsidR="000A0EAC" w:rsidRDefault="000A0EAC" w:rsidP="000A0EAC">
      <w:pPr>
        <w:rPr>
          <w:rFonts w:eastAsia="Times New Roman"/>
          <w:b/>
          <w:bCs/>
        </w:rPr>
      </w:pPr>
    </w:p>
    <w:p w:rsidR="000A0EAC" w:rsidRPr="000A0EAC" w:rsidRDefault="000A0EAC" w:rsidP="000A0EAC">
      <w:pPr>
        <w:rPr>
          <w:rFonts w:eastAsia="Times New Roman"/>
          <w:bCs/>
          <w:highlight w:val="yellow"/>
        </w:rPr>
      </w:pPr>
      <w:r w:rsidRPr="000A0EAC">
        <w:rPr>
          <w:rFonts w:eastAsia="Times New Roman"/>
          <w:bCs/>
          <w:highlight w:val="yellow"/>
        </w:rPr>
        <w:t>Details in this report would include:</w:t>
      </w:r>
    </w:p>
    <w:p w:rsidR="00AF6BB1" w:rsidRDefault="00AF6BB1" w:rsidP="000A0EAC">
      <w:pPr>
        <w:pStyle w:val="ListParagraph"/>
        <w:numPr>
          <w:ilvl w:val="0"/>
          <w:numId w:val="3"/>
        </w:numPr>
        <w:rPr>
          <w:rFonts w:eastAsia="Times New Roman"/>
          <w:bCs/>
          <w:highlight w:val="yellow"/>
        </w:rPr>
      </w:pPr>
      <w:r>
        <w:rPr>
          <w:rFonts w:eastAsia="Times New Roman"/>
          <w:bCs/>
          <w:highlight w:val="yellow"/>
        </w:rPr>
        <w:t>History of the product</w:t>
      </w:r>
    </w:p>
    <w:p w:rsidR="000A0EAC" w:rsidRPr="000A0EAC" w:rsidRDefault="000A0EAC" w:rsidP="000A0EAC">
      <w:pPr>
        <w:pStyle w:val="ListParagraph"/>
        <w:numPr>
          <w:ilvl w:val="0"/>
          <w:numId w:val="3"/>
        </w:numPr>
        <w:rPr>
          <w:rFonts w:eastAsia="Times New Roman"/>
          <w:bCs/>
          <w:highlight w:val="yellow"/>
        </w:rPr>
      </w:pPr>
      <w:r w:rsidRPr="000A0EAC">
        <w:rPr>
          <w:rFonts w:eastAsia="Times New Roman"/>
          <w:bCs/>
          <w:highlight w:val="yellow"/>
        </w:rPr>
        <w:t>Unresolved backlog characteristics</w:t>
      </w:r>
    </w:p>
    <w:p w:rsidR="000A0EAC" w:rsidRPr="000A0EAC" w:rsidRDefault="000A0EAC" w:rsidP="000A0EAC">
      <w:pPr>
        <w:pStyle w:val="ListParagraph"/>
        <w:numPr>
          <w:ilvl w:val="1"/>
          <w:numId w:val="3"/>
        </w:numPr>
        <w:rPr>
          <w:rFonts w:eastAsia="Times New Roman"/>
          <w:bCs/>
          <w:highlight w:val="yellow"/>
        </w:rPr>
      </w:pPr>
      <w:r w:rsidRPr="000A0EAC">
        <w:rPr>
          <w:rFonts w:eastAsia="Times New Roman"/>
          <w:bCs/>
          <w:highlight w:val="yellow"/>
        </w:rPr>
        <w:t>List all unresolved issues by severity</w:t>
      </w:r>
    </w:p>
    <w:p w:rsidR="000A0EAC" w:rsidRPr="000A0EAC" w:rsidRDefault="000A0EAC" w:rsidP="000A0EAC">
      <w:pPr>
        <w:pStyle w:val="ListParagraph"/>
        <w:numPr>
          <w:ilvl w:val="1"/>
          <w:numId w:val="3"/>
        </w:numPr>
        <w:rPr>
          <w:rFonts w:eastAsia="Times New Roman"/>
          <w:bCs/>
          <w:highlight w:val="yellow"/>
        </w:rPr>
      </w:pPr>
      <w:r w:rsidRPr="000A0EAC">
        <w:rPr>
          <w:rFonts w:eastAsia="Times New Roman"/>
          <w:bCs/>
          <w:highlight w:val="yellow"/>
        </w:rPr>
        <w:t>Highlight lingering issues based on issue filing date, making sure to flag any publicly known</w:t>
      </w:r>
    </w:p>
    <w:p w:rsidR="000A0EAC" w:rsidRPr="000A0EAC" w:rsidRDefault="000A0EAC" w:rsidP="000A0EAC">
      <w:pPr>
        <w:pStyle w:val="ListParagraph"/>
        <w:numPr>
          <w:ilvl w:val="1"/>
          <w:numId w:val="3"/>
        </w:numPr>
        <w:rPr>
          <w:rFonts w:eastAsia="Times New Roman"/>
          <w:bCs/>
          <w:highlight w:val="yellow"/>
        </w:rPr>
      </w:pPr>
      <w:r w:rsidRPr="000A0EAC">
        <w:rPr>
          <w:rFonts w:eastAsia="Times New Roman"/>
          <w:bCs/>
          <w:highlight w:val="yellow"/>
        </w:rPr>
        <w:t>Provide details on causes for delays in mitigation.</w:t>
      </w:r>
    </w:p>
    <w:p w:rsidR="000A0EAC" w:rsidRPr="000A0EAC" w:rsidRDefault="000A0EAC" w:rsidP="000A0EAC">
      <w:pPr>
        <w:pStyle w:val="ListParagraph"/>
        <w:numPr>
          <w:ilvl w:val="0"/>
          <w:numId w:val="3"/>
        </w:numPr>
        <w:rPr>
          <w:rFonts w:eastAsia="Times New Roman"/>
          <w:bCs/>
          <w:highlight w:val="yellow"/>
        </w:rPr>
      </w:pPr>
      <w:r w:rsidRPr="000A0EAC">
        <w:rPr>
          <w:rFonts w:eastAsia="Times New Roman"/>
          <w:bCs/>
          <w:highlight w:val="yellow"/>
        </w:rPr>
        <w:t>Technical reviews and recommendations</w:t>
      </w:r>
    </w:p>
    <w:p w:rsidR="000A0EAC" w:rsidRPr="000A0EAC" w:rsidRDefault="000A0EAC" w:rsidP="000A0EAC">
      <w:pPr>
        <w:pStyle w:val="ListParagraph"/>
        <w:numPr>
          <w:ilvl w:val="1"/>
          <w:numId w:val="3"/>
        </w:numPr>
        <w:rPr>
          <w:rFonts w:eastAsia="Times New Roman"/>
          <w:bCs/>
          <w:highlight w:val="yellow"/>
        </w:rPr>
      </w:pPr>
      <w:r w:rsidRPr="000A0EAC">
        <w:rPr>
          <w:rFonts w:eastAsia="Times New Roman"/>
          <w:bCs/>
          <w:highlight w:val="yellow"/>
        </w:rPr>
        <w:t>Provide a remediation schedule.</w:t>
      </w:r>
    </w:p>
    <w:p w:rsidR="000A0EAC" w:rsidRPr="000A0EAC" w:rsidRDefault="000A0EAC" w:rsidP="000A0EAC">
      <w:pPr>
        <w:pStyle w:val="ListParagraph"/>
        <w:numPr>
          <w:ilvl w:val="1"/>
          <w:numId w:val="3"/>
        </w:numPr>
        <w:rPr>
          <w:rFonts w:eastAsia="Times New Roman"/>
          <w:bCs/>
          <w:highlight w:val="yellow"/>
        </w:rPr>
      </w:pPr>
      <w:r w:rsidRPr="000A0EAC">
        <w:rPr>
          <w:rFonts w:eastAsia="Times New Roman"/>
          <w:bCs/>
          <w:highlight w:val="yellow"/>
        </w:rPr>
        <w:t>Highlight all missed release opportunities.</w:t>
      </w:r>
    </w:p>
    <w:p w:rsidR="000A0EAC" w:rsidRPr="000A0EAC" w:rsidRDefault="000A0EAC" w:rsidP="000A0EAC">
      <w:pPr>
        <w:pStyle w:val="ListParagraph"/>
        <w:numPr>
          <w:ilvl w:val="1"/>
          <w:numId w:val="3"/>
        </w:numPr>
        <w:rPr>
          <w:rFonts w:eastAsia="Times New Roman"/>
          <w:bCs/>
          <w:highlight w:val="yellow"/>
        </w:rPr>
      </w:pPr>
      <w:r w:rsidRPr="000A0EAC">
        <w:rPr>
          <w:rFonts w:eastAsia="Times New Roman"/>
          <w:bCs/>
          <w:highlight w:val="yellow"/>
        </w:rPr>
        <w:t>Summarize technical assessment findings and release recommendations from your technical experts. The risk must be detailed in common language.</w:t>
      </w:r>
    </w:p>
    <w:p w:rsidR="000A0EAC" w:rsidRDefault="000A0EAC" w:rsidP="000A0EAC">
      <w:pPr>
        <w:rPr>
          <w:b/>
          <w:bCs/>
        </w:rPr>
      </w:pPr>
    </w:p>
    <w:tbl>
      <w:tblPr>
        <w:tblStyle w:val="TableGrid"/>
        <w:tblpPr w:leftFromText="180" w:rightFromText="180" w:vertAnchor="text" w:horzAnchor="margin" w:tblpY="979"/>
        <w:tblW w:w="0" w:type="auto"/>
        <w:tblLook w:val="04A0" w:firstRow="1" w:lastRow="0" w:firstColumn="1" w:lastColumn="0" w:noHBand="0" w:noVBand="1"/>
      </w:tblPr>
      <w:tblGrid>
        <w:gridCol w:w="1115"/>
        <w:gridCol w:w="1042"/>
        <w:gridCol w:w="1002"/>
        <w:gridCol w:w="847"/>
        <w:gridCol w:w="1462"/>
        <w:gridCol w:w="1366"/>
        <w:gridCol w:w="1074"/>
        <w:gridCol w:w="1422"/>
      </w:tblGrid>
      <w:tr w:rsidR="00204AAC" w:rsidTr="00AF6BB1">
        <w:tc>
          <w:tcPr>
            <w:tcW w:w="1115" w:type="dxa"/>
            <w:tcBorders>
              <w:top w:val="double" w:sz="4" w:space="0" w:color="A5A5A5" w:themeColor="accent3"/>
              <w:left w:val="double" w:sz="4" w:space="0" w:color="A5A5A5" w:themeColor="accent3"/>
              <w:bottom w:val="double" w:sz="4" w:space="0" w:color="A5A5A5" w:themeColor="accent3"/>
            </w:tcBorders>
            <w:shd w:val="pct5" w:color="D9D9D9" w:themeColor="background1" w:themeShade="D9" w:fill="D9D9D9" w:themeFill="background1" w:themeFillShade="D9"/>
          </w:tcPr>
          <w:p w:rsidR="000A0EAC" w:rsidRPr="00204AAC" w:rsidRDefault="00204AAC" w:rsidP="00AF6BB1">
            <w:pPr>
              <w:rPr>
                <w:sz w:val="24"/>
              </w:rPr>
            </w:pPr>
            <w:r>
              <w:rPr>
                <w:sz w:val="24"/>
              </w:rPr>
              <w:t>Issue Identifier</w:t>
            </w:r>
          </w:p>
        </w:tc>
        <w:tc>
          <w:tcPr>
            <w:tcW w:w="1042" w:type="dxa"/>
            <w:tcBorders>
              <w:top w:val="double" w:sz="4" w:space="0" w:color="A5A5A5" w:themeColor="accent3"/>
              <w:bottom w:val="double" w:sz="4" w:space="0" w:color="A5A5A5" w:themeColor="accent3"/>
            </w:tcBorders>
            <w:shd w:val="pct5" w:color="D9D9D9" w:themeColor="background1" w:themeShade="D9" w:fill="D9D9D9" w:themeFill="background1" w:themeFillShade="D9"/>
          </w:tcPr>
          <w:p w:rsidR="000A0EAC" w:rsidRPr="00204AAC" w:rsidRDefault="000A0EAC" w:rsidP="00AF6BB1">
            <w:pPr>
              <w:rPr>
                <w:sz w:val="24"/>
              </w:rPr>
            </w:pPr>
            <w:r w:rsidRPr="00204AAC">
              <w:rPr>
                <w:sz w:val="24"/>
              </w:rPr>
              <w:t>Date created</w:t>
            </w:r>
          </w:p>
        </w:tc>
        <w:tc>
          <w:tcPr>
            <w:tcW w:w="1002" w:type="dxa"/>
            <w:tcBorders>
              <w:top w:val="double" w:sz="4" w:space="0" w:color="A5A5A5" w:themeColor="accent3"/>
              <w:bottom w:val="double" w:sz="4" w:space="0" w:color="A5A5A5" w:themeColor="accent3"/>
            </w:tcBorders>
            <w:shd w:val="pct5" w:color="D9D9D9" w:themeColor="background1" w:themeShade="D9" w:fill="D9D9D9" w:themeFill="background1" w:themeFillShade="D9"/>
          </w:tcPr>
          <w:p w:rsidR="000A0EAC" w:rsidRPr="00204AAC" w:rsidRDefault="000A0EAC" w:rsidP="00AF6BB1">
            <w:pPr>
              <w:rPr>
                <w:sz w:val="24"/>
              </w:rPr>
            </w:pPr>
            <w:r w:rsidRPr="00204AAC">
              <w:rPr>
                <w:sz w:val="24"/>
              </w:rPr>
              <w:t>Severity</w:t>
            </w:r>
          </w:p>
        </w:tc>
        <w:tc>
          <w:tcPr>
            <w:tcW w:w="847" w:type="dxa"/>
            <w:tcBorders>
              <w:top w:val="double" w:sz="4" w:space="0" w:color="A5A5A5" w:themeColor="accent3"/>
              <w:bottom w:val="double" w:sz="4" w:space="0" w:color="A5A5A5" w:themeColor="accent3"/>
            </w:tcBorders>
            <w:shd w:val="pct5" w:color="D9D9D9" w:themeColor="background1" w:themeShade="D9" w:fill="D9D9D9" w:themeFill="background1" w:themeFillShade="D9"/>
          </w:tcPr>
          <w:p w:rsidR="000A0EAC" w:rsidRPr="00204AAC" w:rsidRDefault="000A0EAC" w:rsidP="00AF6BB1">
            <w:pPr>
              <w:rPr>
                <w:sz w:val="24"/>
              </w:rPr>
            </w:pPr>
            <w:r w:rsidRPr="00204AAC">
              <w:rPr>
                <w:sz w:val="24"/>
              </w:rPr>
              <w:t>Public (Y/N)</w:t>
            </w:r>
          </w:p>
        </w:tc>
        <w:tc>
          <w:tcPr>
            <w:tcW w:w="1462" w:type="dxa"/>
            <w:tcBorders>
              <w:top w:val="double" w:sz="4" w:space="0" w:color="A5A5A5" w:themeColor="accent3"/>
              <w:bottom w:val="double" w:sz="4" w:space="0" w:color="A5A5A5" w:themeColor="accent3"/>
            </w:tcBorders>
            <w:shd w:val="pct5" w:color="D9D9D9" w:themeColor="background1" w:themeShade="D9" w:fill="D9D9D9" w:themeFill="background1" w:themeFillShade="D9"/>
          </w:tcPr>
          <w:p w:rsidR="000A0EAC" w:rsidRPr="00204AAC" w:rsidRDefault="000A0EAC" w:rsidP="00AF6BB1">
            <w:pPr>
              <w:rPr>
                <w:sz w:val="24"/>
              </w:rPr>
            </w:pPr>
            <w:r w:rsidRPr="00204AAC">
              <w:rPr>
                <w:sz w:val="24"/>
              </w:rPr>
              <w:t>Remediation schedule</w:t>
            </w:r>
          </w:p>
        </w:tc>
        <w:tc>
          <w:tcPr>
            <w:tcW w:w="1366" w:type="dxa"/>
            <w:tcBorders>
              <w:top w:val="double" w:sz="4" w:space="0" w:color="A5A5A5" w:themeColor="accent3"/>
              <w:bottom w:val="double" w:sz="4" w:space="0" w:color="A5A5A5" w:themeColor="accent3"/>
            </w:tcBorders>
            <w:shd w:val="pct5" w:color="D9D9D9" w:themeColor="background1" w:themeShade="D9" w:fill="D9D9D9" w:themeFill="background1" w:themeFillShade="D9"/>
          </w:tcPr>
          <w:p w:rsidR="000A0EAC" w:rsidRPr="00204AAC" w:rsidRDefault="000A0EAC" w:rsidP="00AF6BB1">
            <w:pPr>
              <w:rPr>
                <w:sz w:val="24"/>
              </w:rPr>
            </w:pPr>
            <w:r w:rsidRPr="00204AAC">
              <w:rPr>
                <w:sz w:val="24"/>
              </w:rPr>
              <w:t>Missed release cycles</w:t>
            </w:r>
          </w:p>
        </w:tc>
        <w:tc>
          <w:tcPr>
            <w:tcW w:w="1074" w:type="dxa"/>
            <w:tcBorders>
              <w:top w:val="double" w:sz="4" w:space="0" w:color="A5A5A5" w:themeColor="accent3"/>
              <w:bottom w:val="double" w:sz="4" w:space="0" w:color="A5A5A5" w:themeColor="accent3"/>
            </w:tcBorders>
            <w:shd w:val="pct5" w:color="D9D9D9" w:themeColor="background1" w:themeShade="D9" w:fill="D9D9D9" w:themeFill="background1" w:themeFillShade="D9"/>
          </w:tcPr>
          <w:p w:rsidR="000A0EAC" w:rsidRPr="00204AAC" w:rsidRDefault="000A0EAC" w:rsidP="00AF6BB1">
            <w:pPr>
              <w:rPr>
                <w:sz w:val="24"/>
              </w:rPr>
            </w:pPr>
            <w:r w:rsidRPr="00204AAC">
              <w:rPr>
                <w:sz w:val="24"/>
              </w:rPr>
              <w:t>Risk level</w:t>
            </w:r>
          </w:p>
        </w:tc>
        <w:tc>
          <w:tcPr>
            <w:tcW w:w="1422" w:type="dxa"/>
            <w:tcBorders>
              <w:top w:val="double" w:sz="4" w:space="0" w:color="A5A5A5" w:themeColor="accent3"/>
              <w:bottom w:val="double" w:sz="4" w:space="0" w:color="A5A5A5" w:themeColor="accent3"/>
              <w:right w:val="double" w:sz="4" w:space="0" w:color="A5A5A5" w:themeColor="accent3"/>
            </w:tcBorders>
            <w:shd w:val="pct5" w:color="D9D9D9" w:themeColor="background1" w:themeShade="D9" w:fill="D9D9D9" w:themeFill="background1" w:themeFillShade="D9"/>
          </w:tcPr>
          <w:p w:rsidR="000A0EAC" w:rsidRPr="00204AAC" w:rsidRDefault="000A0EAC" w:rsidP="00AF6BB1">
            <w:pPr>
              <w:rPr>
                <w:sz w:val="24"/>
              </w:rPr>
            </w:pPr>
            <w:r w:rsidRPr="00204AAC">
              <w:rPr>
                <w:sz w:val="24"/>
              </w:rPr>
              <w:t>Additional details</w:t>
            </w:r>
          </w:p>
        </w:tc>
      </w:tr>
      <w:tr w:rsidR="00204AAC" w:rsidTr="00AF6BB1">
        <w:tc>
          <w:tcPr>
            <w:tcW w:w="1115" w:type="dxa"/>
            <w:tcBorders>
              <w:top w:val="double" w:sz="4" w:space="0" w:color="A5A5A5" w:themeColor="accent3"/>
              <w:left w:val="double" w:sz="4" w:space="0" w:color="A5A5A5" w:themeColor="accent3"/>
            </w:tcBorders>
          </w:tcPr>
          <w:p w:rsidR="000A0EAC" w:rsidRDefault="000A0EAC" w:rsidP="00AF6BB1"/>
        </w:tc>
        <w:tc>
          <w:tcPr>
            <w:tcW w:w="1042" w:type="dxa"/>
            <w:tcBorders>
              <w:top w:val="double" w:sz="4" w:space="0" w:color="A5A5A5" w:themeColor="accent3"/>
            </w:tcBorders>
          </w:tcPr>
          <w:p w:rsidR="000A0EAC" w:rsidRDefault="000A0EAC" w:rsidP="00AF6BB1"/>
        </w:tc>
        <w:tc>
          <w:tcPr>
            <w:tcW w:w="1002" w:type="dxa"/>
            <w:tcBorders>
              <w:top w:val="double" w:sz="4" w:space="0" w:color="A5A5A5" w:themeColor="accent3"/>
            </w:tcBorders>
          </w:tcPr>
          <w:p w:rsidR="000A0EAC" w:rsidRDefault="000A0EAC" w:rsidP="00AF6BB1"/>
        </w:tc>
        <w:tc>
          <w:tcPr>
            <w:tcW w:w="847" w:type="dxa"/>
            <w:tcBorders>
              <w:top w:val="double" w:sz="4" w:space="0" w:color="A5A5A5" w:themeColor="accent3"/>
            </w:tcBorders>
          </w:tcPr>
          <w:p w:rsidR="000A0EAC" w:rsidRDefault="000A0EAC" w:rsidP="00AF6BB1"/>
        </w:tc>
        <w:tc>
          <w:tcPr>
            <w:tcW w:w="1462" w:type="dxa"/>
            <w:tcBorders>
              <w:top w:val="double" w:sz="4" w:space="0" w:color="A5A5A5" w:themeColor="accent3"/>
            </w:tcBorders>
          </w:tcPr>
          <w:p w:rsidR="000A0EAC" w:rsidRDefault="000A0EAC" w:rsidP="00AF6BB1"/>
        </w:tc>
        <w:tc>
          <w:tcPr>
            <w:tcW w:w="1366" w:type="dxa"/>
            <w:tcBorders>
              <w:top w:val="double" w:sz="4" w:space="0" w:color="A5A5A5" w:themeColor="accent3"/>
            </w:tcBorders>
          </w:tcPr>
          <w:p w:rsidR="000A0EAC" w:rsidRDefault="000A0EAC" w:rsidP="00AF6BB1"/>
        </w:tc>
        <w:tc>
          <w:tcPr>
            <w:tcW w:w="1074" w:type="dxa"/>
            <w:tcBorders>
              <w:top w:val="double" w:sz="4" w:space="0" w:color="A5A5A5" w:themeColor="accent3"/>
            </w:tcBorders>
          </w:tcPr>
          <w:p w:rsidR="000A0EAC" w:rsidRDefault="000A0EAC" w:rsidP="00AF6BB1"/>
        </w:tc>
        <w:tc>
          <w:tcPr>
            <w:tcW w:w="1422" w:type="dxa"/>
            <w:tcBorders>
              <w:top w:val="double" w:sz="4" w:space="0" w:color="A5A5A5" w:themeColor="accent3"/>
              <w:right w:val="double" w:sz="4" w:space="0" w:color="A5A5A5" w:themeColor="accent3"/>
            </w:tcBorders>
          </w:tcPr>
          <w:p w:rsidR="000A0EAC" w:rsidRDefault="000A0EAC" w:rsidP="00AF6BB1"/>
        </w:tc>
      </w:tr>
      <w:tr w:rsidR="00204AAC" w:rsidTr="00AF6BB1">
        <w:tc>
          <w:tcPr>
            <w:tcW w:w="1115" w:type="dxa"/>
            <w:tcBorders>
              <w:left w:val="double" w:sz="4" w:space="0" w:color="A5A5A5" w:themeColor="accent3"/>
              <w:bottom w:val="double" w:sz="4" w:space="0" w:color="A5A5A5" w:themeColor="accent3"/>
            </w:tcBorders>
          </w:tcPr>
          <w:p w:rsidR="000A0EAC" w:rsidRDefault="000A0EAC" w:rsidP="00AF6BB1"/>
        </w:tc>
        <w:tc>
          <w:tcPr>
            <w:tcW w:w="1042" w:type="dxa"/>
            <w:tcBorders>
              <w:bottom w:val="double" w:sz="4" w:space="0" w:color="A5A5A5" w:themeColor="accent3"/>
            </w:tcBorders>
          </w:tcPr>
          <w:p w:rsidR="000A0EAC" w:rsidRDefault="000A0EAC" w:rsidP="00AF6BB1"/>
        </w:tc>
        <w:tc>
          <w:tcPr>
            <w:tcW w:w="1002" w:type="dxa"/>
            <w:tcBorders>
              <w:bottom w:val="double" w:sz="4" w:space="0" w:color="A5A5A5" w:themeColor="accent3"/>
            </w:tcBorders>
          </w:tcPr>
          <w:p w:rsidR="000A0EAC" w:rsidRDefault="000A0EAC" w:rsidP="00AF6BB1"/>
        </w:tc>
        <w:tc>
          <w:tcPr>
            <w:tcW w:w="847" w:type="dxa"/>
            <w:tcBorders>
              <w:bottom w:val="double" w:sz="4" w:space="0" w:color="A5A5A5" w:themeColor="accent3"/>
            </w:tcBorders>
          </w:tcPr>
          <w:p w:rsidR="000A0EAC" w:rsidRDefault="000A0EAC" w:rsidP="00AF6BB1"/>
        </w:tc>
        <w:tc>
          <w:tcPr>
            <w:tcW w:w="1462" w:type="dxa"/>
            <w:tcBorders>
              <w:bottom w:val="double" w:sz="4" w:space="0" w:color="A5A5A5" w:themeColor="accent3"/>
            </w:tcBorders>
          </w:tcPr>
          <w:p w:rsidR="000A0EAC" w:rsidRDefault="000A0EAC" w:rsidP="00AF6BB1"/>
        </w:tc>
        <w:tc>
          <w:tcPr>
            <w:tcW w:w="1366" w:type="dxa"/>
            <w:tcBorders>
              <w:bottom w:val="double" w:sz="4" w:space="0" w:color="A5A5A5" w:themeColor="accent3"/>
            </w:tcBorders>
          </w:tcPr>
          <w:p w:rsidR="000A0EAC" w:rsidRDefault="000A0EAC" w:rsidP="00AF6BB1"/>
        </w:tc>
        <w:tc>
          <w:tcPr>
            <w:tcW w:w="1074" w:type="dxa"/>
            <w:tcBorders>
              <w:bottom w:val="double" w:sz="4" w:space="0" w:color="A5A5A5" w:themeColor="accent3"/>
            </w:tcBorders>
          </w:tcPr>
          <w:p w:rsidR="000A0EAC" w:rsidRDefault="000A0EAC" w:rsidP="00AF6BB1"/>
        </w:tc>
        <w:tc>
          <w:tcPr>
            <w:tcW w:w="1422" w:type="dxa"/>
            <w:tcBorders>
              <w:bottom w:val="double" w:sz="4" w:space="0" w:color="A5A5A5" w:themeColor="accent3"/>
              <w:right w:val="double" w:sz="4" w:space="0" w:color="A5A5A5" w:themeColor="accent3"/>
            </w:tcBorders>
          </w:tcPr>
          <w:p w:rsidR="000A0EAC" w:rsidRDefault="000A0EAC" w:rsidP="00AF6BB1"/>
        </w:tc>
      </w:tr>
    </w:tbl>
    <w:p w:rsidR="000A0EAC" w:rsidRPr="00EA5CA7" w:rsidRDefault="000A0EAC" w:rsidP="000A0EAC">
      <w:pPr>
        <w:rPr>
          <w:b/>
          <w:bCs/>
        </w:rPr>
      </w:pPr>
      <w:r w:rsidRPr="00EA5CA7">
        <w:rPr>
          <w:b/>
          <w:bCs/>
        </w:rPr>
        <w:t>Risk assessment summary</w:t>
      </w:r>
      <w:r w:rsidR="00EA5CA7" w:rsidRPr="00EA5CA7">
        <w:rPr>
          <w:b/>
          <w:bCs/>
        </w:rPr>
        <w:t>:</w:t>
      </w:r>
    </w:p>
    <w:p w:rsidR="00AF6BB1" w:rsidRDefault="00AF6BB1" w:rsidP="000A0EAC">
      <w:pPr>
        <w:rPr>
          <w:bCs/>
        </w:rPr>
      </w:pPr>
      <w:r w:rsidRPr="00AF6BB1">
        <w:rPr>
          <w:bCs/>
          <w:highlight w:val="yellow"/>
        </w:rPr>
        <w:t>&lt;Include high level product release history summary&gt;</w:t>
      </w:r>
    </w:p>
    <w:p w:rsidR="00AF6BB1" w:rsidRPr="000A0EAC" w:rsidRDefault="00AF6BB1" w:rsidP="000A0EAC">
      <w:pPr>
        <w:rPr>
          <w:bCs/>
        </w:rPr>
      </w:pPr>
    </w:p>
    <w:p w:rsidR="000A0EAC" w:rsidRDefault="000A0EAC" w:rsidP="000A0EAC">
      <w:pPr>
        <w:rPr>
          <w:b/>
          <w:bCs/>
        </w:rPr>
      </w:pPr>
    </w:p>
    <w:p w:rsidR="000A0EAC" w:rsidRDefault="000A0EAC" w:rsidP="000A0EAC">
      <w:r w:rsidRPr="00EA5CA7">
        <w:rPr>
          <w:b/>
        </w:rPr>
        <w:t>Approval decision:</w:t>
      </w:r>
      <w:r>
        <w:t xml:space="preserve"> </w:t>
      </w:r>
      <w:r w:rsidRPr="000A0EAC">
        <w:rPr>
          <w:highlight w:val="yellow"/>
        </w:rPr>
        <w:t>&lt;Accept/reject the release&gt;</w:t>
      </w:r>
    </w:p>
    <w:p w:rsidR="00551E26" w:rsidRDefault="000A0EAC" w:rsidP="000A0EAC">
      <w:bookmarkStart w:id="0" w:name="_GoBack"/>
      <w:r w:rsidRPr="00EA5CA7">
        <w:rPr>
          <w:b/>
        </w:rPr>
        <w:t>Approver:</w:t>
      </w:r>
      <w:bookmarkEnd w:id="0"/>
      <w:r>
        <w:t xml:space="preserve"> </w:t>
      </w:r>
      <w:r w:rsidRPr="000A0EAC">
        <w:rPr>
          <w:highlight w:val="yellow"/>
        </w:rPr>
        <w:t>&lt;Executive signing&gt;</w:t>
      </w:r>
    </w:p>
    <w:sectPr w:rsidR="00551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72FE"/>
    <w:multiLevelType w:val="hybridMultilevel"/>
    <w:tmpl w:val="81426756"/>
    <w:lvl w:ilvl="0" w:tplc="0CEC1596">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75E23"/>
    <w:multiLevelType w:val="multilevel"/>
    <w:tmpl w:val="5186E96C"/>
    <w:lvl w:ilvl="0">
      <w:numFmt w:val="bullet"/>
      <w:lvlText w:val="-"/>
      <w:lvlJc w:val="left"/>
      <w:pPr>
        <w:tabs>
          <w:tab w:val="num" w:pos="1440"/>
        </w:tabs>
        <w:ind w:left="1440" w:hanging="360"/>
      </w:pPr>
      <w:rPr>
        <w:rFonts w:ascii="Calibri" w:eastAsia="Times New Roman" w:hAnsi="Calibri" w:cs="Calibri" w:hint="default"/>
      </w:rPr>
    </w:lvl>
    <w:lvl w:ilvl="1">
      <w:start w:val="1"/>
      <w:numFmt w:val="lowerLetter"/>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2" w15:restartNumberingAfterBreak="0">
    <w:nsid w:val="5B260520"/>
    <w:multiLevelType w:val="multilevel"/>
    <w:tmpl w:val="892CC4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C4C40F5"/>
    <w:multiLevelType w:val="multilevel"/>
    <w:tmpl w:val="892CC44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AC"/>
    <w:rsid w:val="000A0EAC"/>
    <w:rsid w:val="00204AAC"/>
    <w:rsid w:val="004156DD"/>
    <w:rsid w:val="00692286"/>
    <w:rsid w:val="008D6AA3"/>
    <w:rsid w:val="00AF6BB1"/>
    <w:rsid w:val="00C05332"/>
    <w:rsid w:val="00EA5CA7"/>
    <w:rsid w:val="00F5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6DC8"/>
  <w15:chartTrackingRefBased/>
  <w15:docId w15:val="{DFBE4302-89EB-4E1C-B42E-68C0D44B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EA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Diahann Gooden</dc:creator>
  <cp:keywords/>
  <dc:description/>
  <cp:lastModifiedBy>Diahann Gooden</cp:lastModifiedBy>
  <cp:revision>5</cp:revision>
  <dcterms:created xsi:type="dcterms:W3CDTF">2018-08-03T19:27:00Z</dcterms:created>
  <dcterms:modified xsi:type="dcterms:W3CDTF">2018-08-03T19:46:00Z</dcterms:modified>
</cp:coreProperties>
</file>