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BDAE69" w14:textId="77777777" w:rsidR="00F54778" w:rsidRDefault="00796EF6">
      <w:pPr>
        <w:spacing w:after="40"/>
        <w:jc w:val="center"/>
      </w:pPr>
      <w:r>
        <w:rPr>
          <w:b/>
          <w:bCs/>
          <w:color w:val="1F3518"/>
          <w:sz w:val="32"/>
          <w:szCs w:val="32"/>
        </w:rPr>
        <w:t>The American Periphenomenal Survey</w:t>
      </w:r>
    </w:p>
    <w:p w14:paraId="59D8F21F" w14:textId="77777777" w:rsidR="00F54778" w:rsidRDefault="00796EF6">
      <w:pPr>
        <w:spacing w:after="40"/>
        <w:jc w:val="center"/>
      </w:pPr>
      <w:r>
        <w:rPr>
          <w:color w:val="1F3518"/>
          <w:sz w:val="28"/>
          <w:szCs w:val="28"/>
        </w:rPr>
        <w:t>📜</w:t>
      </w:r>
      <w:r>
        <w:rPr>
          <w:color w:val="1F3518"/>
          <w:sz w:val="28"/>
          <w:szCs w:val="28"/>
        </w:rPr>
        <w:t xml:space="preserve"> Mission Statement</w:t>
      </w:r>
    </w:p>
    <w:p w14:paraId="72CD7264" w14:textId="77777777" w:rsidR="00F54778" w:rsidRDefault="00796EF6">
      <w:pPr>
        <w:spacing w:after="200"/>
        <w:jc w:val="center"/>
      </w:pPr>
      <w:r>
        <w:t>🌲</w:t>
      </w:r>
      <w:r>
        <w:t xml:space="preserve"> </w:t>
      </w:r>
      <w:r>
        <w:t>👁</w:t>
      </w:r>
      <w:r>
        <w:t>️</w:t>
      </w:r>
      <w:r>
        <w:t xml:space="preserve"> </w:t>
      </w:r>
      <w:r>
        <w:t>📝</w:t>
      </w:r>
    </w:p>
    <w:p w14:paraId="4EAA4C15" w14:textId="39310302" w:rsidR="00F54778" w:rsidRDefault="00796EF6" w:rsidP="003C494E">
      <w:pPr>
        <w:spacing w:after="40"/>
      </w:pPr>
      <w:r>
        <w:rPr>
          <w:color w:val="555555"/>
          <w:sz w:val="20"/>
          <w:szCs w:val="20"/>
        </w:rPr>
        <w:t>Unit: ✒</w:t>
      </w:r>
      <w:r>
        <w:rPr>
          <w:color w:val="555555"/>
          <w:sz w:val="20"/>
          <w:szCs w:val="20"/>
        </w:rPr>
        <w:t>️</w:t>
      </w:r>
      <w:r>
        <w:rPr>
          <w:color w:val="555555"/>
          <w:sz w:val="20"/>
          <w:szCs w:val="20"/>
        </w:rPr>
        <w:t xml:space="preserve"> Administration</w:t>
      </w:r>
      <w:r w:rsidR="00474376">
        <w:rPr>
          <w:color w:val="555555"/>
          <w:sz w:val="20"/>
          <w:szCs w:val="20"/>
        </w:rPr>
        <w:tab/>
      </w:r>
      <w:r>
        <w:rPr>
          <w:color w:val="555555"/>
          <w:sz w:val="20"/>
          <w:szCs w:val="20"/>
        </w:rPr>
        <w:t xml:space="preserve">    |    Region: </w:t>
      </w:r>
      <w:r>
        <w:rPr>
          <w:color w:val="555555"/>
          <w:sz w:val="20"/>
          <w:szCs w:val="20"/>
        </w:rPr>
        <w:t>🌲</w:t>
      </w:r>
      <w:r>
        <w:rPr>
          <w:color w:val="555555"/>
          <w:sz w:val="20"/>
          <w:szCs w:val="20"/>
        </w:rPr>
        <w:t xml:space="preserve"> Cascadia (Reg 10)</w:t>
      </w:r>
    </w:p>
    <w:p w14:paraId="76358EBA" w14:textId="77777777" w:rsidR="00F54778" w:rsidRDefault="00796EF6" w:rsidP="003C494E">
      <w:pPr>
        <w:spacing w:after="240"/>
      </w:pPr>
      <w:r>
        <w:rPr>
          <w:color w:val="555555"/>
          <w:sz w:val="20"/>
          <w:szCs w:val="20"/>
        </w:rPr>
        <w:t>Status: ACTIVE REFERENCE    |    Scope: Project Mission &amp; Methodological Framework</w:t>
      </w:r>
    </w:p>
    <w:p w14:paraId="7FB1723F" w14:textId="77777777" w:rsidR="00F54778" w:rsidRDefault="00F54778">
      <w:pPr>
        <w:pBdr>
          <w:bottom w:val="single" w:sz="12" w:space="1" w:color="1F3518"/>
        </w:pBdr>
        <w:spacing w:after="240"/>
      </w:pPr>
    </w:p>
    <w:p w14:paraId="5578E4AE" w14:textId="77777777" w:rsidR="00F54778" w:rsidRDefault="00796EF6">
      <w:pPr>
        <w:pStyle w:val="Heading1"/>
      </w:pPr>
      <w:r>
        <w:t>1.0 Statement of Intent</w:t>
      </w:r>
    </w:p>
    <w:p w14:paraId="19E9C28D" w14:textId="77777777" w:rsidR="00F54778" w:rsidRDefault="00796EF6">
      <w:pPr>
        <w:spacing w:before="100" w:after="100"/>
      </w:pPr>
      <w:r>
        <w:t xml:space="preserve">The American Periphenomenal Survey is, at its heart, a storytelling project. </w:t>
      </w:r>
      <w:r>
        <w:rPr>
          <w:b/>
          <w:bCs/>
        </w:rPr>
        <w:t>Its primary purpose is to collect — and eventually to tell — the anomalous and high-strangeness stories of the people who live on this continent.</w:t>
      </w:r>
      <w:r>
        <w:t xml:space="preserve"> Every other element of the project's apparatus — the schema, the taxonomy, the field instruments, the analyst workflow, the database, the public registry — exists to serve that purpose.</w:t>
      </w:r>
    </w:p>
    <w:p w14:paraId="37D95ECF" w14:textId="582CD8D4" w:rsidR="00F54778" w:rsidRDefault="00796EF6">
      <w:pPr>
        <w:spacing w:before="100" w:after="100"/>
      </w:pPr>
      <w:r>
        <w:t xml:space="preserve">The data we collect alongside the stories is not the </w:t>
      </w:r>
      <w:r w:rsidR="00DA25EC">
        <w:t>end</w:t>
      </w:r>
      <w:r>
        <w:t>. It is the substrate that lets the stories do more than sit in a file. With structured data attached to each account, we can: analyze patterns across regions and across time; develop theories about how myth, folklore, and personal experience interact; reveal previously hidden realities and previously unspoken truths; offer new respect and visibility to under-represented traditions; and ultimately produce a more layered and richly textured storytelling experience than any single voice could create alone.</w:t>
      </w:r>
    </w:p>
    <w:p w14:paraId="2916FEE5" w14:textId="5EDCDA7F" w:rsidR="00F54778" w:rsidRDefault="00796EF6">
      <w:pPr>
        <w:spacing w:before="100" w:after="100"/>
      </w:pPr>
      <w:r>
        <w:t xml:space="preserve">We use the methodological framework of the American Periphenomenal Survey because the framework is the only way we know to do this honestly at scale: to collect many stories without imposing a single interpretation on them; to preserve the witness's own framing as primary data; and to make the collected material analytically tractable for whoever </w:t>
      </w:r>
      <w:r w:rsidR="00DA25EC">
        <w:t>reads</w:t>
      </w:r>
      <w:r>
        <w:t xml:space="preserve"> it next — folklorist, researcher, journalist, storyteller, or community member.</w:t>
      </w:r>
    </w:p>
    <w:p w14:paraId="723D6CE8" w14:textId="77777777" w:rsidR="00F54778" w:rsidRDefault="00796EF6">
      <w:pPr>
        <w:pStyle w:val="Heading2"/>
      </w:pPr>
      <w:r>
        <w:t>1.1 What we do, in concrete terms</w:t>
      </w:r>
    </w:p>
    <w:p w14:paraId="3987F8B1" w14:textId="77777777" w:rsidR="00F54778" w:rsidRDefault="00796EF6">
      <w:pPr>
        <w:spacing w:before="100" w:after="100"/>
      </w:pPr>
      <w:r>
        <w:t>This research aims to systematically document and categorize memorates (first-person narratives of supernatural or extraordinary encounters) and vernacular beliefs across the Pacific Northwest, with eventual scope extending across the North American continent. We employ an Experience-Centered Approach: we distinguish between the primary physiological, sensory, or environmental event (the "core experience") and the secondary cultural scripts witnesses use to describe it, while preserving both as data.</w:t>
      </w:r>
    </w:p>
    <w:p w14:paraId="305C743F" w14:textId="77777777" w:rsidR="00F54778" w:rsidRDefault="00796EF6">
      <w:pPr>
        <w:pStyle w:val="Heading2"/>
      </w:pPr>
      <w:r>
        <w:t>1.2 What makes this different</w:t>
      </w:r>
    </w:p>
    <w:p w14:paraId="65E45579" w14:textId="77777777" w:rsidR="00F54778" w:rsidRDefault="00796EF6">
      <w:pPr>
        <w:spacing w:before="100" w:after="100"/>
      </w:pPr>
      <w:r>
        <w:t xml:space="preserve">Unlike traditional parapsychology, which seeks to prove or disprove the objective reality of anomalous events, the APS focuses on the </w:t>
      </w:r>
      <w:r>
        <w:rPr>
          <w:i/>
          <w:iCs/>
        </w:rPr>
        <w:t>phenomenology of the experience</w:t>
      </w:r>
      <w:r>
        <w:t xml:space="preserve"> and the </w:t>
      </w:r>
      <w:r>
        <w:rPr>
          <w:i/>
          <w:iCs/>
        </w:rPr>
        <w:t>mechanisms of narrative transmission</w:t>
      </w:r>
      <w:r>
        <w:t>.</w:t>
      </w:r>
    </w:p>
    <w:p w14:paraId="03AFF2D4" w14:textId="77777777" w:rsidR="00F54778" w:rsidRDefault="00796EF6">
      <w:pPr>
        <w:spacing w:before="100" w:after="100"/>
      </w:pPr>
      <w:r>
        <w:t xml:space="preserve">We do not ask: </w:t>
      </w:r>
      <w:r>
        <w:rPr>
          <w:i/>
          <w:iCs/>
        </w:rPr>
        <w:t>"Is the ghost real?"</w:t>
      </w:r>
    </w:p>
    <w:p w14:paraId="100369C3" w14:textId="77777777" w:rsidR="00F54778" w:rsidRDefault="00796EF6">
      <w:pPr>
        <w:spacing w:before="100" w:after="100"/>
      </w:pPr>
      <w:r>
        <w:t xml:space="preserve">We ask: </w:t>
      </w:r>
      <w:r>
        <w:rPr>
          <w:i/>
          <w:iCs/>
        </w:rPr>
        <w:t>"Why did the witness use the word 'ghost' instead of 'hologram'? Why did this story take this shape, here, now? What does the way it is told reveal about the conditions of telling?"</w:t>
      </w:r>
    </w:p>
    <w:p w14:paraId="6DFD20E6" w14:textId="77777777" w:rsidR="00F54778" w:rsidRDefault="00796EF6">
      <w:pPr>
        <w:spacing w:before="100" w:after="100"/>
      </w:pPr>
      <w:r>
        <w:t>The ultimate objective is to map how modern digital culture, traditional folklore, and individual perception intersect to produce new categories of belief alongside traditional ones — and to make the resulting material available, in story form, to anyone who would benefit from encountering it.</w:t>
      </w:r>
    </w:p>
    <w:p w14:paraId="1AF0B4A5" w14:textId="77777777" w:rsidR="008773D3" w:rsidRDefault="008773D3">
      <w:pPr>
        <w:pStyle w:val="Heading1"/>
      </w:pPr>
    </w:p>
    <w:p w14:paraId="22E40733" w14:textId="18F8C6D6" w:rsidR="00F54778" w:rsidRDefault="00796EF6">
      <w:pPr>
        <w:pStyle w:val="Heading1"/>
      </w:pPr>
      <w:r>
        <w:lastRenderedPageBreak/>
        <w:t>2.0 The Term “</w:t>
      </w:r>
      <w:proofErr w:type="spellStart"/>
      <w:r>
        <w:t>Periphenomena</w:t>
      </w:r>
      <w:proofErr w:type="spellEnd"/>
      <w:r>
        <w:t>”</w:t>
      </w:r>
    </w:p>
    <w:p w14:paraId="20F4FBBB" w14:textId="77777777" w:rsidR="00F54778" w:rsidRDefault="00796EF6">
      <w:pPr>
        <w:spacing w:before="100" w:after="100"/>
      </w:pPr>
      <w:r>
        <w:t xml:space="preserve">The word </w:t>
      </w:r>
      <w:proofErr w:type="spellStart"/>
      <w:r>
        <w:rPr>
          <w:i/>
          <w:iCs/>
        </w:rPr>
        <w:t>periphenomena</w:t>
      </w:r>
      <w:proofErr w:type="spellEnd"/>
      <w:r>
        <w:t>, from which the American Periphenomenal Survey takes its name, is not in ordinary use and warrants explicit definition.</w:t>
      </w:r>
    </w:p>
    <w:p w14:paraId="716A045B" w14:textId="77777777" w:rsidR="00F54778" w:rsidRDefault="00796EF6">
      <w:pPr>
        <w:spacing w:before="100" w:after="100"/>
      </w:pPr>
      <w:r>
        <w:rPr>
          <w:b/>
          <w:bCs/>
        </w:rPr>
        <w:t>Periphenomena</w:t>
      </w:r>
      <w:r>
        <w:t xml:space="preserve"> are experiences at the edge of the phenomenal — real, structured, and reportable, occurring adjacent to and continuous with ordinary experience without being fully accommodated by conventional scientific, psychological, or cultural explanatory frameworks.</w:t>
      </w:r>
    </w:p>
    <w:p w14:paraId="0B360595" w14:textId="77777777" w:rsidR="00F54778" w:rsidRDefault="00796EF6">
      <w:pPr>
        <w:spacing w:before="100" w:after="100"/>
      </w:pPr>
      <w:r>
        <w:t xml:space="preserve">The prefix </w:t>
      </w:r>
      <w:r>
        <w:rPr>
          <w:i/>
          <w:iCs/>
        </w:rPr>
        <w:t>peri-</w:t>
      </w:r>
      <w:r>
        <w:t xml:space="preserve"> is doing important work. Derived from the Greek “περί” (“around, near, at the edge, surrounding”), it positions these experiences spatially and relationally: they are </w:t>
      </w:r>
      <w:r>
        <w:rPr>
          <w:i/>
          <w:iCs/>
        </w:rPr>
        <w:t>at the periphery</w:t>
      </w:r>
      <w:r>
        <w:t xml:space="preserve"> of standard phenomenology, on its boundary, adjacent to ordinary experience without transcending it. This distinguishes </w:t>
      </w:r>
      <w:proofErr w:type="spellStart"/>
      <w:r>
        <w:t>periphenomena</w:t>
      </w:r>
      <w:proofErr w:type="spellEnd"/>
      <w:r>
        <w:t xml:space="preserve"> from several adjacent terms available in ordinary and technical language, each of which carries commitments the APS does not make.</w:t>
      </w:r>
    </w:p>
    <w:p w14:paraId="3280D59C" w14:textId="77777777" w:rsidR="00F54778" w:rsidRDefault="00796EF6">
      <w:pPr>
        <w:spacing w:before="100" w:after="100"/>
      </w:pPr>
      <w:r>
        <w:rPr>
          <w:b/>
          <w:bCs/>
        </w:rPr>
        <w:t>Paranormal</w:t>
      </w:r>
      <w:r>
        <w:t xml:space="preserve"> (“para-”: beyond, alongside) implies experiences that lie </w:t>
      </w:r>
      <w:r>
        <w:rPr>
          <w:i/>
          <w:iCs/>
        </w:rPr>
        <w:t>outside</w:t>
      </w:r>
      <w:r>
        <w:t xml:space="preserve"> the normal, and carries an accumulated cultural weight of occult and supernatural association. To call an experience paranormal is to make an ontological claim about its origin — that it belongs to a class of phenomena operating by rules other than those governing ordinary reality. The APS makes no such claim.</w:t>
      </w:r>
    </w:p>
    <w:p w14:paraId="138F8928" w14:textId="77777777" w:rsidR="00F54778" w:rsidRDefault="00796EF6">
      <w:pPr>
        <w:spacing w:before="100" w:after="100"/>
      </w:pPr>
      <w:r>
        <w:rPr>
          <w:b/>
          <w:bCs/>
        </w:rPr>
        <w:t>Supernatural</w:t>
      </w:r>
      <w:r>
        <w:t xml:space="preserve"> goes further, positing experiences that transcend nature entirely. This directly conflicts with the project’s foundational principle of Methodological Agnosticism.</w:t>
      </w:r>
    </w:p>
    <w:p w14:paraId="048D81F3" w14:textId="77777777" w:rsidR="00F54778" w:rsidRDefault="00796EF6">
      <w:pPr>
        <w:spacing w:before="100" w:after="100"/>
      </w:pPr>
      <w:r>
        <w:rPr>
          <w:b/>
          <w:bCs/>
        </w:rPr>
        <w:t>Epiphenomenal</w:t>
      </w:r>
      <w:r>
        <w:t xml:space="preserve"> (“epi-”: upon, over) has a specific meaning in the project’s theoretical vocabulary: an effect that is real, structured, and causally downstream of a process, but that does not itself alter the causal chain that produced it. The Theoretical Framework treats synchronicity as an epiphenomenon of emergent meaning-making. </w:t>
      </w:r>
      <w:r>
        <w:rPr>
          <w:i/>
          <w:iCs/>
        </w:rPr>
        <w:t>Epiphenomenal</w:t>
      </w:r>
      <w:r>
        <w:t xml:space="preserve"> and </w:t>
      </w:r>
      <w:r>
        <w:rPr>
          <w:i/>
          <w:iCs/>
        </w:rPr>
        <w:t>periphenomenal</w:t>
      </w:r>
      <w:r>
        <w:t xml:space="preserve"> are not synonyms. One describes causal position; the other describes phenomenological position.</w:t>
      </w:r>
    </w:p>
    <w:p w14:paraId="43BF0684" w14:textId="77777777" w:rsidR="00F54778" w:rsidRDefault="00796EF6">
      <w:pPr>
        <w:spacing w:before="100" w:after="100"/>
      </w:pPr>
      <w:r>
        <w:rPr>
          <w:b/>
          <w:bCs/>
        </w:rPr>
        <w:t>Anomalous</w:t>
      </w:r>
      <w:r>
        <w:t xml:space="preserve"> (deviating from the even or regular) is accurate but flat. It captures deviation from expectation without capturing the essential quality of </w:t>
      </w:r>
      <w:r>
        <w:rPr>
          <w:i/>
          <w:iCs/>
        </w:rPr>
        <w:t>continuity</w:t>
      </w:r>
      <w:r>
        <w:t xml:space="preserve"> — the fact that periphenomenal experiences are not breaks from ordinary experience but occur at its edges, shading gradually into what is universally recognized as ordinary. A moment of missing time is not a rupture in the fabric of the everyday; it is a peculiarity at the edge of the everyday.</w:t>
      </w:r>
    </w:p>
    <w:p w14:paraId="1269DB7C" w14:textId="77777777" w:rsidR="00F54778" w:rsidRDefault="00796EF6">
      <w:pPr>
        <w:spacing w:before="100" w:after="100"/>
      </w:pPr>
      <w:r>
        <w:rPr>
          <w:i/>
          <w:iCs/>
        </w:rPr>
        <w:t>Periphenomenal</w:t>
      </w:r>
      <w:r>
        <w:t xml:space="preserve">, by contrast, makes a specific and modest claim. It says: these experiences occur at the periphery of the phenomenal, in the boundary zone where ordinary experience begins to admit patterns, timings, presences, and sensory events that resist easy accommodation. They are not transcendent. They are not causally inert. They are not merely irregular. They are </w:t>
      </w:r>
      <w:r>
        <w:rPr>
          <w:i/>
          <w:iCs/>
        </w:rPr>
        <w:t>adjacent</w:t>
      </w:r>
      <w:r>
        <w:t>.</w:t>
      </w:r>
    </w:p>
    <w:p w14:paraId="0215DC3F" w14:textId="77777777" w:rsidR="00F54778" w:rsidRDefault="00796EF6">
      <w:pPr>
        <w:spacing w:before="100" w:after="100"/>
      </w:pPr>
      <w:r>
        <w:t>This choice of vocabulary aligns with the project’s methodological posture. Where paranormal frameworks propose that a distinct order of reality exists to be discovered, and reductive frameworks propose that all such experiences dissolve on closer examination into ordinary cognitive, cultural, or physiological processes, the APS holds a third position: that experiences at the edge of the phenomenal are real, are patterned, and are proper objects of documentation and study — without prejudging whether they w</w:t>
      </w:r>
      <w:r>
        <w:t>ill ultimately be accommodated by expansions of existing frameworks, by frameworks not yet developed, by something else, or by some combination.</w:t>
      </w:r>
    </w:p>
    <w:p w14:paraId="1BAF1935" w14:textId="77777777" w:rsidR="00F54778" w:rsidRDefault="00796EF6">
      <w:pPr>
        <w:spacing w:before="100" w:after="100"/>
      </w:pPr>
      <w:r>
        <w:rPr>
          <w:i/>
          <w:iCs/>
        </w:rPr>
        <w:t>Periphenomena</w:t>
      </w:r>
      <w:r>
        <w:t xml:space="preserve"> names the class of experiences under study. </w:t>
      </w:r>
      <w:r>
        <w:rPr>
          <w:i/>
          <w:iCs/>
        </w:rPr>
        <w:t>Periphenomenal survey</w:t>
      </w:r>
      <w:r>
        <w:t xml:space="preserve"> names the project’s sustained, systematic, methodologically agnostic response to them.</w:t>
      </w:r>
    </w:p>
    <w:p w14:paraId="674BCBCA" w14:textId="77777777" w:rsidR="00236ACC" w:rsidRDefault="00236ACC">
      <w:pPr>
        <w:pStyle w:val="Heading1"/>
      </w:pPr>
    </w:p>
    <w:p w14:paraId="7559A6B7" w14:textId="77777777" w:rsidR="00A022D6" w:rsidRDefault="00A022D6">
      <w:pPr>
        <w:pStyle w:val="Heading1"/>
      </w:pPr>
    </w:p>
    <w:p w14:paraId="2766C233" w14:textId="1CAB5E9E" w:rsidR="00F54778" w:rsidRDefault="00796EF6">
      <w:pPr>
        <w:pStyle w:val="Heading1"/>
      </w:pPr>
      <w:r>
        <w:lastRenderedPageBreak/>
        <w:t>3.0 Methodological Lineage</w:t>
      </w:r>
    </w:p>
    <w:p w14:paraId="2C34F4FF" w14:textId="77777777" w:rsidR="00F54778" w:rsidRDefault="00796EF6">
      <w:pPr>
        <w:spacing w:before="100" w:after="100"/>
      </w:pPr>
      <w:r>
        <w:t>The APS views itself as the modern inheritor of two distinct historical lineages of inquiry, applied with contemporary tools to contemporary phenomena.</w:t>
      </w:r>
    </w:p>
    <w:p w14:paraId="06A7A5A5" w14:textId="77777777" w:rsidR="00F54778" w:rsidRDefault="00796EF6">
      <w:pPr>
        <w:pStyle w:val="Heading2"/>
      </w:pPr>
      <w:r>
        <w:t>3.1 The Grimm Protocol — Linguistic Fidelity</w:t>
      </w:r>
    </w:p>
    <w:p w14:paraId="688A5799" w14:textId="77777777" w:rsidR="00F54778" w:rsidRDefault="00796EF6">
      <w:pPr>
        <w:spacing w:before="100" w:after="100"/>
      </w:pPr>
      <w:r>
        <w:t xml:space="preserve">Following the precedent set by Jacob and Wilhelm Grimm in their collection of Kinder- und </w:t>
      </w:r>
      <w:proofErr w:type="spellStart"/>
      <w:r>
        <w:t>Hausmärchen</w:t>
      </w:r>
      <w:proofErr w:type="spellEnd"/>
      <w:r>
        <w:t xml:space="preserve"> (1812), we prioritize the exact preservation of the vernacular. The Brothers Grimm did not seek to write stories; they sought to capture the dying oral traditions of the German countryside before industrialization erased them. Similarly, the APS seeks to capture the high-strangeness accounts of the present moment before they are sanitized, algorithmically homogenized, or simply forgotten. We document the story exactly as spoken — stammering, confusion, and all. The form of the telling is data.</w:t>
      </w:r>
    </w:p>
    <w:p w14:paraId="1E4F6C50" w14:textId="77777777" w:rsidR="00F54778" w:rsidRDefault="00796EF6">
      <w:pPr>
        <w:pStyle w:val="Heading2"/>
      </w:pPr>
      <w:r>
        <w:t>3.2 The S.P.R. Census — Statistical Aggregation</w:t>
      </w:r>
    </w:p>
    <w:p w14:paraId="67FB09D5" w14:textId="77777777" w:rsidR="00F54778" w:rsidRDefault="00796EF6">
      <w:pPr>
        <w:spacing w:before="100" w:after="100"/>
      </w:pPr>
      <w:r>
        <w:t>We adopt the analytical rigor of the Society for Psychical Research's Census of Hallucinations (1889). Unlike ghost hunters who focus on singular locations, the SPR utilized mass surveys (17,000+ respondents) to find statistical patterns in anomalous experience. The APS replicates this macro-scale approach using digital tools, crowd-sourcing data across entire bioregions to identify clusters, cycles, and recurring archetypes.</w:t>
      </w:r>
    </w:p>
    <w:p w14:paraId="24B5293D" w14:textId="77777777" w:rsidR="00F54778" w:rsidRDefault="00796EF6">
      <w:pPr>
        <w:pStyle w:val="Heading2"/>
      </w:pPr>
      <w:r>
        <w:t>3.3 Contemporary Scholarship</w:t>
      </w:r>
    </w:p>
    <w:p w14:paraId="54FBE279" w14:textId="77777777" w:rsidR="00F54778" w:rsidRDefault="00796EF6">
      <w:pPr>
        <w:spacing w:before="100" w:after="100"/>
      </w:pPr>
      <w:r>
        <w:t>While rooted in historical methodology, the APS aligns its inquiry with contemporary folklore scholarship. We reject the cultural-vacuum model; instead, we recognize that modern anomalies are co-created by physiology, tradition, and digital networks.</w:t>
      </w:r>
    </w:p>
    <w:p w14:paraId="5E2C2993" w14:textId="77777777" w:rsidR="00F54778" w:rsidRDefault="00796EF6">
      <w:pPr>
        <w:spacing w:before="100" w:after="100"/>
      </w:pPr>
      <w:r>
        <w:rPr>
          <w:b/>
          <w:bCs/>
        </w:rPr>
        <w:t xml:space="preserve">The Experience-Centered Approach (David Hufford). </w:t>
      </w:r>
      <w:r>
        <w:t>We adopt the framework Hufford established in The Terror That Comes in the Night, demonstrating that Old Hag attacks — sleep paralysis — are consistent, physiological events occurring independently of cultural context. The APS applies this logic across categories: the core experience is biological, environmental, or sensorial; the interpretation (alien, demon, ancestor, glitch) is cultural. Both deserve documentation.</w:t>
      </w:r>
    </w:p>
    <w:p w14:paraId="5F43E2A3" w14:textId="77777777" w:rsidR="00F54778" w:rsidRDefault="00796EF6">
      <w:pPr>
        <w:spacing w:before="100" w:after="100"/>
      </w:pPr>
      <w:r>
        <w:rPr>
          <w:b/>
          <w:bCs/>
        </w:rPr>
        <w:t xml:space="preserve">Ostension and Legend-Tripping (Bill Ellis). </w:t>
      </w:r>
      <w:r>
        <w:t xml:space="preserve">Following Ellis (Aliens, Ghosts, and Cults), we document instances of ostension — the process by which real people act out a legend, thereby making it real. When residents visit a haunted bridge or use a </w:t>
      </w:r>
      <w:proofErr w:type="spellStart"/>
      <w:r>
        <w:t>Randonautica</w:t>
      </w:r>
      <w:proofErr w:type="spellEnd"/>
      <w:r>
        <w:t xml:space="preserve"> app, they are not merely observing folklore; they are performing it. The APS treats this performative dimension as primary data.</w:t>
      </w:r>
    </w:p>
    <w:p w14:paraId="4A5A792E" w14:textId="77777777" w:rsidR="00F54778" w:rsidRDefault="00796EF6">
      <w:pPr>
        <w:spacing w:before="100" w:after="100"/>
      </w:pPr>
      <w:r>
        <w:rPr>
          <w:b/>
          <w:bCs/>
        </w:rPr>
        <w:t xml:space="preserve">Digital Folklore and the Networked Folk (Trevor J. Blank). </w:t>
      </w:r>
      <w:r>
        <w:t>Following Blank, the APS recognizes the Internet as a high-speed folk group. Digital transmission — a Reddit thread about glitches, a TikTok thread about a place — creates belief systems as potent as oral tradition. We treat digital narratives not as fiction but as a primary vehicle for modern myth-making.</w:t>
      </w:r>
    </w:p>
    <w:p w14:paraId="0BE7BE1E" w14:textId="77777777" w:rsidR="00F54778" w:rsidRDefault="00796EF6">
      <w:pPr>
        <w:pStyle w:val="Heading1"/>
      </w:pPr>
      <w:r>
        <w:t>4.0 Theoretical Framework</w:t>
      </w:r>
    </w:p>
    <w:p w14:paraId="547547A9" w14:textId="77777777" w:rsidR="00F54778" w:rsidRDefault="00796EF6">
      <w:pPr>
        <w:spacing w:before="100" w:after="100"/>
      </w:pPr>
      <w:r>
        <w:t>Four propositions, taken together, constitute the working theoretical apparatus of the project. They are not the project's claims about reality. They are the project's framework for understanding what anomalous experiences are structurally, what witnesses are doing when they report them, and why this work is necessary now.</w:t>
      </w:r>
    </w:p>
    <w:p w14:paraId="324AF22A" w14:textId="77777777" w:rsidR="00F54778" w:rsidRDefault="00796EF6">
      <w:pPr>
        <w:pStyle w:val="Heading2"/>
      </w:pPr>
      <w:r>
        <w:t>4.1 The Mind as Myth-Making Engine</w:t>
      </w:r>
    </w:p>
    <w:p w14:paraId="003911F3" w14:textId="77777777" w:rsidR="00F54778" w:rsidRDefault="00796EF6">
      <w:pPr>
        <w:spacing w:before="100" w:after="100"/>
      </w:pPr>
      <w:r>
        <w:t xml:space="preserve">Drawing on the work of Professor L. Arthur Warmoth (humanistic psychologist, student of Abraham Maslow, co-founder of the Humanistic Psychology Institute), the APS treats human consciousness as fundamentally narrative in structure. Warmoth argued that individuals construct </w:t>
      </w:r>
      <w:r>
        <w:rPr>
          <w:i/>
          <w:iCs/>
        </w:rPr>
        <w:t>personal myths</w:t>
      </w:r>
      <w:r>
        <w:t xml:space="preserve"> — internal stories that </w:t>
      </w:r>
      <w:r>
        <w:lastRenderedPageBreak/>
        <w:t xml:space="preserve">organize identity, purpose, and the interpretation of experience. These myths answer the questions </w:t>
      </w:r>
      <w:r>
        <w:rPr>
          <w:i/>
          <w:iCs/>
        </w:rPr>
        <w:t>Who am I? Where am I going? Why does my life matter?</w:t>
      </w:r>
    </w:p>
    <w:p w14:paraId="28723ED7" w14:textId="77777777" w:rsidR="00F54778" w:rsidRDefault="00796EF6">
      <w:pPr>
        <w:spacing w:before="100" w:after="100"/>
      </w:pPr>
      <w:r>
        <w:t xml:space="preserve">When a witness reports an anomalous experience, they are not simply reporting an event. They are reporting an event as processed through their mythic architecture. The experience and the narrative of the experience are inseparable data points, and both are legitimate objects of study. At the community scale, this is precisely what </w:t>
      </w:r>
      <w:r>
        <w:t>folklore is: the mythic infrastructure of collective meaning, identity, and relationship to the unknown. The APS is positioned to observe the live generation of vernacular anomalous narrative, watching folklore form in real time rather than working backward from established tradition.</w:t>
      </w:r>
    </w:p>
    <w:p w14:paraId="41E19459" w14:textId="77777777" w:rsidR="00F54778" w:rsidRDefault="00796EF6">
      <w:pPr>
        <w:pStyle w:val="Heading2"/>
      </w:pPr>
      <w:r>
        <w:t>4.2 Emergence, Epiphenomena, and Synchronicity</w:t>
      </w:r>
    </w:p>
    <w:p w14:paraId="0605052F" w14:textId="77777777" w:rsidR="00F54778" w:rsidRDefault="00796EF6">
      <w:pPr>
        <w:spacing w:before="100" w:after="100"/>
      </w:pPr>
      <w:r>
        <w:t>The APS operates with a precise theoretical vocabulary for understanding what anomalous experiences are, structurally:</w:t>
      </w:r>
    </w:p>
    <w:p w14:paraId="09A4904E" w14:textId="77777777" w:rsidR="00F54778" w:rsidRDefault="00796EF6">
      <w:pPr>
        <w:pStyle w:val="ListParagraph"/>
        <w:numPr>
          <w:ilvl w:val="0"/>
          <w:numId w:val="2"/>
        </w:numPr>
        <w:spacing w:before="30" w:after="30"/>
      </w:pPr>
      <w:r>
        <w:rPr>
          <w:b/>
          <w:bCs/>
        </w:rPr>
        <w:t xml:space="preserve">Emergent phenomena </w:t>
      </w:r>
      <w:r>
        <w:t>are system-level properties arising from lower-level interactions that cannot be predicted or explained by examining components in isolation. Meaning itself is emergent — it does not reside in any single event or symbol but arises from their interaction.</w:t>
      </w:r>
    </w:p>
    <w:p w14:paraId="0940A49B" w14:textId="77777777" w:rsidR="00F54778" w:rsidRDefault="00796EF6">
      <w:pPr>
        <w:pStyle w:val="ListParagraph"/>
        <w:numPr>
          <w:ilvl w:val="0"/>
          <w:numId w:val="2"/>
        </w:numPr>
        <w:spacing w:before="30" w:after="30"/>
      </w:pPr>
      <w:r>
        <w:rPr>
          <w:b/>
          <w:bCs/>
        </w:rPr>
        <w:t xml:space="preserve">Epiphenomena </w:t>
      </w:r>
      <w:r>
        <w:t>are real, structured secondary effects causally downstream of a process. They exist, they may be informative, but they do not alter the causal chain that produced them.</w:t>
      </w:r>
    </w:p>
    <w:p w14:paraId="0FF77E7E" w14:textId="77777777" w:rsidR="00F54778" w:rsidRDefault="00796EF6">
      <w:pPr>
        <w:pStyle w:val="ListParagraph"/>
        <w:numPr>
          <w:ilvl w:val="0"/>
          <w:numId w:val="2"/>
        </w:numPr>
        <w:spacing w:before="30" w:after="30"/>
      </w:pPr>
      <w:r>
        <w:rPr>
          <w:b/>
          <w:bCs/>
        </w:rPr>
        <w:t xml:space="preserve">Synchronicity </w:t>
      </w:r>
      <w:r>
        <w:t>— meaningful coincidence without obvious causal connection, in the Jungian sense — is understood within this framework as an epiphenomenon of emergent meaning-making in complex systems. When internal state and external event align within the same semantic frame, emergent pattern-recognition systems register an unusually tight resonance, and the felt significance of that resonance is the phenomenon being reported.</w:t>
      </w:r>
    </w:p>
    <w:p w14:paraId="24BC5362" w14:textId="77777777" w:rsidR="00F54778" w:rsidRDefault="00796EF6">
      <w:pPr>
        <w:spacing w:before="100" w:after="100"/>
      </w:pPr>
      <w:r>
        <w:t xml:space="preserve">The world does not rearrange itself. The meaning-detection system fires a signal. </w:t>
      </w:r>
      <w:r>
        <w:rPr>
          <w:b/>
          <w:bCs/>
        </w:rPr>
        <w:t>That signal is real, structured, and potentially informative without requiring causal violation.</w:t>
      </w:r>
      <w:r>
        <w:t xml:space="preserve"> This allows the APS to take synchronicity-type reports seriously as data without endorsing supernatural causation or dismissing the experience as noise.</w:t>
      </w:r>
    </w:p>
    <w:p w14:paraId="67D7A580" w14:textId="77777777" w:rsidR="00F54778" w:rsidRDefault="00796EF6">
      <w:pPr>
        <w:pStyle w:val="Heading2"/>
      </w:pPr>
      <w:r>
        <w:t>4.3 The Hybrid Meaning Ecology</w:t>
      </w:r>
    </w:p>
    <w:p w14:paraId="56F5039A" w14:textId="77777777" w:rsidR="00F54778" w:rsidRDefault="00796EF6">
      <w:pPr>
        <w:spacing w:before="100" w:after="100"/>
      </w:pPr>
      <w:r>
        <w:t>Ancient and shamanic cultures did not inhabit information-poor environments. They inhabited worlds rich in analog, ecological information — continuous, embodied, multi-sensory, slow-changing, non-indexed. The shaman was a high-resolution decoder of analog signals: animal behavior, weather shifts, plant cycles, dream imagery tied to seasonal rhythms. What traditions called "spirits" may be better understood as personified compression algorithms — stable, cross-generational models of persistent ecological pat</w:t>
      </w:r>
      <w:r>
        <w:t>terns. The critical feature of this older system was friction: the body tires, the sun sets, winter comes, signals decay. Analog meaning-making had built-in damping. Synchronicity was rare, deep, communally interpreted, and ritually contained.</w:t>
      </w:r>
    </w:p>
    <w:p w14:paraId="10981E90" w14:textId="77777777" w:rsidR="00F54778" w:rsidRDefault="00796EF6">
      <w:pPr>
        <w:spacing w:before="100" w:after="100"/>
      </w:pPr>
      <w:r>
        <w:t>Modern digital-symbolic systems operate differently. They discretize, label, index, amplify, and recombine at speeds and volumes that overwhelm natural error-correction. Critically, they couple attention to environment — inner states shape search and click behavior, which shapes algorithmic output, which alters inner states. This is psyche-world resonance, mechanized and operating without ritual containment.</w:t>
      </w:r>
    </w:p>
    <w:p w14:paraId="36D93834" w14:textId="77777777" w:rsidR="00F54778" w:rsidRDefault="00796EF6">
      <w:pPr>
        <w:spacing w:before="100" w:after="100"/>
      </w:pPr>
      <w:r>
        <w:t xml:space="preserve">The result is a </w:t>
      </w:r>
      <w:r>
        <w:rPr>
          <w:b/>
          <w:bCs/>
        </w:rPr>
        <w:t>hybrid meaning ecology</w:t>
      </w:r>
      <w:r>
        <w:t>: a world in which analog biological pattern-recognition and digital symbolic amplification operate simultaneously on the same nervous system, producing emergent synchronicity-type experiences at unprecedented frequency — without the shared myth, interpretive community, or exit protocols that historically made such states navigable.</w:t>
      </w:r>
    </w:p>
    <w:p w14:paraId="464DFE14" w14:textId="77777777" w:rsidR="00F54778" w:rsidRDefault="00796EF6">
      <w:pPr>
        <w:spacing w:before="100" w:after="100"/>
      </w:pPr>
      <w:r>
        <w:rPr>
          <w:b/>
          <w:bCs/>
          <w:i/>
          <w:iCs/>
        </w:rPr>
        <w:t xml:space="preserve">The semantic surface area of reality is exploding. </w:t>
      </w:r>
      <w:r>
        <w:t>Anomalous experience is not increasing because reality is changing. It is increasing because the surface against which witnesses can register strangeness has expanded. The APS exists to archive what this ecology is producing.</w:t>
      </w:r>
    </w:p>
    <w:p w14:paraId="39192147" w14:textId="77777777" w:rsidR="00F54778" w:rsidRDefault="00796EF6">
      <w:pPr>
        <w:spacing w:before="100" w:after="100"/>
      </w:pPr>
      <w:r>
        <w:lastRenderedPageBreak/>
        <w:t xml:space="preserve">We do not view digital folklore (Glitch-in-the-Matrix, the Backrooms, algorithmic synchronicity) as separate from analog folklore (Sasquatch, the Hum, the figure at the edge of the woods). We view them as the same signal processed through different substrates. The APS aims to provide the ritual containment lacking in modern systems, allowing witnesses to offload the narrative weight of their experience into a neutral repository — a place where the story is preserved, respected, and made available to others </w:t>
      </w:r>
      <w:r>
        <w:t>who may need to hear it.</w:t>
      </w:r>
    </w:p>
    <w:p w14:paraId="141E7CBC" w14:textId="77777777" w:rsidR="00F54778" w:rsidRDefault="00796EF6">
      <w:pPr>
        <w:pStyle w:val="Heading2"/>
      </w:pPr>
      <w:r>
        <w:t>4.4 Narrative Structure as Data</w:t>
      </w:r>
    </w:p>
    <w:p w14:paraId="70A3E6E6" w14:textId="77777777" w:rsidR="00F54778" w:rsidRDefault="00796EF6">
      <w:pPr>
        <w:spacing w:before="100" w:after="100"/>
      </w:pPr>
      <w:r>
        <w:t xml:space="preserve">Building on both Warmoth and the folklore tradition, the APS treats the </w:t>
      </w:r>
      <w:r>
        <w:rPr>
          <w:i/>
          <w:iCs/>
        </w:rPr>
        <w:t>form</w:t>
      </w:r>
      <w:r>
        <w:t xml:space="preserve"> of a report as analytically significant alongside its content. How a witness frames an experience — as warning, gift, test, intrusion, calling, encounter, or visitation — and what genre conventions they reach for are data points that aggregate into patterns across the archive. The narrative_frame field in the schema is the operational expression of this commitment. This positions the APS to contribute to the live study of vernacular narrative formation in ways that retrospective folklore scholarship cannot</w:t>
      </w:r>
      <w:r>
        <w:t>.</w:t>
      </w:r>
    </w:p>
    <w:p w14:paraId="5ADE0502" w14:textId="77777777" w:rsidR="00F54778" w:rsidRDefault="00796EF6">
      <w:pPr>
        <w:pStyle w:val="Heading1"/>
      </w:pPr>
      <w:r>
        <w:t>5.0 Foundational Principles</w:t>
      </w:r>
    </w:p>
    <w:p w14:paraId="1272F685" w14:textId="77777777" w:rsidR="00F54778" w:rsidRDefault="00796EF6">
      <w:pPr>
        <w:spacing w:before="100" w:after="100"/>
      </w:pPr>
      <w:r>
        <w:t>Two principles govern analyst conduct, researcher conduct, and the architecture of the archive. Both are foundational. Neither overrides the other. Both apply to every case.</w:t>
      </w:r>
    </w:p>
    <w:p w14:paraId="5F680928" w14:textId="77777777" w:rsidR="00F54778" w:rsidRDefault="00796EF6">
      <w:pPr>
        <w:pStyle w:val="Heading2"/>
      </w:pPr>
      <w:r>
        <w:t>5.1 Methodological Agnosticism</w:t>
      </w:r>
    </w:p>
    <w:p w14:paraId="35343041" w14:textId="77777777" w:rsidR="00F54778" w:rsidRDefault="00796EF6">
      <w:pPr>
        <w:spacing w:before="100" w:after="100"/>
      </w:pPr>
      <w:r>
        <w:t>The APS does not debunk or prove. It observes, collects, and archives. Anomalous experiences may be real, structured, and meaningful without requiring supernatural causation, and premature ontological commitment in either direction corrupts the data and forecloses discovery. This position is directly continuous with the experience-centered folklore methodology established by Hufford: anomalous experience accounts contain consistent structural features across cultures and contexts, suggesting that at least s</w:t>
      </w:r>
      <w:r>
        <w:t>ome phenomena are real and recurrent regardless of the cultural narrative used to interpret them.</w:t>
      </w:r>
    </w:p>
    <w:p w14:paraId="2E2BF698" w14:textId="77777777" w:rsidR="00F54778" w:rsidRDefault="00796EF6">
      <w:pPr>
        <w:spacing w:before="100" w:after="100"/>
      </w:pPr>
      <w:r>
        <w:t xml:space="preserve">In practical conduct: </w:t>
      </w:r>
      <w:r>
        <w:rPr>
          <w:b/>
          <w:bCs/>
        </w:rPr>
        <w:t>do not validate</w:t>
      </w:r>
      <w:r>
        <w:t xml:space="preserve"> a witness's interpretation ("Wow, that sounds exactly like a Skinwalker"). </w:t>
      </w:r>
      <w:r>
        <w:rPr>
          <w:b/>
          <w:bCs/>
        </w:rPr>
        <w:t>Do not debunk</w:t>
      </w:r>
      <w:r>
        <w:t xml:space="preserve"> ("That was probably just sleep paralysis"). </w:t>
      </w:r>
      <w:r>
        <w:rPr>
          <w:b/>
          <w:bCs/>
        </w:rPr>
        <w:t>Do not translate</w:t>
      </w:r>
      <w:r>
        <w:t xml:space="preserve"> — if a witness frames their experience within a specific cultural-cosmological tradition, that framing is preserved verbatim. The witness's words and the witness's frame are both data; neither is improved by replacement.</w:t>
      </w:r>
    </w:p>
    <w:p w14:paraId="679FFBE9" w14:textId="77777777" w:rsidR="00F54778" w:rsidRDefault="00796EF6">
      <w:pPr>
        <w:pStyle w:val="Heading2"/>
      </w:pPr>
      <w:r>
        <w:t>5.2 Universal Type Collection Across All Regions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54778" w14:paraId="047B89B7" w14:textId="77777777">
        <w:tc>
          <w:tcPr>
            <w:tcW w:w="10080" w:type="dxa"/>
            <w:tcBorders>
              <w:top w:val="single" w:sz="8" w:space="0" w:color="1F3518"/>
              <w:left w:val="single" w:sz="8" w:space="0" w:color="1F3518"/>
              <w:bottom w:val="single" w:sz="8" w:space="0" w:color="1F3518"/>
              <w:right w:val="single" w:sz="8" w:space="0" w:color="1F3518"/>
            </w:tcBorders>
            <w:shd w:val="clear" w:color="auto" w:fill="FAF5E4"/>
            <w:tcMar>
              <w:top w:w="160" w:type="dxa"/>
              <w:left w:w="200" w:type="dxa"/>
              <w:bottom w:w="160" w:type="dxa"/>
              <w:right w:w="200" w:type="dxa"/>
            </w:tcMar>
          </w:tcPr>
          <w:p w14:paraId="7F8FF98D" w14:textId="77777777" w:rsidR="00F54778" w:rsidRDefault="00796EF6">
            <w:pPr>
              <w:spacing w:after="80"/>
            </w:pPr>
            <w:r>
              <w:rPr>
                <w:b/>
                <w:bCs/>
                <w:color w:val="1F3518"/>
              </w:rPr>
              <w:t>§5.2 — Universal Type Collection</w:t>
            </w:r>
          </w:p>
          <w:p w14:paraId="5165833E" w14:textId="77777777" w:rsidR="00F54778" w:rsidRDefault="00796EF6">
            <w:pPr>
              <w:spacing w:after="100"/>
            </w:pPr>
            <w:r>
              <w:t xml:space="preserve">All nine types in the taxonomy are collected by all ten regional units. The regional structure is administrative and cultural-context, not phenomenological. No regional unit </w:t>
            </w:r>
            <w:r>
              <w:rPr>
                <w:i/>
                <w:iCs/>
              </w:rPr>
              <w:t>owns</w:t>
            </w:r>
            <w:r>
              <w:t xml:space="preserve"> a type, and no type is restricted to or expected from a particular region.</w:t>
            </w:r>
          </w:p>
          <w:p w14:paraId="3E68C674" w14:textId="77777777" w:rsidR="00F54778" w:rsidRDefault="00796EF6">
            <w:pPr>
              <w:spacing w:after="100"/>
            </w:pPr>
            <w:r>
              <w:t xml:space="preserve">The regional </w:t>
            </w:r>
            <w:r>
              <w:rPr>
                <w:i/>
                <w:iCs/>
              </w:rPr>
              <w:t>Cultural / Regional Context</w:t>
            </w:r>
            <w:r>
              <w:t xml:space="preserve"> entry describes the cultural, ecological, and historical landscape of the region — it does not restrict what the unit collects. A Type II report from Appalachia is as legitimate and archivally significant as a Type II report from Cascadia. A Type III report from Cascadia is as legitimate as one from Heartland. Cross-regional distribution of types is itself one of the most analytically valuable products of the archive, and it can only be measured if collection is universal.</w:t>
            </w:r>
          </w:p>
          <w:p w14:paraId="54921D51" w14:textId="77777777" w:rsidR="00F54778" w:rsidRDefault="00796EF6">
            <w:r>
              <w:rPr>
                <w:b/>
                <w:bCs/>
              </w:rPr>
              <w:t xml:space="preserve">Implication for analysts and researchers: </w:t>
            </w:r>
            <w:r>
              <w:t>classify reports by phenomenology, not by regional expectation. Resist the pull to recode a case into something more regionally appropriate. Resist the pull to think "that's not really a Cascadia case." The archive's analytical value depends on this discipline.</w:t>
            </w:r>
          </w:p>
        </w:tc>
      </w:tr>
    </w:tbl>
    <w:p w14:paraId="125EEA6E" w14:textId="77777777" w:rsidR="00F54778" w:rsidRDefault="00796EF6">
      <w:pPr>
        <w:pStyle w:val="Heading1"/>
      </w:pPr>
      <w:r>
        <w:lastRenderedPageBreak/>
        <w:t>6.0 Cross-Regional Indigenous Territories</w:t>
      </w:r>
    </w:p>
    <w:p w14:paraId="5E54333C" w14:textId="77777777" w:rsidR="00F54778" w:rsidRDefault="00796EF6">
      <w:pPr>
        <w:spacing w:before="100" w:after="100"/>
      </w:pPr>
      <w:r>
        <w:t>Settler-state administrative boundaries — including the regional unit lines used by the APS — frequently cut through indigenous nations and traditional territories. This is a structural reality of the geography in which we operate, and the project's design acknowledges it explicitly.</w:t>
      </w:r>
    </w:p>
    <w:p w14:paraId="5F3E6441" w14:textId="77777777" w:rsidR="00F54778" w:rsidRDefault="00796EF6">
      <w:pPr>
        <w:spacing w:before="100" w:after="100"/>
      </w:pPr>
      <w:r>
        <w:t>The most visible case is the Region 7 (Sonoran) / Region 8 (Basin) boundary, which bisects Diné Bikéyah, the homeland of the Diné (Navajo) Nation. A Diné account in northeastern Arizona and a Diné account in southeastern Utah occur within the same cosmological landscape; treating them as Region 7 and Region 8 cases respectively splits what the witness experiences as a single homeland. Similar boundary effects apply to Wabanaki across the Acadian unit and national borders; Haudenosaunee across Acadian/Appala</w:t>
      </w:r>
      <w:r>
        <w:t>chian/Laurentian; Anishinaabe across Laurentian/Heartland; Coast Salish across Cascadia/Alta and across the WA/BC national line; Ute across Sonoran/Basin/Heartland; and others.</w:t>
      </w:r>
    </w:p>
    <w:p w14:paraId="7798FB2F" w14:textId="77777777" w:rsidR="00F54778" w:rsidRDefault="00796EF6">
      <w:pPr>
        <w:spacing w:before="100" w:after="100"/>
      </w:pPr>
      <w:r>
        <w:t>The APS does not currently redraw regional boundaries — that is a heavier organizational decision that should involve the affected communities. The project does establish the following operating principles:</w:t>
      </w:r>
    </w:p>
    <w:p w14:paraId="42E937A7" w14:textId="77777777" w:rsidR="00F54778" w:rsidRDefault="00796EF6">
      <w:pPr>
        <w:pStyle w:val="ListParagraph"/>
        <w:numPr>
          <w:ilvl w:val="0"/>
          <w:numId w:val="2"/>
        </w:numPr>
        <w:spacing w:before="30" w:after="30"/>
      </w:pPr>
      <w:r>
        <w:t xml:space="preserve">The </w:t>
      </w:r>
      <w:r>
        <w:rPr>
          <w:rFonts w:ascii="Courier New" w:eastAsia="Courier New" w:hAnsi="Courier New" w:cs="Courier New"/>
        </w:rPr>
        <w:t>indigenous_territory</w:t>
      </w:r>
      <w:r>
        <w:t xml:space="preserve"> schema field is recorded independently of regional unit assignment. It captures the indigenous nation(s) and territories within which an event occurred.</w:t>
      </w:r>
    </w:p>
    <w:p w14:paraId="0808EBFF" w14:textId="77777777" w:rsidR="00F54778" w:rsidRDefault="00796EF6">
      <w:pPr>
        <w:pStyle w:val="ListParagraph"/>
        <w:numPr>
          <w:ilvl w:val="0"/>
          <w:numId w:val="2"/>
        </w:numPr>
        <w:spacing w:before="30" w:after="30"/>
      </w:pPr>
      <w:r>
        <w:t>Type IX cases involving a given indigenous cosmology are routed for sensitivity-protocol consultation per that cosmology, regardless of which administrative unit holds the case file. A Diné case is routed to Diné consultation whether it was filed by Region 7 or Region 8. A Coast Salish case routes the same way regardless of whether it was filed by Cascadia or Alta.</w:t>
      </w:r>
    </w:p>
    <w:p w14:paraId="59523F72" w14:textId="77777777" w:rsidR="00F54778" w:rsidRDefault="00796EF6">
      <w:pPr>
        <w:pStyle w:val="ListParagraph"/>
        <w:numPr>
          <w:ilvl w:val="0"/>
          <w:numId w:val="2"/>
        </w:numPr>
        <w:spacing w:before="30" w:after="30"/>
      </w:pPr>
      <w:r>
        <w:t xml:space="preserve">Where the witness's own framing of territory conflicts with the result of a geographic lookup, </w:t>
      </w:r>
      <w:r>
        <w:rPr>
          <w:b/>
          <w:bCs/>
        </w:rPr>
        <w:t>the witness's framing takes precedence</w:t>
      </w:r>
      <w:r>
        <w:t>. Their words. Their frame.</w:t>
      </w:r>
    </w:p>
    <w:p w14:paraId="4358DFE4" w14:textId="77777777" w:rsidR="00F54778" w:rsidRDefault="00796EF6">
      <w:pPr>
        <w:spacing w:before="100" w:after="100"/>
      </w:pPr>
      <w:r>
        <w:rPr>
          <w:b/>
          <w:bCs/>
        </w:rPr>
        <w:t xml:space="preserve">Note on consultation. </w:t>
      </w:r>
      <w:r>
        <w:t>The canonical vocabulary of indigenous territory codes used by the archive, and the Type IX sensitivity protocols themselves, must be developed in consultation with relevant indigenous communities — not unilaterally by APS administration. This is active work and a primary current objective of the project.</w:t>
      </w:r>
    </w:p>
    <w:p w14:paraId="439201BF" w14:textId="77777777" w:rsidR="00F54778" w:rsidRDefault="00796EF6">
      <w:pPr>
        <w:pStyle w:val="Heading1"/>
      </w:pPr>
      <w:r>
        <w:t>7.0 Classification of Periphenomena</w:t>
      </w:r>
    </w:p>
    <w:p w14:paraId="5359E702" w14:textId="77777777" w:rsidR="00F54778" w:rsidRDefault="00796EF6">
      <w:pPr>
        <w:spacing w:before="100" w:after="100"/>
      </w:pPr>
      <w:r>
        <w:t>Cases are not assigned a single type. Every case receives a primary type (the dominant or initiating phenomenon) and any number of secondary type tags (co-occurring phenomena). This reflects the theoretical framework: anomalous experiences are emergent, arising from the interaction of multiple phenomena, and co-occurrence patterns across types are themselves data.</w:t>
      </w:r>
    </w:p>
    <w:p w14:paraId="3B0023C6" w14:textId="77777777" w:rsidR="00F54778" w:rsidRDefault="00796EF6">
      <w:pPr>
        <w:spacing w:before="100" w:after="100"/>
      </w:pPr>
      <w:r>
        <w:t>The nine-type taxonomy: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54778" w14:paraId="72D9FCB4"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0F6939ED" w14:textId="77777777" w:rsidR="00F54778" w:rsidRDefault="00796EF6">
            <w:pPr>
              <w:spacing w:before="20" w:after="20"/>
            </w:pPr>
            <w:r>
              <w:rPr>
                <w:b/>
                <w:bCs/>
                <w:color w:val="1F3518"/>
                <w:sz w:val="20"/>
                <w:szCs w:val="20"/>
              </w:rPr>
              <w:t>Type</w:t>
            </w:r>
          </w:p>
        </w:tc>
        <w:tc>
          <w:tcPr>
            <w:tcW w:w="7680" w:type="dxa"/>
            <w:tcBorders>
              <w:top w:val="single" w:sz="4" w:space="0" w:color="CCCCCC"/>
              <w:left w:val="single" w:sz="4" w:space="0" w:color="CCCCCC"/>
              <w:bottom w:val="single" w:sz="4" w:space="0" w:color="CCCCCC"/>
              <w:right w:val="single" w:sz="4" w:space="0" w:color="CCCCCC"/>
            </w:tcBorders>
            <w:shd w:val="clear" w:color="auto" w:fill="E8E3D2"/>
            <w:tcMar>
              <w:top w:w="80" w:type="dxa"/>
              <w:left w:w="120" w:type="dxa"/>
              <w:bottom w:w="80" w:type="dxa"/>
              <w:right w:w="120" w:type="dxa"/>
            </w:tcMar>
          </w:tcPr>
          <w:p w14:paraId="52DFE827" w14:textId="77777777" w:rsidR="00F54778" w:rsidRDefault="00796EF6">
            <w:pPr>
              <w:spacing w:before="20" w:after="20"/>
            </w:pPr>
            <w:r>
              <w:rPr>
                <w:b/>
                <w:bCs/>
                <w:color w:val="1F3518"/>
                <w:sz w:val="20"/>
                <w:szCs w:val="20"/>
              </w:rPr>
              <w:t>What it captures</w:t>
            </w:r>
          </w:p>
        </w:tc>
      </w:tr>
      <w:tr w:rsidR="00F54778" w14:paraId="7E21F4E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C06BBE" w14:textId="77777777" w:rsidR="00F54778" w:rsidRDefault="00796EF6">
            <w:pPr>
              <w:spacing w:before="30" w:after="30"/>
            </w:pPr>
            <w:r>
              <w:rPr>
                <w:rFonts w:ascii="Courier New" w:eastAsia="Courier New" w:hAnsi="Courier New" w:cs="Courier New"/>
                <w:b/>
                <w:bCs/>
                <w:sz w:val="18"/>
                <w:szCs w:val="18"/>
              </w:rPr>
              <w:t>TYPE I — Liminal</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F23683" w14:textId="77777777" w:rsidR="00F54778" w:rsidRDefault="00796EF6">
            <w:pPr>
              <w:spacing w:before="30" w:after="30"/>
            </w:pPr>
            <w:r>
              <w:rPr>
                <w:sz w:val="20"/>
                <w:szCs w:val="20"/>
              </w:rPr>
              <w:t>Spatial distortions, missing time, looping or non-Euclidean geography, threshold crossings. The Location is the anomaly. Digital-substrate cases — feeds or devices behaving as if responsive to unspoken thought — are also Type I, coded with substrate = DIGITAL.</w:t>
            </w:r>
          </w:p>
        </w:tc>
      </w:tr>
      <w:tr w:rsidR="00F54778" w14:paraId="4835F7F2"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E819D" w14:textId="77777777" w:rsidR="00F54778" w:rsidRDefault="00796EF6">
            <w:pPr>
              <w:spacing w:before="30" w:after="30"/>
            </w:pPr>
            <w:r>
              <w:rPr>
                <w:rFonts w:ascii="Courier New" w:eastAsia="Courier New" w:hAnsi="Courier New" w:cs="Courier New"/>
                <w:b/>
                <w:bCs/>
                <w:sz w:val="18"/>
                <w:szCs w:val="18"/>
              </w:rPr>
              <w:t>TYPE II — Crypto-Bio</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7F4990" w14:textId="77777777" w:rsidR="00F54778" w:rsidRDefault="00796EF6">
            <w:pPr>
              <w:spacing w:before="30" w:after="30"/>
            </w:pPr>
            <w:r>
              <w:rPr>
                <w:sz w:val="20"/>
                <w:szCs w:val="20"/>
              </w:rPr>
              <w:t>Unknown biological entities exhibiting physical presence: tracks, vocalizations, ecological behavior, predator mimicry, smells. The Creature is the anomaly. Distinguished from Type VI by physical biological evidence.</w:t>
            </w:r>
          </w:p>
        </w:tc>
      </w:tr>
      <w:tr w:rsidR="00F54778" w14:paraId="756A8056"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75E890" w14:textId="77777777" w:rsidR="00F54778" w:rsidRDefault="00796EF6">
            <w:pPr>
              <w:spacing w:before="30" w:after="30"/>
            </w:pPr>
            <w:r>
              <w:rPr>
                <w:rFonts w:ascii="Courier New" w:eastAsia="Courier New" w:hAnsi="Courier New" w:cs="Courier New"/>
                <w:b/>
                <w:bCs/>
                <w:sz w:val="18"/>
                <w:szCs w:val="18"/>
              </w:rPr>
              <w:t>TYPE III — Aerial / Tech</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67BA80" w14:textId="77777777" w:rsidR="00F54778" w:rsidRDefault="00796EF6">
            <w:pPr>
              <w:spacing w:before="30" w:after="30"/>
            </w:pPr>
            <w:r>
              <w:rPr>
                <w:sz w:val="20"/>
                <w:szCs w:val="20"/>
              </w:rPr>
              <w:t>UAP, anomalous lights, structured craft or objects exhibiting non-ballistic behavior, hardware and mechanical failure. The Object is the anomaly. Software and algorithmic behavior belong in Type I, not here.</w:t>
            </w:r>
          </w:p>
        </w:tc>
      </w:tr>
      <w:tr w:rsidR="00F54778" w14:paraId="3B1D60D0"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CA5A28" w14:textId="77777777" w:rsidR="00F54778" w:rsidRDefault="00796EF6">
            <w:pPr>
              <w:spacing w:before="30" w:after="30"/>
            </w:pPr>
            <w:r>
              <w:rPr>
                <w:rFonts w:ascii="Courier New" w:eastAsia="Courier New" w:hAnsi="Courier New" w:cs="Courier New"/>
                <w:b/>
                <w:bCs/>
                <w:sz w:val="18"/>
                <w:szCs w:val="18"/>
              </w:rPr>
              <w:lastRenderedPageBreak/>
              <w:t>TYPE IV — Noetic / Psychic</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F16E33" w14:textId="77777777" w:rsidR="00F54778" w:rsidRDefault="00796EF6">
            <w:pPr>
              <w:spacing w:before="30" w:after="30"/>
            </w:pPr>
            <w:r>
              <w:rPr>
                <w:sz w:val="20"/>
                <w:szCs w:val="20"/>
              </w:rPr>
              <w:t>Pre-cognitive and anomalous dreams, telepathy, anomalous knowledge acquisition without identifiable source, high-strangeness mental states. The Mind is the anomaly. Distinguished from Type VI by the absence of a perceived discrete external entity.</w:t>
            </w:r>
          </w:p>
        </w:tc>
      </w:tr>
      <w:tr w:rsidR="00F54778" w14:paraId="75562C83"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17CD92" w14:textId="77777777" w:rsidR="00F54778" w:rsidRDefault="00796EF6">
            <w:pPr>
              <w:spacing w:before="30" w:after="30"/>
            </w:pPr>
            <w:r>
              <w:rPr>
                <w:rFonts w:ascii="Courier New" w:eastAsia="Courier New" w:hAnsi="Courier New" w:cs="Courier New"/>
                <w:b/>
                <w:bCs/>
                <w:sz w:val="18"/>
                <w:szCs w:val="18"/>
              </w:rPr>
              <w:t>TYPE V — Material / Poltergeist</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365B37" w14:textId="77777777" w:rsidR="00F54778" w:rsidRDefault="00796EF6">
            <w:pPr>
              <w:spacing w:before="30" w:after="30"/>
            </w:pPr>
            <w:r>
              <w:rPr>
                <w:sz w:val="20"/>
                <w:szCs w:val="20"/>
              </w:rPr>
              <w:t xml:space="preserve">Physical interaction with the environment without identifiable cause: object movement, </w:t>
            </w:r>
            <w:proofErr w:type="spellStart"/>
            <w:r>
              <w:rPr>
                <w:sz w:val="20"/>
                <w:szCs w:val="20"/>
              </w:rPr>
              <w:t>apportation</w:t>
            </w:r>
            <w:proofErr w:type="spellEnd"/>
            <w:r>
              <w:rPr>
                <w:sz w:val="20"/>
                <w:szCs w:val="20"/>
              </w:rPr>
              <w:t>, unexplained marks or traces. The Matter is the anomaly.</w:t>
            </w:r>
          </w:p>
        </w:tc>
      </w:tr>
      <w:tr w:rsidR="00F54778" w14:paraId="40EDDD1D"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68E23" w14:textId="77777777" w:rsidR="00F54778" w:rsidRDefault="00796EF6">
            <w:pPr>
              <w:spacing w:before="30" w:after="30"/>
            </w:pPr>
            <w:r>
              <w:rPr>
                <w:rFonts w:ascii="Courier New" w:eastAsia="Courier New" w:hAnsi="Courier New" w:cs="Courier New"/>
                <w:b/>
                <w:bCs/>
                <w:sz w:val="18"/>
                <w:szCs w:val="18"/>
              </w:rPr>
              <w:t>TYPE VI — Entity / Threshold</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B78172" w14:textId="77777777" w:rsidR="00F54778" w:rsidRDefault="00796EF6">
            <w:pPr>
              <w:spacing w:before="30" w:after="30"/>
            </w:pPr>
            <w:r>
              <w:rPr>
                <w:sz w:val="20"/>
                <w:szCs w:val="20"/>
              </w:rPr>
              <w:t>Non-biological entity contact not attributable to crypto-biological sources. Figures witnessed in threshold states or in full waking consciousness without physical trace. Ancestral visitation, shadow figures, apparitions, the full range of what folklore traditions call "the seen."</w:t>
            </w:r>
          </w:p>
        </w:tc>
      </w:tr>
      <w:tr w:rsidR="00F54778" w14:paraId="2E0A7E7F"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486E31" w14:textId="77777777" w:rsidR="00F54778" w:rsidRDefault="00796EF6">
            <w:pPr>
              <w:spacing w:before="30" w:after="30"/>
            </w:pPr>
            <w:r>
              <w:rPr>
                <w:rFonts w:ascii="Courier New" w:eastAsia="Courier New" w:hAnsi="Courier New" w:cs="Courier New"/>
                <w:b/>
                <w:bCs/>
                <w:sz w:val="18"/>
                <w:szCs w:val="18"/>
              </w:rPr>
              <w:t>TYPE VII — Place / Genius Loci</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7FA4E" w14:textId="77777777" w:rsidR="00F54778" w:rsidRDefault="00796EF6">
            <w:pPr>
              <w:spacing w:before="30" w:after="30"/>
            </w:pPr>
            <w:r>
              <w:rPr>
                <w:sz w:val="20"/>
                <w:szCs w:val="20"/>
              </w:rPr>
              <w:t>Persistent anomalous properties of specific locations independent of any single event. Sites that produce anomalous experiences across multiple witnesses and multiple type categories over time. Type VII cases are longitudinal location records, not single-event reports.</w:t>
            </w:r>
          </w:p>
        </w:tc>
      </w:tr>
      <w:tr w:rsidR="00F54778" w14:paraId="168BAE7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A38F19" w14:textId="77777777" w:rsidR="00F54778" w:rsidRDefault="00796EF6">
            <w:pPr>
              <w:spacing w:before="30" w:after="30"/>
            </w:pPr>
            <w:r>
              <w:rPr>
                <w:rFonts w:ascii="Courier New" w:eastAsia="Courier New" w:hAnsi="Courier New" w:cs="Courier New"/>
                <w:b/>
                <w:bCs/>
                <w:sz w:val="18"/>
                <w:szCs w:val="18"/>
              </w:rPr>
              <w:t>TYPE VIII — Energetic / Environmental</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B59E6E" w14:textId="77777777" w:rsidR="00F54778" w:rsidRDefault="00796EF6">
            <w:pPr>
              <w:spacing w:before="30" w:after="30"/>
            </w:pPr>
            <w:r>
              <w:rPr>
                <w:sz w:val="20"/>
                <w:szCs w:val="20"/>
              </w:rPr>
              <w:t>Diffuse anomalous energetic or environmental phenomena not attributable to identified meteorological, geological, or technological sources. The Hum as exterior phenomenon, infrasound, electromagnetic anomalies, persistent geophysical strangeness.</w:t>
            </w:r>
          </w:p>
        </w:tc>
      </w:tr>
      <w:tr w:rsidR="00F54778" w14:paraId="0C874A84"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B0D02B" w14:textId="77777777" w:rsidR="00F54778" w:rsidRDefault="00796EF6">
            <w:pPr>
              <w:spacing w:before="30" w:after="30"/>
            </w:pPr>
            <w:r>
              <w:rPr>
                <w:rFonts w:ascii="Courier New" w:eastAsia="Courier New" w:hAnsi="Courier New" w:cs="Courier New"/>
                <w:b/>
                <w:bCs/>
                <w:sz w:val="18"/>
                <w:szCs w:val="18"/>
              </w:rPr>
              <w:t>TYPE IX — Cultural / Cosmological</w:t>
            </w:r>
          </w:p>
        </w:tc>
        <w:tc>
          <w:tcPr>
            <w:tcW w:w="7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2EB94B" w14:textId="77777777" w:rsidR="00F54778" w:rsidRDefault="00796EF6">
            <w:pPr>
              <w:spacing w:before="30" w:after="30"/>
            </w:pPr>
            <w:r>
              <w:rPr>
                <w:sz w:val="20"/>
                <w:szCs w:val="20"/>
              </w:rPr>
              <w:t>Experiences explicitly framed by witnesses within indigenous, spiritual, or culturally specific cosmological systems, where that framing is itself analytically significant. The witness's own framework is preserved as primary data. Type IX may co-occur with any other type and requires sensitivity-protocol review before full processing.</w:t>
            </w:r>
          </w:p>
        </w:tc>
      </w:tr>
    </w:tbl>
    <w:p w14:paraId="3D425C61" w14:textId="77777777" w:rsidR="00F54778" w:rsidRDefault="00796EF6">
      <w:pPr>
        <w:spacing w:before="100" w:after="100"/>
      </w:pPr>
      <w:r>
        <w:rPr>
          <w:b/>
          <w:bCs/>
        </w:rPr>
        <w:t>Cross-cutting attributes recorded alongside type:</w:t>
      </w:r>
    </w:p>
    <w:p w14:paraId="35DED872" w14:textId="77777777" w:rsidR="00F54778" w:rsidRDefault="00796EF6">
      <w:pPr>
        <w:pStyle w:val="ListParagraph"/>
        <w:numPr>
          <w:ilvl w:val="0"/>
          <w:numId w:val="2"/>
        </w:numPr>
        <w:spacing w:before="30" w:after="30"/>
      </w:pPr>
      <w:r>
        <w:rPr>
          <w:rFonts w:ascii="Courier New" w:eastAsia="Courier New" w:hAnsi="Courier New" w:cs="Courier New"/>
        </w:rPr>
        <w:t>substrate</w:t>
      </w:r>
      <w:r>
        <w:t xml:space="preserve"> — the material medium through which the experience registered (analog, digital, or hybrid). Recorded independently of type.</w:t>
      </w:r>
    </w:p>
    <w:p w14:paraId="412253C6" w14:textId="77777777" w:rsidR="00F54778" w:rsidRDefault="00796EF6">
      <w:pPr>
        <w:pStyle w:val="ListParagraph"/>
        <w:numPr>
          <w:ilvl w:val="0"/>
          <w:numId w:val="2"/>
        </w:numPr>
        <w:spacing w:before="30" w:after="30"/>
      </w:pPr>
      <w:r>
        <w:rPr>
          <w:rFonts w:ascii="Courier New" w:eastAsia="Courier New" w:hAnsi="Courier New" w:cs="Courier New"/>
        </w:rPr>
        <w:t>witness_configuration</w:t>
      </w:r>
      <w:r>
        <w:t xml:space="preserve"> — solo, shared (simultaneous multi-witness), or communal (propagating through a community over time).</w:t>
      </w:r>
    </w:p>
    <w:p w14:paraId="5CF49BE9" w14:textId="77777777" w:rsidR="00F54778" w:rsidRDefault="00796EF6">
      <w:pPr>
        <w:pStyle w:val="ListParagraph"/>
        <w:numPr>
          <w:ilvl w:val="0"/>
          <w:numId w:val="2"/>
        </w:numPr>
        <w:spacing w:before="30" w:after="30"/>
      </w:pPr>
      <w:r>
        <w:rPr>
          <w:rFonts w:ascii="Courier New" w:eastAsia="Courier New" w:hAnsi="Courier New" w:cs="Courier New"/>
        </w:rPr>
        <w:t>oz_factor_flag</w:t>
      </w:r>
      <w:r>
        <w:t xml:space="preserve"> — independently flagged wherever unnatural environmental silence, suspension of ambient sound, or felt alteration of the sensory field is reported, regardless of which type the case belongs to.</w:t>
      </w:r>
    </w:p>
    <w:p w14:paraId="2F0E1057" w14:textId="77777777" w:rsidR="00F54778" w:rsidRDefault="00796EF6">
      <w:pPr>
        <w:pStyle w:val="ListParagraph"/>
        <w:numPr>
          <w:ilvl w:val="0"/>
          <w:numId w:val="2"/>
        </w:numPr>
        <w:spacing w:before="30" w:after="30"/>
      </w:pPr>
      <w:r>
        <w:rPr>
          <w:rFonts w:ascii="Courier New" w:eastAsia="Courier New" w:hAnsi="Courier New" w:cs="Courier New"/>
        </w:rPr>
        <w:t>narrative_frame</w:t>
      </w:r>
      <w:r>
        <w:t xml:space="preserve"> — how the witness characterizes the experience: warning, gift, test, intrusion, calling, encounter, visitation, or other. Recorded as data; never shown to witnesses during collection.</w:t>
      </w:r>
    </w:p>
    <w:p w14:paraId="49959326" w14:textId="77777777" w:rsidR="00F54778" w:rsidRDefault="00796EF6">
      <w:pPr>
        <w:pStyle w:val="ListParagraph"/>
        <w:numPr>
          <w:ilvl w:val="0"/>
          <w:numId w:val="2"/>
        </w:numPr>
        <w:spacing w:before="30" w:after="30"/>
      </w:pPr>
      <w:r>
        <w:rPr>
          <w:rFonts w:ascii="Courier New" w:eastAsia="Courier New" w:hAnsi="Courier New" w:cs="Courier New"/>
        </w:rPr>
        <w:t>cultural_frame_flag</w:t>
      </w:r>
      <w:r>
        <w:t xml:space="preserve"> and </w:t>
      </w:r>
      <w:r>
        <w:rPr>
          <w:rFonts w:ascii="Courier New" w:eastAsia="Courier New" w:hAnsi="Courier New" w:cs="Courier New"/>
        </w:rPr>
        <w:t>indigenous_territory</w:t>
      </w:r>
      <w:r>
        <w:t xml:space="preserve"> — flagged when the witness invokes a specific cultural framework (triggering Type IX handling and sensitivity routing), and the territory in which the event occurred.</w:t>
      </w:r>
    </w:p>
    <w:p w14:paraId="0A3B05D4" w14:textId="77777777" w:rsidR="00F54778" w:rsidRDefault="00796EF6">
      <w:pPr>
        <w:spacing w:before="100" w:after="100"/>
      </w:pPr>
      <w:r>
        <w:t xml:space="preserve">Full coding definitions and analyst guidance appear in the </w:t>
      </w:r>
      <w:r>
        <w:rPr>
          <w:i/>
          <w:iCs/>
        </w:rPr>
        <w:t>Master Data Protocol</w:t>
      </w:r>
      <w:r>
        <w:t>; this Mission Statement provides the conceptual overview.</w:t>
      </w:r>
    </w:p>
    <w:p w14:paraId="155B5482" w14:textId="3C47E0F3" w:rsidR="00F54778" w:rsidRDefault="00796EF6">
      <w:pPr>
        <w:pStyle w:val="Heading1"/>
      </w:pPr>
      <w:r>
        <w:t>Closing</w:t>
      </w:r>
    </w:p>
    <w:p w14:paraId="6BC5C56F" w14:textId="77777777" w:rsidR="00F54778" w:rsidRDefault="00796EF6">
      <w:pPr>
        <w:spacing w:before="100" w:after="100"/>
      </w:pPr>
      <w:r>
        <w:t xml:space="preserve">The APS occupies an unusual position: it is simultaneously a folklore archive, an </w:t>
      </w:r>
      <w:proofErr w:type="spellStart"/>
      <w:r>
        <w:t>anomalistics</w:t>
      </w:r>
      <w:proofErr w:type="spellEnd"/>
      <w:r>
        <w:t xml:space="preserve"> database, a citizen science platform, a methodological laboratory for understanding how meaning emerges in a hybrid analog-digital world, and — first and last — a place where strange stories are taken seriously enough to be preserved, structured, and eventually told.</w:t>
      </w:r>
    </w:p>
    <w:p w14:paraId="1D3414BC" w14:textId="77777777" w:rsidR="00F54778" w:rsidRDefault="00796EF6">
      <w:pPr>
        <w:spacing w:before="100" w:after="100"/>
      </w:pPr>
      <w:r>
        <w:lastRenderedPageBreak/>
        <w:t>The nine-type framework, the universal-collection principle, the cross-regional indigenous territory recognition, and the methodological agnosticism that runs through all of it are designed to support that purpose. The data we collect is the substrate; the stories are the work.</w:t>
      </w:r>
    </w:p>
    <w:p w14:paraId="720C28DD" w14:textId="77777777" w:rsidR="00F54778" w:rsidRDefault="00F54778">
      <w:pPr>
        <w:pBdr>
          <w:top w:val="single" w:sz="8" w:space="4" w:color="1F3518"/>
        </w:pBdr>
        <w:spacing w:before="400" w:after="60"/>
      </w:pPr>
    </w:p>
    <w:p w14:paraId="5788ABCE" w14:textId="77777777" w:rsidR="00F54778" w:rsidRDefault="00796EF6">
      <w:pPr>
        <w:spacing w:after="40"/>
        <w:jc w:val="center"/>
      </w:pPr>
      <w:r>
        <w:rPr>
          <w:color w:val="555555"/>
          <w:sz w:val="18"/>
          <w:szCs w:val="18"/>
        </w:rPr>
        <w:t>Property of APS: ✒</w:t>
      </w:r>
      <w:r>
        <w:rPr>
          <w:color w:val="555555"/>
          <w:sz w:val="18"/>
          <w:szCs w:val="18"/>
        </w:rPr>
        <w:t>️</w:t>
      </w:r>
      <w:r>
        <w:rPr>
          <w:color w:val="555555"/>
          <w:sz w:val="18"/>
          <w:szCs w:val="18"/>
        </w:rPr>
        <w:t xml:space="preserve"> Administration    |    Region 10 (</w:t>
      </w:r>
      <w:r>
        <w:rPr>
          <w:color w:val="555555"/>
          <w:sz w:val="18"/>
          <w:szCs w:val="18"/>
        </w:rPr>
        <w:t>🌲</w:t>
      </w:r>
      <w:r>
        <w:rPr>
          <w:color w:val="555555"/>
          <w:sz w:val="18"/>
          <w:szCs w:val="18"/>
        </w:rPr>
        <w:t xml:space="preserve"> Cascadia)</w:t>
      </w:r>
    </w:p>
    <w:p w14:paraId="3133F1E7" w14:textId="77777777" w:rsidR="00F54778" w:rsidRDefault="00796EF6">
      <w:pPr>
        <w:jc w:val="center"/>
      </w:pPr>
      <w:r>
        <w:rPr>
          <w:i/>
          <w:iCs/>
          <w:color w:val="1F3518"/>
          <w:sz w:val="18"/>
          <w:szCs w:val="18"/>
        </w:rPr>
        <w:t>Methodological Agnosticism Observed.  Universal Type Collection Across All Regions.</w:t>
      </w:r>
    </w:p>
    <w:sectPr w:rsidR="00F5477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63559E"/>
    <w:multiLevelType w:val="hybridMultilevel"/>
    <w:tmpl w:val="FFFFFFFF"/>
    <w:lvl w:ilvl="0" w:tplc="C61487B6">
      <w:start w:val="1"/>
      <w:numFmt w:val="bullet"/>
      <w:lvlText w:val="•"/>
      <w:lvlJc w:val="left"/>
      <w:pPr>
        <w:ind w:left="720" w:hanging="360"/>
      </w:pPr>
    </w:lvl>
    <w:lvl w:ilvl="1" w:tplc="F134DE24">
      <w:numFmt w:val="decimal"/>
      <w:lvlText w:val=""/>
      <w:lvlJc w:val="left"/>
    </w:lvl>
    <w:lvl w:ilvl="2" w:tplc="94365F26">
      <w:numFmt w:val="decimal"/>
      <w:lvlText w:val=""/>
      <w:lvlJc w:val="left"/>
    </w:lvl>
    <w:lvl w:ilvl="3" w:tplc="A3E89094">
      <w:numFmt w:val="decimal"/>
      <w:lvlText w:val=""/>
      <w:lvlJc w:val="left"/>
    </w:lvl>
    <w:lvl w:ilvl="4" w:tplc="25C0AA12">
      <w:numFmt w:val="decimal"/>
      <w:lvlText w:val=""/>
      <w:lvlJc w:val="left"/>
    </w:lvl>
    <w:lvl w:ilvl="5" w:tplc="F96A0F5E">
      <w:numFmt w:val="decimal"/>
      <w:lvlText w:val=""/>
      <w:lvlJc w:val="left"/>
    </w:lvl>
    <w:lvl w:ilvl="6" w:tplc="0114BE8E">
      <w:numFmt w:val="decimal"/>
      <w:lvlText w:val=""/>
      <w:lvlJc w:val="left"/>
    </w:lvl>
    <w:lvl w:ilvl="7" w:tplc="EDB85E76">
      <w:numFmt w:val="decimal"/>
      <w:lvlText w:val=""/>
      <w:lvlJc w:val="left"/>
    </w:lvl>
    <w:lvl w:ilvl="8" w:tplc="2984F732">
      <w:numFmt w:val="decimal"/>
      <w:lvlText w:val=""/>
      <w:lvlJc w:val="left"/>
    </w:lvl>
  </w:abstractNum>
  <w:abstractNum w:abstractNumId="1" w15:restartNumberingAfterBreak="0">
    <w:nsid w:val="572311A1"/>
    <w:multiLevelType w:val="hybridMultilevel"/>
    <w:tmpl w:val="FFFFFFFF"/>
    <w:lvl w:ilvl="0" w:tplc="DFA2FEFC">
      <w:start w:val="1"/>
      <w:numFmt w:val="bullet"/>
      <w:lvlText w:val="●"/>
      <w:lvlJc w:val="left"/>
      <w:pPr>
        <w:ind w:left="720" w:hanging="360"/>
      </w:pPr>
    </w:lvl>
    <w:lvl w:ilvl="1" w:tplc="BA74AA1A">
      <w:start w:val="1"/>
      <w:numFmt w:val="bullet"/>
      <w:lvlText w:val="○"/>
      <w:lvlJc w:val="left"/>
      <w:pPr>
        <w:ind w:left="1440" w:hanging="360"/>
      </w:pPr>
    </w:lvl>
    <w:lvl w:ilvl="2" w:tplc="1C2E987A">
      <w:start w:val="1"/>
      <w:numFmt w:val="bullet"/>
      <w:lvlText w:val="■"/>
      <w:lvlJc w:val="left"/>
      <w:pPr>
        <w:ind w:left="2160" w:hanging="360"/>
      </w:pPr>
    </w:lvl>
    <w:lvl w:ilvl="3" w:tplc="E42AA270">
      <w:start w:val="1"/>
      <w:numFmt w:val="bullet"/>
      <w:lvlText w:val="●"/>
      <w:lvlJc w:val="left"/>
      <w:pPr>
        <w:ind w:left="2880" w:hanging="360"/>
      </w:pPr>
    </w:lvl>
    <w:lvl w:ilvl="4" w:tplc="29703A68">
      <w:start w:val="1"/>
      <w:numFmt w:val="bullet"/>
      <w:lvlText w:val="○"/>
      <w:lvlJc w:val="left"/>
      <w:pPr>
        <w:ind w:left="3600" w:hanging="360"/>
      </w:pPr>
    </w:lvl>
    <w:lvl w:ilvl="5" w:tplc="14B6DE78">
      <w:start w:val="1"/>
      <w:numFmt w:val="bullet"/>
      <w:lvlText w:val="■"/>
      <w:lvlJc w:val="left"/>
      <w:pPr>
        <w:ind w:left="4320" w:hanging="360"/>
      </w:pPr>
    </w:lvl>
    <w:lvl w:ilvl="6" w:tplc="2FB46556">
      <w:start w:val="1"/>
      <w:numFmt w:val="bullet"/>
      <w:lvlText w:val="●"/>
      <w:lvlJc w:val="left"/>
      <w:pPr>
        <w:ind w:left="5040" w:hanging="360"/>
      </w:pPr>
    </w:lvl>
    <w:lvl w:ilvl="7" w:tplc="F01617B8">
      <w:start w:val="1"/>
      <w:numFmt w:val="bullet"/>
      <w:lvlText w:val="●"/>
      <w:lvlJc w:val="left"/>
      <w:pPr>
        <w:ind w:left="5760" w:hanging="360"/>
      </w:pPr>
    </w:lvl>
    <w:lvl w:ilvl="8" w:tplc="30DCDD5A">
      <w:start w:val="1"/>
      <w:numFmt w:val="bullet"/>
      <w:lvlText w:val="●"/>
      <w:lvlJc w:val="left"/>
      <w:pPr>
        <w:ind w:left="6480" w:hanging="360"/>
      </w:pPr>
    </w:lvl>
  </w:abstractNum>
  <w:num w:numId="1" w16cid:durableId="257098804">
    <w:abstractNumId w:val="1"/>
    <w:lvlOverride w:ilvl="0">
      <w:startOverride w:val="1"/>
    </w:lvlOverride>
  </w:num>
  <w:num w:numId="2" w16cid:durableId="8022308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displayBackgroundShape/>
  <w:proofState w:spelling="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78"/>
    <w:rsid w:val="000D7B4B"/>
    <w:rsid w:val="00236ACC"/>
    <w:rsid w:val="00294E2E"/>
    <w:rsid w:val="002F39D2"/>
    <w:rsid w:val="003C494E"/>
    <w:rsid w:val="00474376"/>
    <w:rsid w:val="007043AE"/>
    <w:rsid w:val="00796EF6"/>
    <w:rsid w:val="008773D3"/>
    <w:rsid w:val="00A022D6"/>
    <w:rsid w:val="00A1720C"/>
    <w:rsid w:val="00BC6259"/>
    <w:rsid w:val="00DA25EC"/>
    <w:rsid w:val="00F54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5F5E33"/>
  <w15:docId w15:val="{2604FAB4-9116-5940-8BFD-C7CD8F03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518"/>
      <w:sz w:val="30"/>
      <w:szCs w:val="30"/>
    </w:rPr>
  </w:style>
  <w:style w:type="paragraph" w:styleId="Heading2">
    <w:name w:val="heading 2"/>
    <w:uiPriority w:val="9"/>
    <w:unhideWhenUsed/>
    <w:qFormat/>
    <w:pPr>
      <w:spacing w:before="260" w:after="120"/>
      <w:outlineLvl w:val="1"/>
    </w:pPr>
    <w:rPr>
      <w:b/>
      <w:bCs/>
      <w:color w:val="1F351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3687</Words>
  <Characters>21021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APS Mission Statement Cascadia v4.1</vt:lpstr>
    </vt:vector>
  </TitlesOfParts>
  <Company/>
  <LinksUpToDate>false</LinksUpToDate>
  <CharactersWithSpaces>24659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Mission Statement Cascadia v4.1</dc:title>
  <dc:creator>APS Cascadia Archive</dc:creator>
  <dc:description>Mission Statement and methodological framework for the American Periphenomenal Survey. Houses storytelling purpose, foundational principles, taxonomy overview.</dc:description>
  <cp:lastModifiedBy>Arthur E. Warmoth</cp:lastModifiedBy>
  <cp:revision>9</cp:revision>
  <dcterms:created xsi:type="dcterms:W3CDTF">2026-05-10T23:51:00Z</dcterms:created>
  <dcterms:modified xsi:type="dcterms:W3CDTF">2026-09-14T18:55:00Z</dcterms:modified>
</cp:coreProperties>
</file>