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BA42B" w14:textId="77777777" w:rsidR="00FC5913" w:rsidRDefault="00000000">
      <w:pPr>
        <w:spacing w:after="40"/>
        <w:jc w:val="center"/>
      </w:pPr>
      <w:r>
        <w:rPr>
          <w:b/>
          <w:bCs/>
          <w:color w:val="1F3518"/>
          <w:sz w:val="36"/>
          <w:szCs w:val="36"/>
        </w:rPr>
        <w:t>American Periphenomenal Survey</w:t>
      </w:r>
    </w:p>
    <w:p w14:paraId="2EF5C3E3" w14:textId="77777777" w:rsidR="00FC5913" w:rsidRDefault="00000000">
      <w:pPr>
        <w:spacing w:after="40"/>
        <w:jc w:val="center"/>
      </w:pPr>
      <w:r>
        <w:rPr>
          <w:color w:val="1F3518"/>
          <w:sz w:val="28"/>
          <w:szCs w:val="28"/>
        </w:rPr>
        <w:t>Project State Document</w:t>
      </w:r>
    </w:p>
    <w:p w14:paraId="2568B322" w14:textId="1F9645D3" w:rsidR="00FC5913" w:rsidRDefault="00000000" w:rsidP="006E7151">
      <w:pPr>
        <w:spacing w:after="40"/>
      </w:pPr>
      <w:r>
        <w:rPr>
          <w:color w:val="555555"/>
          <w:sz w:val="20"/>
          <w:szCs w:val="20"/>
        </w:rPr>
        <w:t xml:space="preserve">Unit: ✒️ Administration  </w:t>
      </w:r>
      <w:r w:rsidR="00EB489A">
        <w:rPr>
          <w:color w:val="555555"/>
          <w:sz w:val="20"/>
          <w:szCs w:val="20"/>
        </w:rPr>
        <w:t xml:space="preserve"> </w:t>
      </w:r>
      <w:r>
        <w:rPr>
          <w:color w:val="555555"/>
          <w:sz w:val="20"/>
          <w:szCs w:val="20"/>
        </w:rPr>
        <w:t xml:space="preserve">|   </w:t>
      </w:r>
      <w:r w:rsidR="003707C6">
        <w:rPr>
          <w:color w:val="555555"/>
          <w:sz w:val="20"/>
          <w:szCs w:val="20"/>
        </w:rPr>
        <w:t>Region:</w:t>
      </w:r>
      <w:r w:rsidR="002B3DCF">
        <w:rPr>
          <w:color w:val="555555"/>
          <w:sz w:val="20"/>
          <w:szCs w:val="20"/>
        </w:rPr>
        <w:t xml:space="preserve"> </w:t>
      </w:r>
      <w:r w:rsidR="005A7FF7">
        <w:rPr>
          <mc:AlternateContent>
            <mc:Choice Requires="w16se"/>
            <mc:Fallback>
              <w:rFonts w:ascii="Apple Color Emoji" w:eastAsia="Apple Color Emoji" w:hAnsi="Apple Color Emoji" w:cs="Apple Color Emoji"/>
            </mc:Fallback>
          </mc:AlternateContent>
          <w:color w:val="555555"/>
          <w:sz w:val="20"/>
          <w:szCs w:val="20"/>
        </w:rPr>
        <mc:AlternateContent>
          <mc:Choice Requires="w16se">
            <w16se:symEx w16se:font="Apple Color Emoji" w16se:char="1F30E"/>
          </mc:Choice>
          <mc:Fallback>
            <w:t>🌎</w:t>
          </mc:Fallback>
        </mc:AlternateContent>
      </w:r>
      <w:r w:rsidR="005A7FF7">
        <w:rPr>
          <w:color w:val="555555"/>
          <w:sz w:val="20"/>
          <w:szCs w:val="20"/>
        </w:rPr>
        <w:t xml:space="preserve"> </w:t>
      </w:r>
      <w:r w:rsidR="002B3DCF">
        <w:rPr>
          <w:color w:val="555555"/>
          <w:sz w:val="20"/>
          <w:szCs w:val="20"/>
        </w:rPr>
        <w:t>C</w:t>
      </w:r>
      <w:r w:rsidR="0000460A">
        <w:rPr>
          <w:color w:val="555555"/>
          <w:sz w:val="20"/>
          <w:szCs w:val="20"/>
        </w:rPr>
        <w:t>ontinental</w:t>
      </w:r>
    </w:p>
    <w:p w14:paraId="3CACE6C2" w14:textId="2D36A7B8" w:rsidR="00FC5913" w:rsidRDefault="00000000" w:rsidP="006E7151">
      <w:pPr>
        <w:spacing w:after="240"/>
      </w:pPr>
      <w:r>
        <w:rPr>
          <w:color w:val="555555"/>
          <w:sz w:val="20"/>
          <w:szCs w:val="20"/>
        </w:rPr>
        <w:t>Status: ACTIVE</w:t>
      </w:r>
      <w:r w:rsidR="00FB51ED">
        <w:rPr>
          <w:color w:val="555555"/>
          <w:sz w:val="20"/>
          <w:szCs w:val="20"/>
        </w:rPr>
        <w:tab/>
      </w:r>
      <w:r w:rsidR="005C7B30">
        <w:rPr>
          <w:color w:val="555555"/>
          <w:sz w:val="20"/>
          <w:szCs w:val="20"/>
        </w:rPr>
        <w:t xml:space="preserve"> </w:t>
      </w:r>
      <w:r w:rsidR="000E4742">
        <w:rPr>
          <w:color w:val="555555"/>
          <w:sz w:val="20"/>
          <w:szCs w:val="20"/>
        </w:rPr>
        <w:t xml:space="preserve">   </w:t>
      </w:r>
      <w:r w:rsidR="00BE38E9">
        <w:rPr>
          <w:color w:val="555555"/>
          <w:sz w:val="20"/>
          <w:szCs w:val="20"/>
        </w:rPr>
        <w:t xml:space="preserve">         </w:t>
      </w:r>
      <w:r>
        <w:rPr>
          <w:color w:val="555555"/>
          <w:sz w:val="20"/>
          <w:szCs w:val="20"/>
        </w:rPr>
        <w:t>|   Scope: Regional Structure, Operational Status, Current Objectives</w:t>
      </w:r>
    </w:p>
    <w:p w14:paraId="501D7E49" w14:textId="77777777" w:rsidR="00FC5913" w:rsidRDefault="00FC5913">
      <w:pPr>
        <w:pBdr>
          <w:bottom w:val="single" w:sz="12" w:space="1" w:color="1F3518"/>
        </w:pBdr>
        <w:spacing w:after="240"/>
      </w:pPr>
    </w:p>
    <w:p w14:paraId="1682A03F" w14:textId="77777777" w:rsidR="00FC5913" w:rsidRDefault="00000000">
      <w:pPr>
        <w:pStyle w:val="Heading1"/>
      </w:pPr>
      <w:r>
        <w:t>Project Identity</w:t>
      </w:r>
    </w:p>
    <w:p w14:paraId="2C4A4FAE" w14:textId="77777777" w:rsidR="00FC5913" w:rsidRDefault="00000000">
      <w:pPr>
        <w:spacing w:before="100" w:after="100"/>
      </w:pPr>
      <w:r>
        <w:t xml:space="preserve">The American Periphenomenal Survey is a citizen science and vernacular research initiative with the goal of collecting and archiving anomalous and high-strangeness experiences across the North American continent. The project operates at the intersection of three established fields without being fully contained by any of them: </w:t>
      </w:r>
      <w:proofErr w:type="spellStart"/>
      <w:r>
        <w:t>anomalistics</w:t>
      </w:r>
      <w:proofErr w:type="spellEnd"/>
      <w:r>
        <w:t xml:space="preserve"> (the scientific study of anomalous phenomena), humanistic psychology (particularly the narrative and mythic dimensions of experience), and experience-centered folklore studies (the Hufford tradition of taking vernacular anomalous experience accounts seriously on their own terms, prior to cultural interpretation).</w:t>
      </w:r>
    </w:p>
    <w:p w14:paraId="39DF81EE" w14:textId="523CE15B" w:rsidR="00FC5913" w:rsidRDefault="00000000">
      <w:pPr>
        <w:spacing w:before="100" w:after="100"/>
      </w:pPr>
      <w:r>
        <w:t>At its heart, the APS is a storytelling project. Its primary purpose is to collect</w:t>
      </w:r>
      <w:r w:rsidR="005C2BB7">
        <w:t xml:space="preserve">, </w:t>
      </w:r>
      <w:r>
        <w:t>and eventually to tell</w:t>
      </w:r>
      <w:r w:rsidR="005C2BB7">
        <w:t xml:space="preserve">, </w:t>
      </w:r>
      <w:r>
        <w:t xml:space="preserve">the anomalous and high-strangeness stories of the people who live on this continent. </w:t>
      </w:r>
      <w:r w:rsidR="005C2BB7">
        <w:t>T</w:t>
      </w:r>
      <w:r w:rsidR="005C2BB7" w:rsidRPr="005C2BB7">
        <w:t>he data infrastructure supporting that work exists to make those stories tellable: queryable, comparable, analytically tractable, preservable. However, it is not meant to reduce those stories to mere data points. Rather, it is meant to add extra textures and dimensions to the storytelling, hopefully making it a more immersive experience.</w:t>
      </w:r>
      <w:r w:rsidR="005C2BB7">
        <w:t xml:space="preserve"> </w:t>
      </w:r>
      <w:r>
        <w:t xml:space="preserve">For the full philosophical and methodological framework, see the </w:t>
      </w:r>
      <w:r>
        <w:rPr>
          <w:i/>
          <w:iCs/>
        </w:rPr>
        <w:t>Mission Statement</w:t>
      </w:r>
      <w:r>
        <w:t>. This Project State Document tracks where the project is operationally</w:t>
      </w:r>
      <w:r w:rsidR="005C2BB7">
        <w:t>;</w:t>
      </w:r>
      <w:r>
        <w:t xml:space="preserve"> its regional structure, its current objectives, and what's been built so far.</w:t>
      </w:r>
    </w:p>
    <w:p w14:paraId="4E885862" w14:textId="77777777" w:rsidR="00FC5913" w:rsidRDefault="00000000">
      <w:pPr>
        <w:pStyle w:val="Heading1"/>
      </w:pPr>
      <w:r>
        <w:t>Regional Structure</w:t>
      </w:r>
    </w:p>
    <w:p w14:paraId="5FB38808" w14:textId="77777777" w:rsidR="00FC5913" w:rsidRDefault="00000000">
      <w:pPr>
        <w:spacing w:before="100" w:after="100"/>
      </w:pPr>
      <w:r>
        <w:t>The APS is organized into ten bioregional units. Each unit operates as a semi-autonomous archive sharing the national taxonomy, instrument design, and identity system, while maintaining region-specific cultural context, color palette, and field iconography.</w:t>
      </w:r>
    </w:p>
    <w:p w14:paraId="05769259" w14:textId="77777777" w:rsidR="00FC5913" w:rsidRDefault="00000000">
      <w:pPr>
        <w:spacing w:before="100" w:after="100"/>
      </w:pPr>
      <w:r>
        <w:t xml:space="preserve">All ten units collect all nine types of phenomena (per the Universal Type Collection principle in </w:t>
      </w:r>
      <w:r>
        <w:rPr>
          <w:i/>
          <w:iCs/>
        </w:rPr>
        <w:t>Mission Statement</w:t>
      </w:r>
      <w:r>
        <w:t xml:space="preserve"> §4.2). The Cultural / Regional Context column is descriptive — it characterizes the cultural, ecological, and historical landscape of each region — not prescriptive. A region's cultural context informs the analyst's ability to recognize culturally specific framings a witness may invoke; it does not restrict what kinds of reports the unit may receive.</w:t>
      </w:r>
    </w:p>
    <w:p w14:paraId="30D901FA" w14:textId="77777777" w:rsidR="00FC5913" w:rsidRDefault="00000000">
      <w:pPr>
        <w:spacing w:before="100" w:after="100"/>
      </w:pPr>
      <w:r>
        <w:rPr>
          <w:b/>
          <w:bCs/>
        </w:rPr>
        <w:t xml:space="preserve">Note on the consultation flags. </w:t>
      </w:r>
      <w:r>
        <w:t>Every region carries a note that cultural framing of certain experience requires consultation. This is a directive, not a stylistic convention. Future revisions of this document should specify, per region, which communities the regional unit has consulted with and which sensitivity protocols are in place for Type IX cases. Before that consultation is in place, the regional unit may collect Type IX cases but should defer interpretive coding pending consultation.</w:t>
      </w:r>
    </w:p>
    <w:tbl>
      <w:tblPr>
        <w:tblW w:w="13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400"/>
        <w:gridCol w:w="2400"/>
        <w:gridCol w:w="2399"/>
        <w:gridCol w:w="7078"/>
      </w:tblGrid>
      <w:tr w:rsidR="00FC5913" w14:paraId="225E82B4" w14:textId="77777777">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102D9CA7" w14:textId="77777777" w:rsidR="00FC5913" w:rsidRPr="00021269" w:rsidRDefault="00000000">
            <w:pPr>
              <w:spacing w:before="20" w:after="20"/>
              <w:rPr>
                <w:sz w:val="16"/>
                <w:szCs w:val="16"/>
              </w:rPr>
            </w:pPr>
            <w:r w:rsidRPr="00021269">
              <w:rPr>
                <w:b/>
                <w:bCs/>
                <w:color w:val="1F3518"/>
                <w:sz w:val="16"/>
                <w:szCs w:val="16"/>
              </w:rPr>
              <w:lastRenderedPageBreak/>
              <w:t>#</w:t>
            </w:r>
          </w:p>
        </w:tc>
        <w:tc>
          <w:tcPr>
            <w:tcW w:w="1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40DF7B6C" w14:textId="77777777" w:rsidR="00FC5913" w:rsidRPr="00021269" w:rsidRDefault="00000000">
            <w:pPr>
              <w:spacing w:before="20" w:after="20"/>
              <w:rPr>
                <w:sz w:val="16"/>
                <w:szCs w:val="16"/>
              </w:rPr>
            </w:pPr>
            <w:r w:rsidRPr="00021269">
              <w:rPr>
                <w:b/>
                <w:bCs/>
                <w:color w:val="1F3518"/>
                <w:sz w:val="16"/>
                <w:szCs w:val="16"/>
              </w:rPr>
              <w:t>Unit</w:t>
            </w:r>
          </w:p>
        </w:tc>
        <w:tc>
          <w:tcPr>
            <w:tcW w:w="2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588EC662" w14:textId="77777777" w:rsidR="00FC5913" w:rsidRPr="00021269" w:rsidRDefault="00000000">
            <w:pPr>
              <w:spacing w:before="20" w:after="20"/>
              <w:rPr>
                <w:sz w:val="16"/>
                <w:szCs w:val="16"/>
              </w:rPr>
            </w:pPr>
            <w:r w:rsidRPr="00021269">
              <w:rPr>
                <w:b/>
                <w:bCs/>
                <w:color w:val="1F3518"/>
                <w:sz w:val="16"/>
                <w:szCs w:val="16"/>
              </w:rPr>
              <w:t>Domain</w:t>
            </w:r>
          </w:p>
        </w:tc>
        <w:tc>
          <w:tcPr>
            <w:tcW w:w="2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785D89DF" w14:textId="77777777" w:rsidR="00FC5913" w:rsidRPr="00021269" w:rsidRDefault="00000000">
            <w:pPr>
              <w:spacing w:before="20" w:after="20"/>
              <w:rPr>
                <w:sz w:val="16"/>
                <w:szCs w:val="16"/>
              </w:rPr>
            </w:pPr>
            <w:r w:rsidRPr="00021269">
              <w:rPr>
                <w:b/>
                <w:bCs/>
                <w:color w:val="1F3518"/>
                <w:sz w:val="16"/>
                <w:szCs w:val="16"/>
              </w:rPr>
              <w:t>Coverage</w:t>
            </w:r>
          </w:p>
        </w:tc>
        <w:tc>
          <w:tcPr>
            <w:tcW w:w="708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377F1BE9" w14:textId="77777777" w:rsidR="00FC5913" w:rsidRPr="00021269" w:rsidRDefault="00000000">
            <w:pPr>
              <w:spacing w:before="20" w:after="20"/>
              <w:rPr>
                <w:sz w:val="16"/>
                <w:szCs w:val="16"/>
              </w:rPr>
            </w:pPr>
            <w:r w:rsidRPr="00021269">
              <w:rPr>
                <w:b/>
                <w:bCs/>
                <w:color w:val="1F3518"/>
                <w:sz w:val="16"/>
                <w:szCs w:val="16"/>
              </w:rPr>
              <w:t>Cultural / Regional Context</w:t>
            </w:r>
          </w:p>
        </w:tc>
      </w:tr>
      <w:tr w:rsidR="00FC5913" w14:paraId="1C280CC2"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C8EAB1" w14:textId="77777777" w:rsidR="00FC5913" w:rsidRPr="00021269" w:rsidRDefault="00000000">
            <w:pPr>
              <w:spacing w:before="20" w:after="20"/>
              <w:rPr>
                <w:sz w:val="16"/>
                <w:szCs w:val="16"/>
              </w:rPr>
            </w:pPr>
            <w:r w:rsidRPr="00021269">
              <w:rPr>
                <w:sz w:val="16"/>
                <w:szCs w:val="16"/>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E03DBA" w14:textId="77777777" w:rsidR="00FC5913" w:rsidRPr="00021269" w:rsidRDefault="00000000">
            <w:pPr>
              <w:spacing w:before="20" w:after="20"/>
              <w:rPr>
                <w:sz w:val="16"/>
                <w:szCs w:val="16"/>
              </w:rPr>
            </w:pPr>
            <w:r w:rsidRPr="00021269">
              <w:rPr>
                <w:sz w:val="16"/>
                <w:szCs w:val="16"/>
              </w:rPr>
              <w:t>Acadian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CCF9A" w14:textId="77777777" w:rsidR="00FC5913" w:rsidRPr="00021269" w:rsidRDefault="00000000">
            <w:pPr>
              <w:spacing w:before="20" w:after="20"/>
              <w:rPr>
                <w:sz w:val="16"/>
                <w:szCs w:val="16"/>
              </w:rPr>
            </w:pPr>
            <w:r w:rsidRPr="00021269">
              <w:rPr>
                <w:sz w:val="16"/>
                <w:szCs w:val="16"/>
              </w:rPr>
              <w:t>North Atlantic Forests &amp; Maritime Coast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52847" w14:textId="77777777" w:rsidR="00FC5913" w:rsidRPr="00021269" w:rsidRDefault="00000000">
            <w:pPr>
              <w:spacing w:before="20" w:after="20"/>
              <w:rPr>
                <w:sz w:val="16"/>
                <w:szCs w:val="16"/>
              </w:rPr>
            </w:pPr>
            <w:r w:rsidRPr="00021269">
              <w:rPr>
                <w:sz w:val="16"/>
                <w:szCs w:val="16"/>
              </w:rPr>
              <w:t>ME, NH, VT, MA, Nova Scotia, New Brunswick</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703C3" w14:textId="77777777" w:rsidR="00FC5913" w:rsidRPr="00021269" w:rsidRDefault="00000000">
            <w:pPr>
              <w:spacing w:before="20" w:after="20"/>
              <w:rPr>
                <w:sz w:val="16"/>
                <w:szCs w:val="16"/>
              </w:rPr>
            </w:pPr>
            <w:r w:rsidRPr="00021269">
              <w:rPr>
                <w:sz w:val="16"/>
                <w:szCs w:val="16"/>
              </w:rPr>
              <w:t>Wabanaki Confederacy homeland (Mi'kmaq, Maliseet, Passamaquoddy, Penobscot, Abenaki). Layered settler history: French Acadian, English colonial, contemporary maritime working-class. Ecology of deep coniferous forest, glacial geology, North Atlantic coast, fog and isolation as recurring environmental features. Cultural framing of indigenous experience requires consultation.</w:t>
            </w:r>
          </w:p>
        </w:tc>
      </w:tr>
      <w:tr w:rsidR="00FC5913" w14:paraId="47B8BE9E"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7E3BCD" w14:textId="77777777" w:rsidR="00FC5913" w:rsidRPr="00021269" w:rsidRDefault="00000000">
            <w:pPr>
              <w:spacing w:before="20" w:after="20"/>
              <w:rPr>
                <w:sz w:val="16"/>
                <w:szCs w:val="16"/>
              </w:rPr>
            </w:pPr>
            <w:r w:rsidRPr="00021269">
              <w:rPr>
                <w:sz w:val="16"/>
                <w:szCs w:val="16"/>
              </w:rPr>
              <w:t>2</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C912B2" w14:textId="77777777" w:rsidR="00FC5913" w:rsidRPr="00021269" w:rsidRDefault="00000000">
            <w:pPr>
              <w:spacing w:before="20" w:after="20"/>
              <w:rPr>
                <w:sz w:val="16"/>
                <w:szCs w:val="16"/>
              </w:rPr>
            </w:pPr>
            <w:r w:rsidRPr="00021269">
              <w:rPr>
                <w:sz w:val="16"/>
                <w:szCs w:val="16"/>
              </w:rPr>
              <w:t>Appalachian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DF0DBB" w14:textId="77777777" w:rsidR="00FC5913" w:rsidRPr="00021269" w:rsidRDefault="00000000">
            <w:pPr>
              <w:spacing w:before="20" w:after="20"/>
              <w:rPr>
                <w:sz w:val="16"/>
                <w:szCs w:val="16"/>
              </w:rPr>
            </w:pPr>
            <w:r w:rsidRPr="00021269">
              <w:rPr>
                <w:sz w:val="16"/>
                <w:szCs w:val="16"/>
              </w:rPr>
              <w:t>The Ancient Mountain Spine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1E9B52" w14:textId="77777777" w:rsidR="00FC5913" w:rsidRPr="00021269" w:rsidRDefault="00000000">
            <w:pPr>
              <w:spacing w:before="20" w:after="20"/>
              <w:rPr>
                <w:sz w:val="16"/>
                <w:szCs w:val="16"/>
              </w:rPr>
            </w:pPr>
            <w:r w:rsidRPr="00021269">
              <w:rPr>
                <w:sz w:val="16"/>
                <w:szCs w:val="16"/>
              </w:rPr>
              <w:t>NY/PA south to GA/NC/TN</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97134" w14:textId="77777777" w:rsidR="00FC5913" w:rsidRPr="00021269" w:rsidRDefault="00000000">
            <w:pPr>
              <w:spacing w:before="20" w:after="20"/>
              <w:rPr>
                <w:sz w:val="16"/>
                <w:szCs w:val="16"/>
              </w:rPr>
            </w:pPr>
            <w:r w:rsidRPr="00021269">
              <w:rPr>
                <w:sz w:val="16"/>
                <w:szCs w:val="16"/>
              </w:rPr>
              <w:t>Haudenosaunee territory in the north; Cherokee, Shawnee, Yuchi, and other nations southward; Eastern Band of Cherokee Indians as a present-day federally recognized community. Settler layers: Scots-Irish, German, African American (free and enslaved), contemporary post-coal Appalachian. Geological deep time (some of the oldest exposed rock in North America), karst cave systems, isolated hollows, traditional ballad and storytelling cultures. Cultural framing of indigenous and Appalachian-folk experience requires consultation.</w:t>
            </w:r>
          </w:p>
        </w:tc>
      </w:tr>
      <w:tr w:rsidR="00FC5913" w14:paraId="495C7BBB"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758E5D" w14:textId="77777777" w:rsidR="00FC5913" w:rsidRPr="00021269" w:rsidRDefault="00000000">
            <w:pPr>
              <w:spacing w:before="20" w:after="20"/>
              <w:rPr>
                <w:sz w:val="16"/>
                <w:szCs w:val="16"/>
              </w:rPr>
            </w:pPr>
            <w:r w:rsidRPr="00021269">
              <w:rPr>
                <w:sz w:val="16"/>
                <w:szCs w:val="16"/>
              </w:rPr>
              <w:t>3</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34CE4" w14:textId="77777777" w:rsidR="00FC5913" w:rsidRPr="00021269" w:rsidRDefault="00000000">
            <w:pPr>
              <w:spacing w:before="20" w:after="20"/>
              <w:rPr>
                <w:sz w:val="16"/>
                <w:szCs w:val="16"/>
              </w:rPr>
            </w:pPr>
            <w:r w:rsidRPr="00021269">
              <w:rPr>
                <w:sz w:val="16"/>
                <w:szCs w:val="16"/>
              </w:rPr>
              <w:t>Meridian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09AF22" w14:textId="77777777" w:rsidR="00FC5913" w:rsidRPr="00021269" w:rsidRDefault="00000000">
            <w:pPr>
              <w:spacing w:before="20" w:after="20"/>
              <w:rPr>
                <w:sz w:val="16"/>
                <w:szCs w:val="16"/>
              </w:rPr>
            </w:pPr>
            <w:r w:rsidRPr="00021269">
              <w:rPr>
                <w:sz w:val="16"/>
                <w:szCs w:val="16"/>
              </w:rPr>
              <w:t>Subtropical Lowlands &amp; Gulf Coast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058D6" w14:textId="77777777" w:rsidR="00FC5913" w:rsidRPr="00021269" w:rsidRDefault="00000000">
            <w:pPr>
              <w:spacing w:before="20" w:after="20"/>
              <w:rPr>
                <w:sz w:val="16"/>
                <w:szCs w:val="16"/>
              </w:rPr>
            </w:pPr>
            <w:r w:rsidRPr="00021269">
              <w:rPr>
                <w:sz w:val="16"/>
                <w:szCs w:val="16"/>
              </w:rPr>
              <w:t>SC, GA, AL, MS, FL, LA</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CC709" w14:textId="77777777" w:rsidR="00FC5913" w:rsidRPr="00021269" w:rsidRDefault="00000000">
            <w:pPr>
              <w:spacing w:before="20" w:after="20"/>
              <w:rPr>
                <w:sz w:val="16"/>
                <w:szCs w:val="16"/>
              </w:rPr>
            </w:pPr>
            <w:r w:rsidRPr="00021269">
              <w:rPr>
                <w:sz w:val="16"/>
                <w:szCs w:val="16"/>
              </w:rPr>
              <w:t>Muscogee (Creek), Choctaw, Chickasaw, Cherokee, Seminole, Houma, and other southeastern nations historically; remnant communities and removal-era diaspora. African diasporic religious traditions: Vodou, Hoodoo, Conjure, Spiritualist Church traditions (especially Louisiana and the Carolina coast). Settler layers: French, Spanish, English, Caribbean. Ecology of subtropical wetland, Gulf Coast hurricane geography, blackwater swamp, Spanish moss live oak, longleaf pine. Cultural framing of indigenous and African diasporic experience requires consultation.</w:t>
            </w:r>
          </w:p>
        </w:tc>
      </w:tr>
      <w:tr w:rsidR="00FC5913" w14:paraId="3AF1B36D"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0385EE" w14:textId="77777777" w:rsidR="00FC5913" w:rsidRPr="00021269" w:rsidRDefault="00000000">
            <w:pPr>
              <w:spacing w:before="20" w:after="20"/>
              <w:rPr>
                <w:sz w:val="16"/>
                <w:szCs w:val="16"/>
              </w:rPr>
            </w:pPr>
            <w:r w:rsidRPr="00021269">
              <w:rPr>
                <w:sz w:val="16"/>
                <w:szCs w:val="16"/>
              </w:rPr>
              <w:t>4</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35E2DD" w14:textId="77777777" w:rsidR="00FC5913" w:rsidRPr="00021269" w:rsidRDefault="00000000">
            <w:pPr>
              <w:spacing w:before="20" w:after="20"/>
              <w:rPr>
                <w:sz w:val="16"/>
                <w:szCs w:val="16"/>
              </w:rPr>
            </w:pPr>
            <w:r w:rsidRPr="00021269">
              <w:rPr>
                <w:sz w:val="16"/>
                <w:szCs w:val="16"/>
              </w:rPr>
              <w:t>Laurentian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D053C" w14:textId="77777777" w:rsidR="00FC5913" w:rsidRPr="00021269" w:rsidRDefault="00000000">
            <w:pPr>
              <w:spacing w:before="20" w:after="20"/>
              <w:rPr>
                <w:sz w:val="16"/>
                <w:szCs w:val="16"/>
              </w:rPr>
            </w:pPr>
            <w:r w:rsidRPr="00021269">
              <w:rPr>
                <w:sz w:val="16"/>
                <w:szCs w:val="16"/>
              </w:rPr>
              <w:t>The Freshwater Seas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EBD8A" w14:textId="77777777" w:rsidR="00FC5913" w:rsidRPr="00021269" w:rsidRDefault="00000000">
            <w:pPr>
              <w:spacing w:before="20" w:after="20"/>
              <w:rPr>
                <w:sz w:val="16"/>
                <w:szCs w:val="16"/>
              </w:rPr>
            </w:pPr>
            <w:r w:rsidRPr="00021269">
              <w:rPr>
                <w:sz w:val="16"/>
                <w:szCs w:val="16"/>
              </w:rPr>
              <w:t>MI, WI, MN, IL, OH, Southern Ontario</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4A42CF" w14:textId="77777777" w:rsidR="00FC5913" w:rsidRPr="00021269" w:rsidRDefault="00000000">
            <w:pPr>
              <w:spacing w:before="20" w:after="20"/>
              <w:rPr>
                <w:sz w:val="16"/>
                <w:szCs w:val="16"/>
              </w:rPr>
            </w:pPr>
            <w:r w:rsidRPr="00021269">
              <w:rPr>
                <w:sz w:val="16"/>
                <w:szCs w:val="16"/>
              </w:rPr>
              <w:t>Anishinaabe (Ojibwe, Odawa, Potawatomi — the Three Fires Confederacy) territory; Menominee, Ho-Chunk, Meskwaki, Sauk, Miami nations historically; many present-day nations with reservations and First Nations communities. Settler layers: French voyageur, Scandinavian, Polish, German, African American Great Migration. Ecology dominated by the Great Lakes, boreal-deciduous forest transition, industrial-decay landscapes (Detroit, Cleveland, Gary), and the freshwater coast as a distinctive North American landform. Cultural framing of indigenous experience requires consultation.</w:t>
            </w:r>
          </w:p>
        </w:tc>
      </w:tr>
      <w:tr w:rsidR="00FC5913" w14:paraId="4D4A8CAF"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7D2739" w14:textId="77777777" w:rsidR="00FC5913" w:rsidRPr="00021269" w:rsidRDefault="00000000">
            <w:pPr>
              <w:spacing w:before="20" w:after="20"/>
              <w:rPr>
                <w:sz w:val="16"/>
                <w:szCs w:val="16"/>
              </w:rPr>
            </w:pPr>
            <w:r w:rsidRPr="00021269">
              <w:rPr>
                <w:sz w:val="16"/>
                <w:szCs w:val="16"/>
              </w:rPr>
              <w:t>5</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56B29E" w14:textId="77777777" w:rsidR="00FC5913" w:rsidRPr="00021269" w:rsidRDefault="00000000">
            <w:pPr>
              <w:spacing w:before="20" w:after="20"/>
              <w:rPr>
                <w:sz w:val="16"/>
                <w:szCs w:val="16"/>
              </w:rPr>
            </w:pPr>
            <w:r w:rsidRPr="00021269">
              <w:rPr>
                <w:sz w:val="16"/>
                <w:szCs w:val="16"/>
              </w:rPr>
              <w:t>Heartland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F0302" w14:textId="77777777" w:rsidR="00FC5913" w:rsidRPr="00021269" w:rsidRDefault="00000000">
            <w:pPr>
              <w:spacing w:before="20" w:after="20"/>
              <w:rPr>
                <w:sz w:val="16"/>
                <w:szCs w:val="16"/>
              </w:rPr>
            </w:pPr>
            <w:r w:rsidRPr="00021269">
              <w:rPr>
                <w:sz w:val="16"/>
                <w:szCs w:val="16"/>
              </w:rPr>
              <w:t>Great Plains &amp; Prairies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F332A1" w14:textId="77777777" w:rsidR="00FC5913" w:rsidRPr="00021269" w:rsidRDefault="00000000">
            <w:pPr>
              <w:spacing w:before="20" w:after="20"/>
              <w:rPr>
                <w:sz w:val="16"/>
                <w:szCs w:val="16"/>
              </w:rPr>
            </w:pPr>
            <w:r w:rsidRPr="00021269">
              <w:rPr>
                <w:sz w:val="16"/>
                <w:szCs w:val="16"/>
              </w:rPr>
              <w:t>IA, NE, KS, MO, ND, SD</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EA083B" w14:textId="77777777" w:rsidR="00FC5913" w:rsidRPr="00021269" w:rsidRDefault="00000000">
            <w:pPr>
              <w:spacing w:before="20" w:after="20"/>
              <w:rPr>
                <w:sz w:val="16"/>
                <w:szCs w:val="16"/>
              </w:rPr>
            </w:pPr>
            <w:r w:rsidRPr="00021269">
              <w:rPr>
                <w:sz w:val="16"/>
                <w:szCs w:val="16"/>
              </w:rPr>
              <w:t>Lakota, Dakota, Nakota, Cheyenne, Arapaho, Pawnee, Ponca, Omaha, and other Plains nations. Multiple sites of historical importance to indigenous nations including the Black Hills (</w:t>
            </w:r>
            <w:proofErr w:type="spellStart"/>
            <w:r w:rsidRPr="00021269">
              <w:rPr>
                <w:sz w:val="16"/>
                <w:szCs w:val="16"/>
              </w:rPr>
              <w:t>Pahá</w:t>
            </w:r>
            <w:proofErr w:type="spellEnd"/>
            <w:r w:rsidRPr="00021269">
              <w:rPr>
                <w:sz w:val="16"/>
                <w:szCs w:val="16"/>
              </w:rPr>
              <w:t xml:space="preserve"> </w:t>
            </w:r>
            <w:proofErr w:type="spellStart"/>
            <w:r w:rsidRPr="00021269">
              <w:rPr>
                <w:sz w:val="16"/>
                <w:szCs w:val="16"/>
              </w:rPr>
              <w:t>Sápa</w:t>
            </w:r>
            <w:proofErr w:type="spellEnd"/>
            <w:r w:rsidRPr="00021269">
              <w:rPr>
                <w:sz w:val="16"/>
                <w:szCs w:val="16"/>
              </w:rPr>
              <w:t>) in South Dakota. Settler layers: Homestead-era European immigration, German Russian, Czech, Scandinavian; present-day agricultural and rural-decline communities. Ecology of shortgrass and tallgrass prairie, big-sky horizon, river-bottom timber, severe weather (tornado, blizzard) as defining environmental experience. Cultural framing of indigenous experience requires consultation.</w:t>
            </w:r>
          </w:p>
        </w:tc>
      </w:tr>
      <w:tr w:rsidR="00FC5913" w14:paraId="7864C621"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3F9D4" w14:textId="77777777" w:rsidR="00FC5913" w:rsidRPr="00021269" w:rsidRDefault="00000000">
            <w:pPr>
              <w:spacing w:before="20" w:after="20"/>
              <w:rPr>
                <w:sz w:val="16"/>
                <w:szCs w:val="16"/>
              </w:rPr>
            </w:pPr>
            <w:r w:rsidRPr="00021269">
              <w:rPr>
                <w:sz w:val="16"/>
                <w:szCs w:val="16"/>
              </w:rPr>
              <w:t>6</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941533" w14:textId="77777777" w:rsidR="00FC5913" w:rsidRPr="00021269" w:rsidRDefault="00000000">
            <w:pPr>
              <w:spacing w:before="20" w:after="20"/>
              <w:rPr>
                <w:sz w:val="16"/>
                <w:szCs w:val="16"/>
              </w:rPr>
            </w:pPr>
            <w:r w:rsidRPr="00021269">
              <w:rPr>
                <w:sz w:val="16"/>
                <w:szCs w:val="16"/>
              </w:rPr>
              <w:t>Rio Grande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FE47E8" w14:textId="77777777" w:rsidR="00FC5913" w:rsidRPr="00021269" w:rsidRDefault="00000000">
            <w:pPr>
              <w:spacing w:before="20" w:after="20"/>
              <w:rPr>
                <w:sz w:val="16"/>
                <w:szCs w:val="16"/>
              </w:rPr>
            </w:pPr>
            <w:r w:rsidRPr="00021269">
              <w:rPr>
                <w:sz w:val="16"/>
                <w:szCs w:val="16"/>
              </w:rPr>
              <w:t>Scrubland &amp; River Transition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944DB" w14:textId="77777777" w:rsidR="00FC5913" w:rsidRPr="00021269" w:rsidRDefault="00000000">
            <w:pPr>
              <w:spacing w:before="20" w:after="20"/>
              <w:rPr>
                <w:sz w:val="16"/>
                <w:szCs w:val="16"/>
              </w:rPr>
            </w:pPr>
            <w:r w:rsidRPr="00021269">
              <w:rPr>
                <w:sz w:val="16"/>
                <w:szCs w:val="16"/>
              </w:rPr>
              <w:t>TX, OK</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735A87" w14:textId="77777777" w:rsidR="00FC5913" w:rsidRPr="00021269" w:rsidRDefault="00000000">
            <w:pPr>
              <w:spacing w:before="20" w:after="20"/>
              <w:rPr>
                <w:sz w:val="16"/>
                <w:szCs w:val="16"/>
              </w:rPr>
            </w:pPr>
            <w:r w:rsidRPr="00021269">
              <w:rPr>
                <w:sz w:val="16"/>
                <w:szCs w:val="16"/>
              </w:rPr>
              <w:t>Caddo, Wichita, Tonkawa, Lipan Apache, Comanche, Kiowa nations historically. Oklahoma's reservation geography reflects the destination point of Indian Removal — Cherokee, Choctaw, Chickasaw, Muscogee (Creek), and Seminole Five Tribes alongside Plains and southwestern nations. Mexican-American (Tejano) deep history; the Rio Grande as a contested border for centuries. Settler layers: Spanish, Anglo-American cattle frontier, oil-boom urbanism, contemporary border communities. Ecology of mesquite scrub, oak savanna, river-corridor riparian, transition from eastern woodlands to true desert. Cultural framing of indigenous and Tejano experience requires consultation.</w:t>
            </w:r>
          </w:p>
        </w:tc>
      </w:tr>
      <w:tr w:rsidR="00FC5913" w14:paraId="6BDC92C5"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1DF11" w14:textId="77777777" w:rsidR="00FC5913" w:rsidRPr="00021269" w:rsidRDefault="00000000">
            <w:pPr>
              <w:spacing w:before="20" w:after="20"/>
              <w:rPr>
                <w:sz w:val="16"/>
                <w:szCs w:val="16"/>
              </w:rPr>
            </w:pPr>
            <w:r w:rsidRPr="00021269">
              <w:rPr>
                <w:sz w:val="16"/>
                <w:szCs w:val="16"/>
              </w:rPr>
              <w:t>7</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A76B6A" w14:textId="77777777" w:rsidR="00FC5913" w:rsidRPr="00021269" w:rsidRDefault="00000000">
            <w:pPr>
              <w:spacing w:before="20" w:after="20"/>
              <w:rPr>
                <w:sz w:val="16"/>
                <w:szCs w:val="16"/>
              </w:rPr>
            </w:pPr>
            <w:r w:rsidRPr="00021269">
              <w:rPr>
                <w:sz w:val="16"/>
                <w:szCs w:val="16"/>
              </w:rPr>
              <w:t>Sonoran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D08BFC" w14:textId="77777777" w:rsidR="00FC5913" w:rsidRPr="00021269" w:rsidRDefault="00000000">
            <w:pPr>
              <w:spacing w:before="20" w:after="20"/>
              <w:rPr>
                <w:sz w:val="16"/>
                <w:szCs w:val="16"/>
              </w:rPr>
            </w:pPr>
            <w:r w:rsidRPr="00021269">
              <w:rPr>
                <w:sz w:val="16"/>
                <w:szCs w:val="16"/>
              </w:rPr>
              <w:t>Arid Desert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73184" w14:textId="77777777" w:rsidR="00FC5913" w:rsidRPr="00021269" w:rsidRDefault="00000000">
            <w:pPr>
              <w:spacing w:before="20" w:after="20"/>
              <w:rPr>
                <w:sz w:val="16"/>
                <w:szCs w:val="16"/>
              </w:rPr>
            </w:pPr>
            <w:r w:rsidRPr="00021269">
              <w:rPr>
                <w:sz w:val="16"/>
                <w:szCs w:val="16"/>
              </w:rPr>
              <w:t>AZ, NM, West TX, Northern Mexico</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36F2C" w14:textId="77777777" w:rsidR="00FC5913" w:rsidRPr="00021269" w:rsidRDefault="00000000">
            <w:pPr>
              <w:spacing w:before="20" w:after="20"/>
              <w:rPr>
                <w:sz w:val="16"/>
                <w:szCs w:val="16"/>
              </w:rPr>
            </w:pPr>
            <w:r w:rsidRPr="00021269">
              <w:rPr>
                <w:sz w:val="16"/>
                <w:szCs w:val="16"/>
              </w:rPr>
              <w:t xml:space="preserve">Diné (Navajo) Nation, Tohono O'odham, Akimel O'odham, Apache (Western, Mescalero, Chiricahua, Jicarilla), Pueblo nations (Hopi, Zuni, and the Rio Grande pueblos), Yaqui, and others. The </w:t>
            </w:r>
            <w:proofErr w:type="spellStart"/>
            <w:r w:rsidRPr="00021269">
              <w:rPr>
                <w:sz w:val="16"/>
                <w:szCs w:val="16"/>
              </w:rPr>
              <w:t>Diné</w:t>
            </w:r>
            <w:proofErr w:type="spellEnd"/>
            <w:r w:rsidRPr="00021269">
              <w:rPr>
                <w:sz w:val="16"/>
                <w:szCs w:val="16"/>
              </w:rPr>
              <w:t xml:space="preserve"> homeland (</w:t>
            </w:r>
            <w:proofErr w:type="spellStart"/>
            <w:r w:rsidRPr="00021269">
              <w:rPr>
                <w:sz w:val="16"/>
                <w:szCs w:val="16"/>
              </w:rPr>
              <w:t>Diné</w:t>
            </w:r>
            <w:proofErr w:type="spellEnd"/>
            <w:r w:rsidRPr="00021269">
              <w:rPr>
                <w:sz w:val="16"/>
                <w:szCs w:val="16"/>
              </w:rPr>
              <w:t xml:space="preserve"> </w:t>
            </w:r>
            <w:proofErr w:type="spellStart"/>
            <w:r w:rsidRPr="00021269">
              <w:rPr>
                <w:sz w:val="16"/>
                <w:szCs w:val="16"/>
              </w:rPr>
              <w:t>Bikéyah</w:t>
            </w:r>
            <w:proofErr w:type="spellEnd"/>
            <w:r w:rsidRPr="00021269">
              <w:rPr>
                <w:sz w:val="16"/>
                <w:szCs w:val="16"/>
              </w:rPr>
              <w:t xml:space="preserve">) crosses into Region 8; see Cross-Regional Indigenous Territories. Hispanic/Mestizo deep history, particularly in New Mexico (settled before the English founded Jamestown). Settler layers: Spanish colonial, Mexican, Anglo-American, contemporary Mexican and Central American populations. Ecology of Sonoran and Chihuahuan desert, sky-island mountain ranges, mesa-and-canyon geography, </w:t>
            </w:r>
            <w:r w:rsidRPr="00021269">
              <w:rPr>
                <w:sz w:val="16"/>
                <w:szCs w:val="16"/>
              </w:rPr>
              <w:lastRenderedPageBreak/>
              <w:t>extreme aridity, intense light, dark-sky observable conditions. Cultural framing of indigenous and Hispano experience requires consultation.</w:t>
            </w:r>
          </w:p>
        </w:tc>
      </w:tr>
      <w:tr w:rsidR="00FC5913" w14:paraId="4FCA298C"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77AB8" w14:textId="77777777" w:rsidR="00FC5913" w:rsidRPr="00021269" w:rsidRDefault="00000000">
            <w:pPr>
              <w:spacing w:before="20" w:after="20"/>
              <w:rPr>
                <w:sz w:val="16"/>
                <w:szCs w:val="16"/>
              </w:rPr>
            </w:pPr>
            <w:r w:rsidRPr="00021269">
              <w:rPr>
                <w:sz w:val="16"/>
                <w:szCs w:val="16"/>
              </w:rPr>
              <w:lastRenderedPageBreak/>
              <w:t>8</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B8E94" w14:textId="77777777" w:rsidR="00FC5913" w:rsidRPr="00021269" w:rsidRDefault="00000000">
            <w:pPr>
              <w:spacing w:before="20" w:after="20"/>
              <w:rPr>
                <w:sz w:val="16"/>
                <w:szCs w:val="16"/>
              </w:rPr>
            </w:pPr>
            <w:r w:rsidRPr="00021269">
              <w:rPr>
                <w:sz w:val="16"/>
                <w:szCs w:val="16"/>
              </w:rPr>
              <w:t>Basin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9A445" w14:textId="77777777" w:rsidR="00FC5913" w:rsidRPr="00021269" w:rsidRDefault="00000000">
            <w:pPr>
              <w:spacing w:before="20" w:after="20"/>
              <w:rPr>
                <w:sz w:val="16"/>
                <w:szCs w:val="16"/>
              </w:rPr>
            </w:pPr>
            <w:r w:rsidRPr="00021269">
              <w:rPr>
                <w:sz w:val="16"/>
                <w:szCs w:val="16"/>
              </w:rPr>
              <w:t>High Desert Void &amp; The Cordillera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EFE979" w14:textId="77777777" w:rsidR="00FC5913" w:rsidRPr="00021269" w:rsidRDefault="00000000">
            <w:pPr>
              <w:spacing w:before="20" w:after="20"/>
              <w:rPr>
                <w:sz w:val="16"/>
                <w:szCs w:val="16"/>
              </w:rPr>
            </w:pPr>
            <w:r w:rsidRPr="00021269">
              <w:rPr>
                <w:sz w:val="16"/>
                <w:szCs w:val="16"/>
              </w:rPr>
              <w:t>NV, UT, Eastern CA, CO, WY, MT</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DC8AEB" w14:textId="77777777" w:rsidR="00FC5913" w:rsidRPr="00021269" w:rsidRDefault="00000000">
            <w:pPr>
              <w:spacing w:before="20" w:after="20"/>
              <w:rPr>
                <w:sz w:val="16"/>
                <w:szCs w:val="16"/>
              </w:rPr>
            </w:pPr>
            <w:r w:rsidRPr="00021269">
              <w:rPr>
                <w:sz w:val="16"/>
                <w:szCs w:val="16"/>
              </w:rPr>
              <w:t>Diné (Navajo) Nation extends into this region from Region 7; Ute, Paiute, Shoshone, Goshute, Bannock, Blackfeet, Crow, Salish-Kootenai, and other nations. The Great Basin as a distinct ecological and cultural region predating settler-state boundaries. Latter-day Saint settlement geography, particularly in Utah and parts of Idaho. Cold War nuclear test geography (Nevada Test Site) and military reservation density. Ecology of high desert, salt flats, basin-and-range topography, vast emptiness, cold winters, alpine cordillera. Cultural framing of indigenous and LDS-cultural experience requires consultation.</w:t>
            </w:r>
          </w:p>
        </w:tc>
      </w:tr>
      <w:tr w:rsidR="00FC5913" w14:paraId="306950DF"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A8B7FA" w14:textId="77777777" w:rsidR="00FC5913" w:rsidRPr="00021269" w:rsidRDefault="00000000">
            <w:pPr>
              <w:spacing w:before="20" w:after="20"/>
              <w:rPr>
                <w:sz w:val="16"/>
                <w:szCs w:val="16"/>
              </w:rPr>
            </w:pPr>
            <w:r w:rsidRPr="00021269">
              <w:rPr>
                <w:sz w:val="16"/>
                <w:szCs w:val="16"/>
              </w:rPr>
              <w:t>9</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A6BCAC" w14:textId="77777777" w:rsidR="00FC5913" w:rsidRPr="00021269" w:rsidRDefault="00000000">
            <w:pPr>
              <w:spacing w:before="20" w:after="20"/>
              <w:rPr>
                <w:sz w:val="16"/>
                <w:szCs w:val="16"/>
              </w:rPr>
            </w:pPr>
            <w:r w:rsidRPr="00021269">
              <w:rPr>
                <w:sz w:val="16"/>
                <w:szCs w:val="16"/>
              </w:rPr>
              <w:t>Alta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0FDEF" w14:textId="77777777" w:rsidR="00FC5913" w:rsidRPr="00021269" w:rsidRDefault="00000000">
            <w:pPr>
              <w:spacing w:before="20" w:after="20"/>
              <w:rPr>
                <w:sz w:val="16"/>
                <w:szCs w:val="16"/>
              </w:rPr>
            </w:pPr>
            <w:r w:rsidRPr="00021269">
              <w:rPr>
                <w:sz w:val="16"/>
                <w:szCs w:val="16"/>
              </w:rPr>
              <w:t>Mediterranean Coast &amp; Urban Sprawl</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3A7F6F" w14:textId="77777777" w:rsidR="00FC5913" w:rsidRPr="00021269" w:rsidRDefault="00000000">
            <w:pPr>
              <w:spacing w:before="20" w:after="20"/>
              <w:rPr>
                <w:sz w:val="16"/>
                <w:szCs w:val="16"/>
              </w:rPr>
            </w:pPr>
            <w:r w:rsidRPr="00021269">
              <w:rPr>
                <w:sz w:val="16"/>
                <w:szCs w:val="16"/>
              </w:rPr>
              <w:t>Coastal CA (SF to San Diego), Baja</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79559" w14:textId="77777777" w:rsidR="00FC5913" w:rsidRPr="00021269" w:rsidRDefault="00000000">
            <w:pPr>
              <w:spacing w:before="20" w:after="20"/>
              <w:rPr>
                <w:sz w:val="16"/>
                <w:szCs w:val="16"/>
              </w:rPr>
            </w:pPr>
            <w:r w:rsidRPr="00021269">
              <w:rPr>
                <w:sz w:val="16"/>
                <w:szCs w:val="16"/>
              </w:rPr>
              <w:t>Ohlone, Costanoan, Chumash, Tongva (Gabrielino), Kumeyaay, and other coastal California nations. Spanish mission geography and its legacy. Mexican-American deep history, particularly in Southern California; the most populous Latin American diaspora communities in the United States. Asian American communities of multi-generational depth (especially Chinese, Japanese, Filipino, Vietnamese, Korean). Coast Salish territory crosses into the Cascadia border at the north. Settler layers: Gold Rush, mid-century urbanization, Cold War aerospace, late-century tech industry. Ecology of Mediterranean climate, fire regime, coastal fog, chaparral, the Pacific as cultural-cosmological boundary. Cultural framing of indigenous, Hispano, and Asian American experience requires consultation.</w:t>
            </w:r>
          </w:p>
        </w:tc>
      </w:tr>
      <w:tr w:rsidR="00FC5913" w14:paraId="479B94CC"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50572C" w14:textId="77777777" w:rsidR="00FC5913" w:rsidRPr="00021269" w:rsidRDefault="00000000">
            <w:pPr>
              <w:spacing w:before="20" w:after="20"/>
              <w:rPr>
                <w:sz w:val="16"/>
                <w:szCs w:val="16"/>
              </w:rPr>
            </w:pPr>
            <w:r w:rsidRPr="00021269">
              <w:rPr>
                <w:sz w:val="16"/>
                <w:szCs w:val="16"/>
              </w:rPr>
              <w:t>10</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2D1CDC" w14:textId="77777777" w:rsidR="00FC5913" w:rsidRPr="00021269" w:rsidRDefault="00000000">
            <w:pPr>
              <w:spacing w:before="20" w:after="20"/>
              <w:rPr>
                <w:sz w:val="16"/>
                <w:szCs w:val="16"/>
              </w:rPr>
            </w:pPr>
            <w:r w:rsidRPr="00021269">
              <w:rPr>
                <w:sz w:val="16"/>
                <w:szCs w:val="16"/>
              </w:rPr>
              <w:t>Cascadia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8F0A5" w14:textId="77777777" w:rsidR="00FC5913" w:rsidRPr="00021269" w:rsidRDefault="00000000">
            <w:pPr>
              <w:spacing w:before="20" w:after="20"/>
              <w:rPr>
                <w:sz w:val="16"/>
                <w:szCs w:val="16"/>
              </w:rPr>
            </w:pPr>
            <w:r w:rsidRPr="00021269">
              <w:rPr>
                <w:sz w:val="16"/>
                <w:szCs w:val="16"/>
              </w:rPr>
              <w:t>Temperate Rainforest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4EA25" w14:textId="77777777" w:rsidR="00FC5913" w:rsidRPr="00021269" w:rsidRDefault="00000000">
            <w:pPr>
              <w:spacing w:before="20" w:after="20"/>
              <w:rPr>
                <w:sz w:val="16"/>
                <w:szCs w:val="16"/>
              </w:rPr>
            </w:pPr>
            <w:r w:rsidRPr="00021269">
              <w:rPr>
                <w:sz w:val="16"/>
                <w:szCs w:val="16"/>
              </w:rPr>
              <w:t>WA, OR, Northern ID, BC, SE Alaska</w:t>
            </w:r>
          </w:p>
        </w:tc>
        <w:tc>
          <w:tcPr>
            <w:tcW w:w="7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C75F30" w14:textId="77777777" w:rsidR="00FC5913" w:rsidRPr="00021269" w:rsidRDefault="00000000">
            <w:pPr>
              <w:spacing w:before="20" w:after="20"/>
              <w:rPr>
                <w:sz w:val="16"/>
                <w:szCs w:val="16"/>
              </w:rPr>
            </w:pPr>
            <w:r w:rsidRPr="00021269">
              <w:rPr>
                <w:sz w:val="16"/>
                <w:szCs w:val="16"/>
              </w:rPr>
              <w:t>Coast Salish nations (Lummi, Tulalip, Suquamish, Snoqualmie, Duwamish, Squamish, and many others), Chinookan-speaking nations along the lower Columbia, Salish interior nations (Spokane, Colville, Kalispel, Kootenai), Nuu-chah-nulth on Vancouver Island, Tlingit and Haida in SE Alaska. Strong tradition of present-day indigenous cultural and political assertion — many nations with active treaty rights, language revitalization, and sovereign self-government. Coast Salish territory crosses into Region 9 (Alta) and into BC. Settler layers: Hudson's Bay Company fur trade, Scandinavian and Finnish maritime/logging, Japanese American (pre- and post-internment), late 19th-century settlement, contemporary tech-industry transformation of Puget Sound. Persistent rural-urban divide between west-of-Cascades and east-of-Cascades. Ecology of temperate rainforest, the Salish Sea, volcanic Cascade range, fog and rain as defining sensory features, old-growth forest as both ecological and cultural fact. Founding unit of the APS; current operational center. Cultural framing of indigenous experience requires consultation.</w:t>
            </w:r>
          </w:p>
        </w:tc>
      </w:tr>
    </w:tbl>
    <w:p w14:paraId="36A82037" w14:textId="77777777" w:rsidR="00FC5913" w:rsidRDefault="00000000">
      <w:pPr>
        <w:spacing w:before="100" w:after="100"/>
      </w:pPr>
      <w:r>
        <w:rPr>
          <w:b/>
          <w:bCs/>
        </w:rPr>
        <w:t xml:space="preserve">Cross-Regional Indigenous Territories. </w:t>
      </w:r>
      <w:r>
        <w:t xml:space="preserve">Several indigenous nations and traditional territories cross APS regional boundaries. The most visible case is </w:t>
      </w:r>
      <w:proofErr w:type="spellStart"/>
      <w:r>
        <w:t>Diné</w:t>
      </w:r>
      <w:proofErr w:type="spellEnd"/>
      <w:r>
        <w:t xml:space="preserve"> </w:t>
      </w:r>
      <w:proofErr w:type="spellStart"/>
      <w:r>
        <w:t>Bikéyah</w:t>
      </w:r>
      <w:proofErr w:type="spellEnd"/>
      <w:r>
        <w:t xml:space="preserve">, which crosses Region 7 / Region 8. Coast Salish territory crosses Region 10 / Region 9 and the WA / BC national line. Wabanaki, Haudenosaunee, Anishinaabe, and Ute territories cross multiple regional lines. The operating principles for cross-regional cosmologies — that </w:t>
      </w:r>
      <w:r>
        <w:rPr>
          <w:rFonts w:ascii="Courier New" w:eastAsia="Courier New" w:hAnsi="Courier New" w:cs="Courier New"/>
        </w:rPr>
        <w:t>indigenous_territory</w:t>
      </w:r>
      <w:r>
        <w:t xml:space="preserve"> coding takes precedence over regional unit assignment for cultural-protocol purposes, and that Type IX cases route to consultation by tradition rather than by administrative region — are stated in the </w:t>
      </w:r>
      <w:r>
        <w:rPr>
          <w:i/>
          <w:iCs/>
        </w:rPr>
        <w:t>Mission Statement</w:t>
      </w:r>
      <w:r>
        <w:t xml:space="preserve"> §5.0.</w:t>
      </w:r>
    </w:p>
    <w:p w14:paraId="6AE8AA1B" w14:textId="77777777" w:rsidR="00FC5913" w:rsidRDefault="00000000">
      <w:pPr>
        <w:pStyle w:val="Heading2"/>
      </w:pPr>
      <w:r>
        <w:t>Notes on the regional table</w:t>
      </w:r>
    </w:p>
    <w:p w14:paraId="7AD2BCA0" w14:textId="77777777" w:rsidR="00FC5913" w:rsidRDefault="00000000">
      <w:pPr>
        <w:spacing w:before="100" w:after="100"/>
      </w:pPr>
      <w:r>
        <w:rPr>
          <w:b/>
          <w:bCs/>
        </w:rPr>
        <w:t xml:space="preserve">On the indigenous nations enumerated. </w:t>
      </w:r>
      <w:r>
        <w:t>The lists in each region's Cultural / Regional Context entry are partial and historical-geographic. They are intended to inform the analyst's ability to recognize cultural-cosmological frames a witness may invoke, not to enumerate the indigenous nations of a region. Each region likely contains additional nations, communities, and cultural traditions not named here. The native-land.ca dataset is a more complete reference for territory lookup; the Master Data Protocol §4.1 documents the lookup procedure.</w:t>
      </w:r>
    </w:p>
    <w:p w14:paraId="019B38D8" w14:textId="77777777" w:rsidR="00FC5913" w:rsidRDefault="00000000">
      <w:pPr>
        <w:spacing w:before="100" w:after="100"/>
      </w:pPr>
      <w:r>
        <w:rPr>
          <w:b/>
          <w:bCs/>
        </w:rPr>
        <w:lastRenderedPageBreak/>
        <w:t xml:space="preserve">On settler-cultural context. </w:t>
      </w:r>
      <w:r>
        <w:t>The table names settler cultural layers (Scots-Irish, Scandinavian, LDS, French Acadian, and others) where they are dense and historically distinctive, because these communities have their own folkloric traditions that bear on Type IX framing in non-indigenous cases. A New Englander who frames an experience through Puritan-descended Spiritualist Church tradition is making a cultural-cosmological claim as analytically significant as any other. The principle is even-handed: any framework the witness brings is preserved as primary data.</w:t>
      </w:r>
    </w:p>
    <w:p w14:paraId="3AE06D8B" w14:textId="77777777" w:rsidR="00FC5913" w:rsidRDefault="00000000">
      <w:pPr>
        <w:spacing w:before="100" w:after="100"/>
      </w:pPr>
      <w:r>
        <w:rPr>
          <w:b/>
          <w:bCs/>
        </w:rPr>
        <w:t xml:space="preserve">Omissions worth flagging. </w:t>
      </w:r>
      <w:r>
        <w:t>Several regions have important cultural context that is only sketched in the current entries. These gaps should be filled in by people with closer familiarity than the current text reflects — typically a regional unit manager or analyst working in that region, in consultation with the relevant communities.</w:t>
      </w:r>
    </w:p>
    <w:p w14:paraId="4ED73461" w14:textId="77777777" w:rsidR="00FC5913" w:rsidRDefault="00000000">
      <w:pPr>
        <w:pStyle w:val="ListParagraph"/>
        <w:numPr>
          <w:ilvl w:val="0"/>
          <w:numId w:val="2"/>
        </w:numPr>
        <w:spacing w:before="30" w:after="30"/>
      </w:pPr>
      <w:r>
        <w:rPr>
          <w:b/>
          <w:bCs/>
        </w:rPr>
        <w:t xml:space="preserve">Meridian </w:t>
      </w:r>
      <w:r>
        <w:t>under-represents the depth of African diasporic religious traditions. Vodou, Hoodoo, Conjure, and the Spiritualist Church are named, but the texture and internal distinctions of these traditions deserve substantially more space than the table currently affords.</w:t>
      </w:r>
    </w:p>
    <w:p w14:paraId="31014C19" w14:textId="77777777" w:rsidR="00FC5913" w:rsidRDefault="00000000">
      <w:pPr>
        <w:pStyle w:val="ListParagraph"/>
        <w:numPr>
          <w:ilvl w:val="0"/>
          <w:numId w:val="2"/>
        </w:numPr>
        <w:spacing w:before="30" w:after="30"/>
      </w:pPr>
      <w:r>
        <w:rPr>
          <w:b/>
          <w:bCs/>
        </w:rPr>
        <w:t xml:space="preserve">Alta </w:t>
      </w:r>
      <w:r>
        <w:t>under-represents Asian American religious and cosmological traditions — Buddhist (multiple schools), Daoist, Shinto, Vietnamese popular religion, Filipino Catholic syncretism, and others — that may be active framings in Type IX cases.</w:t>
      </w:r>
    </w:p>
    <w:p w14:paraId="19D13346" w14:textId="77777777" w:rsidR="00FC5913" w:rsidRDefault="00000000">
      <w:pPr>
        <w:pStyle w:val="ListParagraph"/>
        <w:numPr>
          <w:ilvl w:val="0"/>
          <w:numId w:val="2"/>
        </w:numPr>
        <w:spacing w:before="30" w:after="30"/>
      </w:pPr>
      <w:r>
        <w:rPr>
          <w:b/>
          <w:bCs/>
        </w:rPr>
        <w:t xml:space="preserve">Heartland </w:t>
      </w:r>
      <w:r>
        <w:t>does not name the Mennonite, Hutterite, and Amish anabaptist communities that have substantial presence in some areas of this region and their own folkloric traditions.</w:t>
      </w:r>
    </w:p>
    <w:p w14:paraId="09A8D641" w14:textId="77777777" w:rsidR="00FC5913" w:rsidRDefault="00000000">
      <w:pPr>
        <w:spacing w:before="100" w:after="100"/>
      </w:pPr>
      <w:r>
        <w:rPr>
          <w:b/>
          <w:bCs/>
        </w:rPr>
        <w:t xml:space="preserve">On what is deliberately excluded. </w:t>
      </w:r>
      <w:r>
        <w:t>Earlier versions of the regional structure used a "Focus" column listing phenomenological keywords ("Sasquatch/Hominids," "UAP/UFO activity," "Skinwalker lore," "The Hum," and so on). These are absent from the current Cultural / Regional Context column by design. Per the Universal Type Collection principle (Mission Statement §4.2), no region owns a phenomenon. Cross-regional distribution of phenomena is what makes the archive analytically valuable, and that distribution can only be measured if collection is universal and not pre-shaped by regional expectation.</w:t>
      </w:r>
    </w:p>
    <w:p w14:paraId="2D303C94" w14:textId="77777777" w:rsidR="00FC5913" w:rsidRDefault="00000000">
      <w:pPr>
        <w:pStyle w:val="Heading1"/>
      </w:pPr>
      <w:r>
        <w:t>Taxonomy</w:t>
      </w:r>
    </w:p>
    <w:p w14:paraId="2E90BFC0" w14:textId="77777777" w:rsidR="00FC5913" w:rsidRDefault="00000000">
      <w:pPr>
        <w:spacing w:before="100" w:after="100"/>
      </w:pPr>
      <w:r>
        <w:t xml:space="preserve">The APS taxonomy distinguishes nine types of anomalous experience. Every case receives one primary type and any number of secondary type tags, plus cross-cutting attributes (substrate, witness configuration, narrative frame, cultural frame flag, indigenous territory, Oz Factor flag). Full type definitions, boundary rules, and coding guidance live in the </w:t>
      </w:r>
      <w:r>
        <w:rPr>
          <w:i/>
          <w:iCs/>
        </w:rPr>
        <w:t>Master Data Protocol</w:t>
      </w:r>
      <w:r>
        <w:t>; what follows is a one-line summary of each.</w:t>
      </w:r>
    </w:p>
    <w:p w14:paraId="0218F542" w14:textId="77777777" w:rsidR="00FC5913" w:rsidRDefault="00000000">
      <w:pPr>
        <w:pStyle w:val="ListParagraph"/>
        <w:numPr>
          <w:ilvl w:val="0"/>
          <w:numId w:val="2"/>
        </w:numPr>
        <w:spacing w:before="30" w:after="30"/>
      </w:pPr>
      <w:r>
        <w:rPr>
          <w:b/>
          <w:bCs/>
        </w:rPr>
        <w:t xml:space="preserve">TYPE I — Liminal: </w:t>
      </w:r>
      <w:r>
        <w:t xml:space="preserve">spatial distortions, missing time, threshold crossings; digital-substrate cases are coded here with </w:t>
      </w:r>
      <w:r>
        <w:rPr>
          <w:rFonts w:ascii="Courier New" w:eastAsia="Courier New" w:hAnsi="Courier New" w:cs="Courier New"/>
        </w:rPr>
        <w:t>substrate = DIGITAL</w:t>
      </w:r>
      <w:r>
        <w:t>.</w:t>
      </w:r>
    </w:p>
    <w:p w14:paraId="1285838D" w14:textId="77777777" w:rsidR="00FC5913" w:rsidRDefault="00000000">
      <w:pPr>
        <w:pStyle w:val="ListParagraph"/>
        <w:numPr>
          <w:ilvl w:val="0"/>
          <w:numId w:val="2"/>
        </w:numPr>
        <w:spacing w:before="30" w:after="30"/>
      </w:pPr>
      <w:r>
        <w:rPr>
          <w:b/>
          <w:bCs/>
        </w:rPr>
        <w:t xml:space="preserve">TYPE II — Crypto-Bio: </w:t>
      </w:r>
      <w:r>
        <w:t>unknown biological entities exhibiting physical presence.</w:t>
      </w:r>
    </w:p>
    <w:p w14:paraId="27146FE6" w14:textId="77777777" w:rsidR="00FC5913" w:rsidRDefault="00000000">
      <w:pPr>
        <w:pStyle w:val="ListParagraph"/>
        <w:numPr>
          <w:ilvl w:val="0"/>
          <w:numId w:val="2"/>
        </w:numPr>
        <w:spacing w:before="30" w:after="30"/>
      </w:pPr>
      <w:r>
        <w:rPr>
          <w:b/>
          <w:bCs/>
        </w:rPr>
        <w:t xml:space="preserve">TYPE III — Aerial / Tech: </w:t>
      </w:r>
      <w:r>
        <w:t>UAP, anomalous lights, structured craft, hardware failure.</w:t>
      </w:r>
    </w:p>
    <w:p w14:paraId="56159375" w14:textId="77777777" w:rsidR="00FC5913" w:rsidRDefault="00000000">
      <w:pPr>
        <w:pStyle w:val="ListParagraph"/>
        <w:numPr>
          <w:ilvl w:val="0"/>
          <w:numId w:val="2"/>
        </w:numPr>
        <w:spacing w:before="30" w:after="30"/>
      </w:pPr>
      <w:r>
        <w:rPr>
          <w:b/>
          <w:bCs/>
        </w:rPr>
        <w:t xml:space="preserve">TYPE IV — Noetic / Psychic: </w:t>
      </w:r>
      <w:r>
        <w:t>pre-cognitive dreams, telepathy, anomalous knowledge.</w:t>
      </w:r>
    </w:p>
    <w:p w14:paraId="14C6E598" w14:textId="77777777" w:rsidR="00FC5913" w:rsidRDefault="00000000">
      <w:pPr>
        <w:pStyle w:val="ListParagraph"/>
        <w:numPr>
          <w:ilvl w:val="0"/>
          <w:numId w:val="2"/>
        </w:numPr>
        <w:spacing w:before="30" w:after="30"/>
      </w:pPr>
      <w:r>
        <w:rPr>
          <w:b/>
          <w:bCs/>
        </w:rPr>
        <w:t xml:space="preserve">TYPE V — Material / Poltergeist: </w:t>
      </w:r>
      <w:r>
        <w:t>physical interaction with the environment without identifiable cause.</w:t>
      </w:r>
    </w:p>
    <w:p w14:paraId="2D62B5E3" w14:textId="77777777" w:rsidR="00FC5913" w:rsidRDefault="00000000">
      <w:pPr>
        <w:pStyle w:val="ListParagraph"/>
        <w:numPr>
          <w:ilvl w:val="0"/>
          <w:numId w:val="2"/>
        </w:numPr>
        <w:spacing w:before="30" w:after="30"/>
      </w:pPr>
      <w:r>
        <w:rPr>
          <w:b/>
          <w:bCs/>
        </w:rPr>
        <w:t xml:space="preserve">TYPE VI — Entity / Threshold: </w:t>
      </w:r>
      <w:r>
        <w:t>non-biological entity contact, ancestral visitation, the seen.</w:t>
      </w:r>
    </w:p>
    <w:p w14:paraId="3EE88BBF" w14:textId="77777777" w:rsidR="00FC5913" w:rsidRDefault="00000000">
      <w:pPr>
        <w:pStyle w:val="ListParagraph"/>
        <w:numPr>
          <w:ilvl w:val="0"/>
          <w:numId w:val="2"/>
        </w:numPr>
        <w:spacing w:before="30" w:after="30"/>
      </w:pPr>
      <w:r>
        <w:rPr>
          <w:b/>
          <w:bCs/>
        </w:rPr>
        <w:t xml:space="preserve">TYPE VII — Place / Genius Loci: </w:t>
      </w:r>
      <w:r>
        <w:t>persistent anomalous properties of locations across witnesses and time.</w:t>
      </w:r>
    </w:p>
    <w:p w14:paraId="7A4606C2" w14:textId="77777777" w:rsidR="00FC5913" w:rsidRDefault="00000000">
      <w:pPr>
        <w:pStyle w:val="ListParagraph"/>
        <w:numPr>
          <w:ilvl w:val="0"/>
          <w:numId w:val="2"/>
        </w:numPr>
        <w:spacing w:before="30" w:after="30"/>
      </w:pPr>
      <w:r>
        <w:rPr>
          <w:b/>
          <w:bCs/>
        </w:rPr>
        <w:t xml:space="preserve">TYPE VIII — Energetic / Environmental: </w:t>
      </w:r>
      <w:r>
        <w:t>diffuse energetic phenomena; the Hum as exterior phenomenon.</w:t>
      </w:r>
    </w:p>
    <w:p w14:paraId="6B7E41A7" w14:textId="77777777" w:rsidR="00FC5913" w:rsidRDefault="00000000">
      <w:pPr>
        <w:pStyle w:val="ListParagraph"/>
        <w:numPr>
          <w:ilvl w:val="0"/>
          <w:numId w:val="2"/>
        </w:numPr>
        <w:spacing w:before="30" w:after="30"/>
      </w:pPr>
      <w:r>
        <w:rPr>
          <w:b/>
          <w:bCs/>
        </w:rPr>
        <w:t xml:space="preserve">TYPE IX — Cultural / Cosmological: </w:t>
      </w:r>
      <w:r>
        <w:t>experiences explicitly framed within a specific cultural cosmology; requires sensitivity-protocol consultation.</w:t>
      </w:r>
    </w:p>
    <w:p w14:paraId="65A98333" w14:textId="77777777" w:rsidR="00FC5913" w:rsidRDefault="00000000">
      <w:pPr>
        <w:pStyle w:val="Heading1"/>
      </w:pPr>
      <w:r>
        <w:lastRenderedPageBreak/>
        <w:t>Operational Flairs</w:t>
      </w:r>
    </w:p>
    <w:p w14:paraId="331B2C25" w14:textId="77777777" w:rsidR="00FC5913" w:rsidRDefault="00000000">
      <w:pPr>
        <w:spacing w:before="100" w:after="100"/>
      </w:pPr>
      <w:r>
        <w:t>The project uses a small set of operational flair markers for cross-unit communication, Reddit publication, and administrative tagging:</w:t>
      </w:r>
    </w:p>
    <w:p w14:paraId="34796182" w14:textId="77777777" w:rsidR="00FC5913" w:rsidRDefault="00000000">
      <w:pPr>
        <w:pStyle w:val="ListParagraph"/>
        <w:numPr>
          <w:ilvl w:val="0"/>
          <w:numId w:val="2"/>
        </w:numPr>
        <w:spacing w:before="30" w:after="30"/>
      </w:pPr>
      <w:r>
        <w:t>🟩 FIELD REPORT  —  a witness-derived case (any type, any region).</w:t>
      </w:r>
    </w:p>
    <w:p w14:paraId="2F9E7871" w14:textId="77777777" w:rsidR="00FC5913" w:rsidRDefault="00000000">
      <w:pPr>
        <w:pStyle w:val="ListParagraph"/>
        <w:numPr>
          <w:ilvl w:val="0"/>
          <w:numId w:val="2"/>
        </w:numPr>
        <w:spacing w:before="30" w:after="30"/>
      </w:pPr>
      <w:r>
        <w:t>🟧 SECTOR: [REGION NAME]  —  regional unit attribution; appears alongside FIELD REPORT for inbound cases.</w:t>
      </w:r>
    </w:p>
    <w:p w14:paraId="6D7F5413" w14:textId="77777777" w:rsidR="00FC5913" w:rsidRDefault="00000000">
      <w:pPr>
        <w:pStyle w:val="ListParagraph"/>
        <w:numPr>
          <w:ilvl w:val="0"/>
          <w:numId w:val="2"/>
        </w:numPr>
        <w:spacing w:before="30" w:after="30"/>
      </w:pPr>
      <w:r>
        <w:t>🟦 ADMIN / META  —  internal or project-level communication, not a case report.</w:t>
      </w:r>
    </w:p>
    <w:p w14:paraId="48C9529D" w14:textId="77777777" w:rsidR="00FC5913" w:rsidRDefault="00000000">
      <w:pPr>
        <w:pStyle w:val="Heading1"/>
      </w:pPr>
      <w:r>
        <w:t>Current Objectives</w:t>
      </w:r>
    </w:p>
    <w:p w14:paraId="6E7338A9" w14:textId="77777777" w:rsidR="00FC5913" w:rsidRDefault="00000000">
      <w:pPr>
        <w:spacing w:before="100" w:after="100"/>
      </w:pPr>
      <w:r>
        <w:t>The project's working roster. This is the one section of the Project State Document that is expected to change frequently. Treat the lists below as the live tracker.</w:t>
      </w:r>
    </w:p>
    <w:p w14:paraId="55518D40" w14:textId="77777777" w:rsidR="00FC5913" w:rsidRDefault="00000000">
      <w:pPr>
        <w:pStyle w:val="Heading2"/>
      </w:pPr>
      <w:r>
        <w:t>Completed</w:t>
      </w:r>
    </w:p>
    <w:p w14:paraId="34A4B2A2" w14:textId="77777777" w:rsidR="00FC5913" w:rsidRDefault="00000000">
      <w:pPr>
        <w:spacing w:before="100" w:after="100"/>
      </w:pPr>
      <w:r>
        <w:t>Substantive work delivered in the current operational cycle.</w:t>
      </w:r>
    </w:p>
    <w:p w14:paraId="2D65B749" w14:textId="77777777" w:rsidR="00FC5913" w:rsidRDefault="00000000">
      <w:pPr>
        <w:pStyle w:val="ListParagraph"/>
        <w:numPr>
          <w:ilvl w:val="0"/>
          <w:numId w:val="2"/>
        </w:numPr>
        <w:spacing w:before="30" w:after="30"/>
      </w:pPr>
      <w:r>
        <w:t>Nine-type taxonomy ratified across the Cascadia unit and reflected in all collection instruments.</w:t>
      </w:r>
    </w:p>
    <w:p w14:paraId="32353B78" w14:textId="77777777" w:rsidR="00FC5913" w:rsidRDefault="00000000">
      <w:pPr>
        <w:pStyle w:val="ListParagraph"/>
        <w:numPr>
          <w:ilvl w:val="0"/>
          <w:numId w:val="2"/>
        </w:numPr>
        <w:spacing w:before="30" w:after="30"/>
      </w:pPr>
      <w:r>
        <w:t>Public portal language audited and rewritten — "Algorithmic Synchronicity" replaced with plain-language equivalent; Iceberg Method observed throughout witness-facing materials.</w:t>
      </w:r>
    </w:p>
    <w:p w14:paraId="3F373D2A" w14:textId="77777777" w:rsidR="00FC5913" w:rsidRDefault="00000000">
      <w:pPr>
        <w:pStyle w:val="ListParagraph"/>
        <w:numPr>
          <w:ilvl w:val="0"/>
          <w:numId w:val="2"/>
        </w:numPr>
        <w:spacing w:before="30" w:after="30"/>
      </w:pPr>
      <w:r>
        <w:t>Schema and infrastructure deployed: Master Data Protocol, Field Instrument, Field Questionnaire, index.html web form, Apps Script submission handler, CSV header standards.</w:t>
      </w:r>
    </w:p>
    <w:p w14:paraId="4532548A" w14:textId="77777777" w:rsidR="00FC5913" w:rsidRDefault="00000000">
      <w:pPr>
        <w:pStyle w:val="ListParagraph"/>
        <w:numPr>
          <w:ilvl w:val="0"/>
          <w:numId w:val="2"/>
        </w:numPr>
        <w:spacing w:before="30" w:after="30"/>
      </w:pPr>
      <w:r>
        <w:t>Universal Type Collection Across All Regions formalized as a foundational principle (Mission Statement §4.2).</w:t>
      </w:r>
    </w:p>
    <w:p w14:paraId="36E21BA2" w14:textId="77777777" w:rsidR="00FC5913" w:rsidRDefault="00000000">
      <w:pPr>
        <w:pStyle w:val="ListParagraph"/>
        <w:numPr>
          <w:ilvl w:val="0"/>
          <w:numId w:val="2"/>
        </w:numPr>
        <w:spacing w:before="30" w:after="30"/>
      </w:pPr>
      <w:r>
        <w:t>Regional Structure table rewritten — Focus column replaced with descriptive Cultural / Regional Context.</w:t>
      </w:r>
    </w:p>
    <w:p w14:paraId="1B4AE61A" w14:textId="77777777" w:rsidR="00FC5913" w:rsidRDefault="00000000">
      <w:pPr>
        <w:pStyle w:val="ListParagraph"/>
        <w:numPr>
          <w:ilvl w:val="0"/>
          <w:numId w:val="2"/>
        </w:numPr>
        <w:spacing w:before="30" w:after="30"/>
      </w:pPr>
      <w:r>
        <w:t xml:space="preserve">Schema field </w:t>
      </w:r>
      <w:r>
        <w:rPr>
          <w:rFonts w:ascii="Courier New" w:eastAsia="Courier New" w:hAnsi="Courier New" w:cs="Courier New"/>
        </w:rPr>
        <w:t>indigenous_territory</w:t>
      </w:r>
      <w:r>
        <w:t xml:space="preserve"> added; native-land.ca lookup procedure documented; witness-framing precedence rule established.</w:t>
      </w:r>
    </w:p>
    <w:p w14:paraId="236A3B87" w14:textId="77777777" w:rsidR="00FC5913" w:rsidRDefault="00000000">
      <w:pPr>
        <w:pStyle w:val="ListParagraph"/>
        <w:numPr>
          <w:ilvl w:val="0"/>
          <w:numId w:val="2"/>
        </w:numPr>
        <w:spacing w:before="30" w:after="30"/>
      </w:pPr>
      <w:r>
        <w:t>Document set consolidation completed: Mission Statement, Operations Manual, Master Data Protocol, Field Manual, Changelog. Version language excised from reference documents; foundational principles centralized in Mission Statement.</w:t>
      </w:r>
    </w:p>
    <w:p w14:paraId="3D7A79D8" w14:textId="77777777" w:rsidR="00FC5913" w:rsidRDefault="00000000">
      <w:pPr>
        <w:pStyle w:val="ListParagraph"/>
        <w:numPr>
          <w:ilvl w:val="0"/>
          <w:numId w:val="2"/>
        </w:numPr>
        <w:spacing w:before="30" w:after="30"/>
      </w:pPr>
      <w:r>
        <w:t>Cascadia-specific tradecraft documented in Field Manual: location vocabulary, environmental base-rate notes, deployment field conditions, verified crisis-line numbers, cross-regional cosmology coaching.</w:t>
      </w:r>
    </w:p>
    <w:p w14:paraId="1EA1181B" w14:textId="77777777" w:rsidR="00FC5913" w:rsidRDefault="00000000">
      <w:pPr>
        <w:pStyle w:val="Heading2"/>
      </w:pPr>
      <w:r>
        <w:t>Active</w:t>
      </w:r>
    </w:p>
    <w:p w14:paraId="252685F9" w14:textId="77777777" w:rsidR="00FC5913" w:rsidRDefault="00000000">
      <w:pPr>
        <w:spacing w:before="100" w:after="100"/>
      </w:pPr>
      <w:r>
        <w:t>Work currently in progress.</w:t>
      </w:r>
    </w:p>
    <w:p w14:paraId="51EE63D8" w14:textId="77777777" w:rsidR="00FC5913" w:rsidRDefault="00000000">
      <w:pPr>
        <w:pStyle w:val="ListParagraph"/>
        <w:numPr>
          <w:ilvl w:val="0"/>
          <w:numId w:val="2"/>
        </w:numPr>
        <w:spacing w:before="30" w:after="30"/>
      </w:pPr>
      <w:r>
        <w:t>Develop Type IX sensitivity protocols, in consultation with relevant indigenous and cultural communities. Cascadia is the active deployment region; Type IX cases should be collected but interpretive coding deferred until consultation protocols are in place.</w:t>
      </w:r>
    </w:p>
    <w:p w14:paraId="41792CC3" w14:textId="77777777" w:rsidR="00FC5913" w:rsidRDefault="00000000">
      <w:pPr>
        <w:pStyle w:val="ListParagraph"/>
        <w:numPr>
          <w:ilvl w:val="0"/>
          <w:numId w:val="2"/>
        </w:numPr>
        <w:spacing w:before="30" w:after="30"/>
      </w:pPr>
      <w:r>
        <w:t xml:space="preserve">Develop the canonical </w:t>
      </w:r>
      <w:r>
        <w:rPr>
          <w:rFonts w:ascii="Courier New" w:eastAsia="Courier New" w:hAnsi="Courier New" w:cs="Courier New"/>
        </w:rPr>
        <w:t>indigenous_territory</w:t>
      </w:r>
      <w:r>
        <w:t xml:space="preserve"> vocabulary in consultation with relevant communities. Treat the provisional starter mapping in Master Data Protocol §4.2 as illustrative, not authoritative.</w:t>
      </w:r>
    </w:p>
    <w:p w14:paraId="60B6FFC4" w14:textId="77777777" w:rsidR="00FC5913" w:rsidRDefault="00000000">
      <w:pPr>
        <w:pStyle w:val="ListParagraph"/>
        <w:numPr>
          <w:ilvl w:val="0"/>
          <w:numId w:val="2"/>
        </w:numPr>
        <w:spacing w:before="30" w:after="30"/>
      </w:pPr>
      <w:r>
        <w:lastRenderedPageBreak/>
        <w:t>Establish the Cascadia unit's first Type VII candidate sites based on regional folklore literature and incoming case geography.</w:t>
      </w:r>
    </w:p>
    <w:p w14:paraId="677EF49E" w14:textId="77777777" w:rsidR="00FC5913" w:rsidRDefault="00000000">
      <w:pPr>
        <w:pStyle w:val="ListParagraph"/>
        <w:numPr>
          <w:ilvl w:val="0"/>
          <w:numId w:val="2"/>
        </w:numPr>
        <w:spacing w:before="30" w:after="30"/>
      </w:pPr>
      <w:r>
        <w:t>Design outreach materials targeting Type VI, VII, VIII, and IX phenomena — categories currently underrepresented in the active archive.</w:t>
      </w:r>
    </w:p>
    <w:p w14:paraId="0C7B3941" w14:textId="77777777" w:rsidR="00FC5913" w:rsidRDefault="00000000">
      <w:pPr>
        <w:pStyle w:val="ListParagraph"/>
        <w:numPr>
          <w:ilvl w:val="0"/>
          <w:numId w:val="2"/>
        </w:numPr>
        <w:spacing w:before="30" w:after="30"/>
      </w:pPr>
      <w:r>
        <w:t>Design outreach materials explicitly soliciting digital and hybrid substrate reports.</w:t>
      </w:r>
    </w:p>
    <w:p w14:paraId="6E501CA5" w14:textId="77777777" w:rsidR="00FC5913" w:rsidRDefault="00000000">
      <w:pPr>
        <w:pStyle w:val="ListParagraph"/>
        <w:numPr>
          <w:ilvl w:val="0"/>
          <w:numId w:val="2"/>
        </w:numPr>
        <w:spacing w:before="30" w:after="30"/>
      </w:pPr>
      <w:r>
        <w:t>Develop a Reddit publication strategy for Type IV cases.</w:t>
      </w:r>
    </w:p>
    <w:p w14:paraId="1267E253" w14:textId="77777777" w:rsidR="00FC5913" w:rsidRDefault="00000000">
      <w:pPr>
        <w:pStyle w:val="ListParagraph"/>
        <w:numPr>
          <w:ilvl w:val="0"/>
          <w:numId w:val="2"/>
        </w:numPr>
        <w:spacing w:before="30" w:after="30"/>
      </w:pPr>
      <w:r>
        <w:t>Continue analog flyer deployment for traditional spatial and biological reports.</w:t>
      </w:r>
    </w:p>
    <w:p w14:paraId="366251B6" w14:textId="77777777" w:rsidR="00FC5913" w:rsidRDefault="00000000">
      <w:pPr>
        <w:pStyle w:val="ListParagraph"/>
        <w:numPr>
          <w:ilvl w:val="0"/>
          <w:numId w:val="2"/>
        </w:numPr>
        <w:spacing w:before="30" w:after="30"/>
      </w:pPr>
      <w:r>
        <w:t>Brief regional analysts on the Universal Type Collection principle. Concrete: review recent triage decisions for any case that was downgraded or recoded based on regional-Focus expectations rather than phenomenology, and flag any such cases for re-review.</w:t>
      </w:r>
    </w:p>
    <w:p w14:paraId="74E5787F" w14:textId="77777777" w:rsidR="00FC5913" w:rsidRDefault="00000000">
      <w:pPr>
        <w:pStyle w:val="Heading2"/>
      </w:pPr>
      <w:r>
        <w:t>Future Scope</w:t>
      </w:r>
    </w:p>
    <w:p w14:paraId="224CA7FC" w14:textId="77777777" w:rsidR="00FC5913" w:rsidRDefault="00000000">
      <w:pPr>
        <w:spacing w:before="100" w:after="100"/>
      </w:pPr>
      <w:r>
        <w:t>Work identified but not yet active. Listed for visibility, not for immediate execution.</w:t>
      </w:r>
    </w:p>
    <w:p w14:paraId="71D52E29" w14:textId="77777777" w:rsidR="00FC5913" w:rsidRDefault="00000000">
      <w:pPr>
        <w:pStyle w:val="ListParagraph"/>
        <w:numPr>
          <w:ilvl w:val="0"/>
          <w:numId w:val="2"/>
        </w:numPr>
        <w:spacing w:before="30" w:after="30"/>
      </w:pPr>
      <w:r>
        <w:t>Onboarding of regional units beyond Cascadia. Each new unit should adopt the current framework before active collection begins. The Cascadia Field Manual can serve as a template; roughly 25-30% of its content requires regional customization (geographic vocabulary, environmental base rates, crisis lines, cross-regional cosmology roster, field conditions).</w:t>
      </w:r>
    </w:p>
    <w:p w14:paraId="1A58BCE7" w14:textId="77777777" w:rsidR="00FC5913" w:rsidRDefault="00000000">
      <w:pPr>
        <w:pStyle w:val="ListParagraph"/>
        <w:numPr>
          <w:ilvl w:val="0"/>
          <w:numId w:val="2"/>
        </w:numPr>
        <w:spacing w:before="30" w:after="30"/>
      </w:pPr>
      <w:r>
        <w:t>Consideration of whether the regional structure itself should be redrawn to respect indigenous territory. This is a heavier organizational decision than current administration carries authority for, and one that should involve the affected communities.</w:t>
      </w:r>
    </w:p>
    <w:p w14:paraId="5953B3DF" w14:textId="77777777" w:rsidR="00FC5913" w:rsidRDefault="00000000">
      <w:pPr>
        <w:pStyle w:val="ListParagraph"/>
        <w:numPr>
          <w:ilvl w:val="0"/>
          <w:numId w:val="2"/>
        </w:numPr>
        <w:spacing w:before="30" w:after="30"/>
      </w:pPr>
      <w:r>
        <w:t>Public registry development. The PUBLISH_ANON case stream feeds toward a public-facing archive; the registry's structure, navigation, and storytelling presentation remain to be designed. This is the project's eventual primary storytelling channel.</w:t>
      </w:r>
    </w:p>
    <w:p w14:paraId="7B285690" w14:textId="77777777" w:rsidR="00FC5913" w:rsidRDefault="00000000">
      <w:pPr>
        <w:pStyle w:val="Heading1"/>
      </w:pPr>
      <w:r>
        <w:t>Closing</w:t>
      </w:r>
    </w:p>
    <w:p w14:paraId="558DC95F" w14:textId="77777777" w:rsidR="00FC5913" w:rsidRDefault="00000000">
      <w:pPr>
        <w:spacing w:before="100" w:after="100"/>
      </w:pPr>
      <w:r>
        <w:t xml:space="preserve">The APS occupies a genuinely unusual position: simultaneously a folklore archive, an </w:t>
      </w:r>
      <w:proofErr w:type="spellStart"/>
      <w:r>
        <w:t>anomalistics</w:t>
      </w:r>
      <w:proofErr w:type="spellEnd"/>
      <w:r>
        <w:t xml:space="preserve"> database, a citizen science platform, and a theoretical laboratory for understanding how meaning emerges in a hybrid analog-digital world. The infrastructure — schema, taxonomy, instruments, archive — exists to support the project's primary purpose: to collect these stories, preserve them with integrity, and eventually tell them.</w:t>
      </w:r>
    </w:p>
    <w:p w14:paraId="3B73337A" w14:textId="77777777" w:rsidR="00FC5913" w:rsidRDefault="00000000">
      <w:pPr>
        <w:spacing w:before="100" w:after="100"/>
      </w:pPr>
      <w:r>
        <w:t>This Project State Document records where that work stands. The Mission Statement records why.</w:t>
      </w:r>
    </w:p>
    <w:p w14:paraId="4D8AB3B9" w14:textId="77777777" w:rsidR="00FC5913" w:rsidRDefault="00FC5913">
      <w:pPr>
        <w:pBdr>
          <w:top w:val="single" w:sz="8" w:space="4" w:color="1F3518"/>
        </w:pBdr>
        <w:spacing w:before="400" w:after="60"/>
      </w:pPr>
    </w:p>
    <w:p w14:paraId="5D1DA954" w14:textId="77777777" w:rsidR="00FC5913" w:rsidRDefault="00000000">
      <w:pPr>
        <w:spacing w:after="40"/>
        <w:jc w:val="center"/>
      </w:pPr>
      <w:r>
        <w:rPr>
          <w:color w:val="555555"/>
          <w:sz w:val="18"/>
          <w:szCs w:val="18"/>
        </w:rPr>
        <w:t>Property of APS Administration  |  The Archive  |  National Scope</w:t>
      </w:r>
    </w:p>
    <w:p w14:paraId="55F5F5A6" w14:textId="77777777" w:rsidR="00FC5913" w:rsidRDefault="00000000">
      <w:pPr>
        <w:jc w:val="center"/>
      </w:pPr>
      <w:r>
        <w:rPr>
          <w:i/>
          <w:iCs/>
          <w:color w:val="1F3518"/>
          <w:sz w:val="18"/>
          <w:szCs w:val="18"/>
        </w:rPr>
        <w:t>Methodological Agnosticism Observed.  Universal Type Collection Across All Regions.</w:t>
      </w:r>
    </w:p>
    <w:sectPr w:rsidR="00FC5913">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90129E"/>
    <w:multiLevelType w:val="hybridMultilevel"/>
    <w:tmpl w:val="B32668AC"/>
    <w:lvl w:ilvl="0" w:tplc="27068388">
      <w:start w:val="1"/>
      <w:numFmt w:val="bullet"/>
      <w:lvlText w:val="●"/>
      <w:lvlJc w:val="left"/>
      <w:pPr>
        <w:ind w:left="720" w:hanging="360"/>
      </w:pPr>
    </w:lvl>
    <w:lvl w:ilvl="1" w:tplc="823CD5BA">
      <w:start w:val="1"/>
      <w:numFmt w:val="bullet"/>
      <w:lvlText w:val="○"/>
      <w:lvlJc w:val="left"/>
      <w:pPr>
        <w:ind w:left="1440" w:hanging="360"/>
      </w:pPr>
    </w:lvl>
    <w:lvl w:ilvl="2" w:tplc="BC823BC8">
      <w:start w:val="1"/>
      <w:numFmt w:val="bullet"/>
      <w:lvlText w:val="■"/>
      <w:lvlJc w:val="left"/>
      <w:pPr>
        <w:ind w:left="2160" w:hanging="360"/>
      </w:pPr>
    </w:lvl>
    <w:lvl w:ilvl="3" w:tplc="BD447356">
      <w:start w:val="1"/>
      <w:numFmt w:val="bullet"/>
      <w:lvlText w:val="●"/>
      <w:lvlJc w:val="left"/>
      <w:pPr>
        <w:ind w:left="2880" w:hanging="360"/>
      </w:pPr>
    </w:lvl>
    <w:lvl w:ilvl="4" w:tplc="31A4B1CE">
      <w:start w:val="1"/>
      <w:numFmt w:val="bullet"/>
      <w:lvlText w:val="○"/>
      <w:lvlJc w:val="left"/>
      <w:pPr>
        <w:ind w:left="3600" w:hanging="360"/>
      </w:pPr>
    </w:lvl>
    <w:lvl w:ilvl="5" w:tplc="E2127B70">
      <w:start w:val="1"/>
      <w:numFmt w:val="bullet"/>
      <w:lvlText w:val="■"/>
      <w:lvlJc w:val="left"/>
      <w:pPr>
        <w:ind w:left="4320" w:hanging="360"/>
      </w:pPr>
    </w:lvl>
    <w:lvl w:ilvl="6" w:tplc="F84AF2B8">
      <w:start w:val="1"/>
      <w:numFmt w:val="bullet"/>
      <w:lvlText w:val="●"/>
      <w:lvlJc w:val="left"/>
      <w:pPr>
        <w:ind w:left="5040" w:hanging="360"/>
      </w:pPr>
    </w:lvl>
    <w:lvl w:ilvl="7" w:tplc="060AEC4A">
      <w:start w:val="1"/>
      <w:numFmt w:val="bullet"/>
      <w:lvlText w:val="●"/>
      <w:lvlJc w:val="left"/>
      <w:pPr>
        <w:ind w:left="5760" w:hanging="360"/>
      </w:pPr>
    </w:lvl>
    <w:lvl w:ilvl="8" w:tplc="67B028BE">
      <w:start w:val="1"/>
      <w:numFmt w:val="bullet"/>
      <w:lvlText w:val="●"/>
      <w:lvlJc w:val="left"/>
      <w:pPr>
        <w:ind w:left="6480" w:hanging="360"/>
      </w:pPr>
    </w:lvl>
  </w:abstractNum>
  <w:abstractNum w:abstractNumId="1" w15:restartNumberingAfterBreak="0">
    <w:nsid w:val="58EE5857"/>
    <w:multiLevelType w:val="hybridMultilevel"/>
    <w:tmpl w:val="AD2CE9E0"/>
    <w:lvl w:ilvl="0" w:tplc="CA6E97A6">
      <w:start w:val="1"/>
      <w:numFmt w:val="bullet"/>
      <w:lvlText w:val="•"/>
      <w:lvlJc w:val="left"/>
      <w:pPr>
        <w:ind w:left="720" w:hanging="360"/>
      </w:pPr>
    </w:lvl>
    <w:lvl w:ilvl="1" w:tplc="4E14DEE8">
      <w:numFmt w:val="decimal"/>
      <w:lvlText w:val=""/>
      <w:lvlJc w:val="left"/>
    </w:lvl>
    <w:lvl w:ilvl="2" w:tplc="F4ECC910">
      <w:numFmt w:val="decimal"/>
      <w:lvlText w:val=""/>
      <w:lvlJc w:val="left"/>
    </w:lvl>
    <w:lvl w:ilvl="3" w:tplc="FEEC7112">
      <w:numFmt w:val="decimal"/>
      <w:lvlText w:val=""/>
      <w:lvlJc w:val="left"/>
    </w:lvl>
    <w:lvl w:ilvl="4" w:tplc="33B62B6E">
      <w:numFmt w:val="decimal"/>
      <w:lvlText w:val=""/>
      <w:lvlJc w:val="left"/>
    </w:lvl>
    <w:lvl w:ilvl="5" w:tplc="980EE2B2">
      <w:numFmt w:val="decimal"/>
      <w:lvlText w:val=""/>
      <w:lvlJc w:val="left"/>
    </w:lvl>
    <w:lvl w:ilvl="6" w:tplc="6AD62442">
      <w:numFmt w:val="decimal"/>
      <w:lvlText w:val=""/>
      <w:lvlJc w:val="left"/>
    </w:lvl>
    <w:lvl w:ilvl="7" w:tplc="6A0230A0">
      <w:numFmt w:val="decimal"/>
      <w:lvlText w:val=""/>
      <w:lvlJc w:val="left"/>
    </w:lvl>
    <w:lvl w:ilvl="8" w:tplc="BE566C80">
      <w:numFmt w:val="decimal"/>
      <w:lvlText w:val=""/>
      <w:lvlJc w:val="left"/>
    </w:lvl>
  </w:abstractNum>
  <w:num w:numId="1" w16cid:durableId="586504915">
    <w:abstractNumId w:val="0"/>
    <w:lvlOverride w:ilvl="0">
      <w:startOverride w:val="1"/>
    </w:lvlOverride>
  </w:num>
  <w:num w:numId="2" w16cid:durableId="17770201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913"/>
    <w:rsid w:val="0000460A"/>
    <w:rsid w:val="00021269"/>
    <w:rsid w:val="00042702"/>
    <w:rsid w:val="0009077C"/>
    <w:rsid w:val="000E4742"/>
    <w:rsid w:val="00256A12"/>
    <w:rsid w:val="002B3DCF"/>
    <w:rsid w:val="003707C6"/>
    <w:rsid w:val="005A7FF7"/>
    <w:rsid w:val="005C2BB7"/>
    <w:rsid w:val="005C7B30"/>
    <w:rsid w:val="006A5384"/>
    <w:rsid w:val="006E7151"/>
    <w:rsid w:val="00737438"/>
    <w:rsid w:val="00944AF8"/>
    <w:rsid w:val="00B14C88"/>
    <w:rsid w:val="00BE38E9"/>
    <w:rsid w:val="00DD25BD"/>
    <w:rsid w:val="00E25BDE"/>
    <w:rsid w:val="00E46346"/>
    <w:rsid w:val="00EB489A"/>
    <w:rsid w:val="00F052EE"/>
    <w:rsid w:val="00FB51ED"/>
    <w:rsid w:val="00FC5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BBA98"/>
  <w15:docId w15:val="{1F50E2D7-106D-A546-821B-8113672B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518"/>
      <w:sz w:val="30"/>
      <w:szCs w:val="30"/>
    </w:rPr>
  </w:style>
  <w:style w:type="paragraph" w:styleId="Heading2">
    <w:name w:val="heading 2"/>
    <w:uiPriority w:val="9"/>
    <w:unhideWhenUsed/>
    <w:qFormat/>
    <w:pPr>
      <w:spacing w:before="260" w:after="120"/>
      <w:outlineLvl w:val="1"/>
    </w:pPr>
    <w:rPr>
      <w:b/>
      <w:bCs/>
      <w:color w:val="1F351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Project State Document</dc:title>
  <dc:creator>APS Cascadia Archive</dc:creator>
  <dc:description>Operational state of the American Periphenomenal Survey: regional structure, taxonomy summary, current objectives.</dc:description>
  <cp:lastModifiedBy>Arthur E. Warmoth</cp:lastModifiedBy>
  <cp:revision>20</cp:revision>
  <dcterms:created xsi:type="dcterms:W3CDTF">2026-05-11T01:14:00Z</dcterms:created>
  <dcterms:modified xsi:type="dcterms:W3CDTF">2026-09-15T19:38:00Z</dcterms:modified>
</cp:coreProperties>
</file>