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Síntese do comportamento dos preços dos combustíveis</w:t>
      </w:r>
    </w:p>
    <w:p>
      <w:pPr>
        <w:pStyle w:val="Heading2"/>
      </w:pPr>
      <w:r>
        <w:t>Revenda - Semana de 13/02/2022 a 19/02/2022</w:t>
      </w:r>
    </w:p>
    <w:p>
      <w:pPr>
        <w:pStyle w:val="ListBullet"/>
      </w:pPr>
      <w:r>
        <w:t xml:space="preserve">O preço médio de revenda da gasolina C comum </w:t>
      </w:r>
      <w:r>
        <w:rPr>
          <w:b/>
        </w:rPr>
        <w:t xml:space="preserve">variou negativamente 0,51% </w:t>
      </w:r>
      <w:r>
        <w:t xml:space="preserve">em relação à semana anterior, para </w:t>
      </w:r>
      <w:r>
        <w:rPr>
          <w:b/>
        </w:rPr>
        <w:t xml:space="preserve">R$6,58/litro, </w:t>
      </w:r>
      <w:r>
        <w:t xml:space="preserve">na </w:t>
      </w:r>
      <w:r>
        <w:rPr>
          <w:b/>
        </w:rPr>
        <w:t xml:space="preserve">[inserir manualmente] semana consecutiva de [inserir manualmente]. </w:t>
      </w:r>
    </w:p>
    <w:p>
      <w:pPr>
        <w:pStyle w:val="ListBullet"/>
      </w:pPr>
      <w:r>
        <w:t xml:space="preserve">Houve </w:t>
      </w:r>
      <w:r>
        <w:rPr>
          <w:b/>
        </w:rPr>
        <w:t xml:space="preserve">recuo de </w:t>
      </w:r>
      <w:r>
        <w:rPr>
          <w:b/>
        </w:rPr>
        <w:t xml:space="preserve">1,22% </w:t>
      </w:r>
      <w:r>
        <w:t xml:space="preserve">em </w:t>
      </w:r>
      <w:r>
        <w:rPr>
          <w:b/>
        </w:rPr>
        <w:t xml:space="preserve">4 semanas </w:t>
      </w:r>
      <w:r>
        <w:t xml:space="preserve">e </w:t>
      </w:r>
      <w:r>
        <w:rPr>
          <w:b/>
        </w:rPr>
        <w:t xml:space="preserve">alta de </w:t>
      </w:r>
      <w:r>
        <w:rPr>
          <w:b/>
        </w:rPr>
        <w:t xml:space="preserve">33,88% </w:t>
      </w:r>
      <w:r>
        <w:t xml:space="preserve">em </w:t>
      </w:r>
      <w:r>
        <w:rPr>
          <w:b/>
        </w:rPr>
        <w:t xml:space="preserve">12 meses. </w:t>
      </w:r>
    </w:p>
    <w:p>
      <w:pPr>
        <w:pStyle w:val="ListBullet"/>
      </w:pPr>
      <w:r>
        <w:t xml:space="preserve">[inserir manualmente comentários a respeito das variações na desagregação regional]. </w:t>
      </w:r>
    </w:p>
    <w:p>
      <w:pPr>
        <w:pStyle w:val="Heading2"/>
      </w:pPr>
      <w:r>
        <w:t>Produção - Semana de 07/02/2022 a 13/02/2022</w:t>
      </w:r>
    </w:p>
    <w:p>
      <w:pPr>
        <w:pStyle w:val="ListBullet"/>
      </w:pPr>
      <w:r>
        <w:t xml:space="preserve">O preço médio de produção </w:t>
      </w:r>
      <w:r>
        <w:rPr>
          <w:b/>
        </w:rPr>
        <w:t xml:space="preserve">apresentou variação negativa de </w:t>
      </w:r>
      <w:r>
        <w:rPr>
          <w:b/>
        </w:rPr>
        <w:t xml:space="preserve">0,26% </w:t>
      </w:r>
      <w:r>
        <w:t xml:space="preserve">em relação à semana anterior, para </w:t>
      </w:r>
      <w:r>
        <w:rPr>
          <w:b/>
        </w:rPr>
        <w:t>R$0,34/litro.</w:t>
      </w:r>
    </w:p>
    <w:p>
      <w:pPr>
        <w:pStyle w:val="ListBullet"/>
      </w:pPr>
      <w:r>
        <w:t xml:space="preserve">Em </w:t>
      </w:r>
      <w:r>
        <w:rPr>
          <w:b/>
        </w:rPr>
        <w:t>4 semanas</w:t>
      </w:r>
      <w:r>
        <w:t xml:space="preserve">, o preço médio de produção </w:t>
      </w:r>
      <w:r>
        <w:rPr>
          <w:b/>
        </w:rPr>
        <w:t xml:space="preserve">avançou 1,83% </w:t>
      </w:r>
      <w:r>
        <w:t xml:space="preserve">. </w:t>
      </w:r>
      <w:r>
        <w:t xml:space="preserve">Na comparação </w:t>
      </w:r>
      <w:r>
        <w:rPr>
          <w:b/>
        </w:rPr>
        <w:t>anual</w:t>
      </w:r>
      <w:r>
        <w:t xml:space="preserve">, houve  </w:t>
      </w:r>
      <w:r>
        <w:rPr>
          <w:b/>
        </w:rPr>
        <w:t xml:space="preserve">avanço de </w:t>
      </w:r>
      <w:r>
        <w:rPr>
          <w:b/>
        </w:rPr>
        <w:t xml:space="preserve">43,32% </w:t>
      </w:r>
      <w:r>
        <w:t>.</w:t>
      </w:r>
    </w:p>
    <w:p>
      <w:pPr>
        <w:pStyle w:val="ListBullet"/>
      </w:pPr>
      <w:r>
        <w:rPr>
          <w:b/>
        </w:rPr>
        <w:t xml:space="preserve">Petrobras: </w:t>
      </w:r>
      <w:r>
        <w:t xml:space="preserve">nos dias </w:t>
      </w:r>
      <w:r>
        <w:rPr>
          <w:b/>
        </w:rPr>
        <w:t>[inserir manualmente]</w:t>
      </w:r>
      <w:r>
        <w:t xml:space="preserve">, </w:t>
      </w:r>
      <w:r>
        <w:rPr>
          <w:b/>
        </w:rPr>
        <w:t xml:space="preserve">[inserir manualmente] </w:t>
      </w:r>
      <w:r>
        <w:t xml:space="preserve">e </w:t>
      </w:r>
      <w:r>
        <w:rPr>
          <w:b/>
        </w:rPr>
        <w:t>[inserir manualmente]</w:t>
      </w:r>
      <w:r>
        <w:t xml:space="preserve">, a Petrobras reajustou os preços da gasolina A, com variações de </w:t>
      </w:r>
      <w:r>
        <w:rPr>
          <w:b/>
        </w:rPr>
        <w:t>[inserir manualmente]</w:t>
      </w:r>
      <w:r>
        <w:t xml:space="preserve">, </w:t>
      </w:r>
      <w:r>
        <w:rPr>
          <w:b/>
        </w:rPr>
        <w:t xml:space="preserve">[inserir manualmente] </w:t>
      </w:r>
      <w:r>
        <w:t xml:space="preserve">e </w:t>
      </w:r>
      <w:r>
        <w:rPr>
          <w:b/>
        </w:rPr>
        <w:t>[inserir manualmente]</w:t>
      </w:r>
      <w:r>
        <w:t>, respectivamente, na média dos preços dos pontos de entrega.</w:t>
      </w:r>
    </w:p>
    <w:p>
      <w:pPr>
        <w:pStyle w:val="ListBullet"/>
      </w:pPr>
      <w:r>
        <w:t xml:space="preserve">Etanol Anidro: segundo o </w:t>
      </w:r>
      <w:r>
        <w:rPr>
          <w:b/>
        </w:rPr>
        <w:t>CEPEA/ESALQ</w:t>
      </w:r>
      <w:r>
        <w:t xml:space="preserve">, o preço médio à vista do etanol anidro em São Paulo, entre </w:t>
      </w:r>
      <w:r>
        <w:rPr>
          <w:b/>
        </w:rPr>
        <w:t>[inserir manualmente]</w:t>
      </w:r>
      <w:r>
        <w:t xml:space="preserve">, foi de </w:t>
      </w:r>
      <w:r>
        <w:rPr>
          <w:b/>
        </w:rPr>
        <w:t>R$3,21/litro</w:t>
      </w:r>
      <w:r>
        <w:t xml:space="preserve">, </w:t>
      </w:r>
      <w:r>
        <w:rPr>
          <w:b/>
        </w:rPr>
        <w:t xml:space="preserve">acréscimo de </w:t>
      </w:r>
      <w:r>
        <w:rPr>
          <w:b/>
        </w:rPr>
        <w:t xml:space="preserve">0,08% </w:t>
      </w:r>
      <w:r>
        <w:t xml:space="preserve"> em relação à semana anterior. </w:t>
      </w:r>
    </w:p>
    <w:p>
      <w:pPr>
        <w:pStyle w:val="Heading2"/>
      </w:pPr>
      <w:r>
        <w:t>Importação</w:t>
      </w:r>
    </w:p>
    <w:p>
      <w:pPr>
        <w:pStyle w:val="ListBullet"/>
      </w:pPr>
      <w:r>
        <w:rPr>
          <w:b/>
        </w:rPr>
        <w:t xml:space="preserve">PPI: </w:t>
      </w:r>
      <w:r>
        <w:t xml:space="preserve">entre  </w:t>
      </w:r>
      <w:r>
        <w:rPr>
          <w:b/>
        </w:rPr>
        <w:t>[inserir manualmente]</w:t>
      </w:r>
      <w:r>
        <w:t xml:space="preserve">, tiveram variações semanais </w:t>
      </w:r>
      <w:r>
        <w:rPr>
          <w:b/>
        </w:rPr>
        <w:t>positivas</w:t>
      </w:r>
      <w:r>
        <w:t xml:space="preserve">, entre </w:t>
      </w:r>
      <w:r>
        <w:rPr>
          <w:b/>
        </w:rPr>
        <w:t xml:space="preserve">2,15% </w:t>
      </w:r>
      <w:r>
        <w:t>(</w:t>
      </w:r>
      <w:r>
        <w:rPr>
          <w:b/>
        </w:rPr>
        <w:t>Suape</w:t>
      </w:r>
      <w:r>
        <w:t xml:space="preserve">) </w:t>
      </w:r>
      <w:r>
        <w:t xml:space="preserve">e </w:t>
      </w:r>
      <w:r>
        <w:rPr>
          <w:b/>
        </w:rPr>
        <w:t xml:space="preserve">2,23% </w:t>
      </w:r>
      <w:r>
        <w:t>(</w:t>
      </w:r>
      <w:r>
        <w:rPr>
          <w:b/>
        </w:rPr>
        <w:t>Paranagua</w:t>
      </w:r>
      <w:r>
        <w:t>)</w:t>
      </w:r>
      <w:r>
        <w:t>.</w:t>
      </w:r>
    </w:p>
    <w:p>
      <w:pPr>
        <w:pStyle w:val="ListBullet"/>
      </w:pPr>
      <w:r>
        <w:t xml:space="preserve">No mesmo período e em termos de cotações semanais médias, houve </w:t>
      </w:r>
      <w:r>
        <w:rPr>
          <w:b/>
        </w:rPr>
        <w:t xml:space="preserve">[inserir manualmente] </w:t>
      </w:r>
      <w:r>
        <w:t>no WTI (</w:t>
      </w:r>
      <w:r>
        <w:rPr>
          <w:b/>
        </w:rPr>
        <w:t>[inserir manualmente]</w:t>
      </w:r>
      <w:r>
        <w:t xml:space="preserve">), em dólar/barril, e </w:t>
      </w:r>
      <w:r>
        <w:rPr>
          <w:b/>
        </w:rPr>
        <w:t xml:space="preserve">[inserir manualmente] </w:t>
      </w:r>
      <w:r>
        <w:t>na Gasolina “Unl 87 USGC Prompt Pipeline” (</w:t>
      </w:r>
      <w:r>
        <w:rPr>
          <w:b/>
        </w:rPr>
        <w:t>[inserir manualmente]</w:t>
      </w:r>
      <w:r>
        <w:t xml:space="preserve">), em dólar/galão, da S&amp;P Global Platts, além de </w:t>
      </w:r>
      <w:r>
        <w:rPr>
          <w:b/>
        </w:rPr>
        <w:t xml:space="preserve">[inserir manualmente] </w:t>
      </w:r>
      <w:r>
        <w:t xml:space="preserve">o de </w:t>
      </w:r>
      <w:r>
        <w:rPr>
          <w:b/>
        </w:rPr>
        <w:t xml:space="preserve">[inserir manualmente] </w:t>
      </w:r>
      <w:r>
        <w:t>do real frente ao dólar.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