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5.jpg" ContentType="image/jpeg"/>
  <Override PartName="/word/media/rId21.jpg" ContentType="image/jpeg"/>
  <Override PartName="/word/media/rId35.jpg" ContentType="image/jpeg"/>
  <Override PartName="/word/media/rId29.jpg" ContentType="image/jpe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Sines</w:t>
      </w:r>
    </w:p>
    <w:p>
      <w:pPr>
        <w:pStyle w:val="Subtitle"/>
      </w:pPr>
      <w:r>
        <w:t xml:space="preserve">Trigonometry</w:t>
      </w:r>
    </w:p>
    <w:bookmarkStart w:id="34" w:name="introduction"/>
    <w:p>
      <w:pPr>
        <w:pStyle w:val="Heading1"/>
      </w:pPr>
      <w:r>
        <w:t xml:space="preserve">Introduction</w:t>
      </w:r>
    </w:p>
    <w:bookmarkStart w:id="20" w:name="definition---oblique-triangles"/>
    <w:p>
      <w:pPr>
        <w:pStyle w:val="Heading2"/>
      </w:pPr>
      <w:r>
        <w:t xml:space="preserve">Definition - Oblique Triangles</w:t>
      </w:r>
    </w:p>
    <w:p>
      <w:pPr>
        <w:pStyle w:val="FirstParagraph"/>
      </w:pPr>
      <w:r>
        <w:t xml:space="preserve">Any triangle that is not a right triangle is an</w:t>
      </w:r>
      <w:r>
        <w:t xml:space="preserve"> </w:t>
      </w:r>
      <w:r>
        <w:rPr>
          <w:bCs/>
          <w:b/>
        </w:rPr>
        <w:t xml:space="preserve">oblique triangle</w:t>
      </w:r>
      <w:r>
        <w:t xml:space="preserve">.</w:t>
      </w:r>
    </w:p>
    <w:p>
      <w:pPr>
        <w:pStyle w:val="BodyText"/>
      </w:pPr>
      <w:r>
        <w:t xml:space="preserve">The three oblique triangles we will study in this section are.</w:t>
      </w:r>
    </w:p>
    <w:bookmarkEnd w:id="20"/>
    <w:bookmarkStart w:id="33" w:name="definition---solving-a-triangle"/>
    <w:p>
      <w:pPr>
        <w:pStyle w:val="Heading2"/>
      </w:pPr>
      <w:r>
        <w:t xml:space="preserve">Definition - Solving a Triangle</w:t>
      </w:r>
    </w:p>
    <w:p>
      <w:pPr>
        <w:pStyle w:val="FirstParagraph"/>
      </w:pPr>
      <w:r>
        <w:rPr>
          <w:bCs/>
          <w:b/>
        </w:rPr>
        <w:t xml:space="preserve">Solving</w:t>
      </w:r>
      <w:r>
        <w:t xml:space="preserve"> </w:t>
      </w:r>
      <w:r>
        <w:t xml:space="preserve">a triangle means finding the measures of all angles and sides given incomplete information.</w:t>
      </w:r>
    </w:p>
    <w:bookmarkStart w:id="24" w:name="asa-angle-side-angle"/>
    <w:p>
      <w:pPr>
        <w:pStyle w:val="Heading3"/>
      </w:pPr>
      <w:r>
        <w:t xml:space="preserve">ASA (angle-side-angle)</w:t>
      </w:r>
    </w:p>
    <w:p>
      <w:pPr>
        <w:pStyle w:val="CaptionedFigure"/>
      </w:pPr>
      <w:r>
        <w:drawing>
          <wp:inline>
            <wp:extent cx="2968752" cy="859536"/>
            <wp:effectExtent b="0" l="0" r="0" t="0"/>
            <wp:docPr descr="ASA Triangle" title="" id="22" name="Picture"/>
            <a:graphic>
              <a:graphicData uri="http://schemas.openxmlformats.org/drawingml/2006/picture">
                <pic:pic>
                  <pic:nvPicPr>
                    <pic:cNvPr descr="ASA_Triangl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ASA Triangle</w:t>
      </w:r>
    </w:p>
    <w:bookmarkEnd w:id="24"/>
    <w:bookmarkStart w:id="28" w:name="aas-angle-angle-side"/>
    <w:p>
      <w:pPr>
        <w:pStyle w:val="Heading3"/>
      </w:pPr>
      <w:r>
        <w:t xml:space="preserve">AAS (angle-angle-side)</w:t>
      </w:r>
    </w:p>
    <w:p>
      <w:pPr>
        <w:pStyle w:val="CaptionedFigure"/>
      </w:pPr>
      <w:r>
        <w:drawing>
          <wp:inline>
            <wp:extent cx="2968752" cy="859536"/>
            <wp:effectExtent b="0" l="0" r="0" t="0"/>
            <wp:docPr descr="AAS Triangle" title="" id="26" name="Picture"/>
            <a:graphic>
              <a:graphicData uri="http://schemas.openxmlformats.org/drawingml/2006/picture">
                <pic:pic>
                  <pic:nvPicPr>
                    <pic:cNvPr descr="AAS_Triangle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AAS Triangle</w:t>
      </w:r>
    </w:p>
    <w:bookmarkEnd w:id="28"/>
    <w:bookmarkStart w:id="32" w:name="ssa-side-side-angle"/>
    <w:p>
      <w:pPr>
        <w:pStyle w:val="Heading3"/>
      </w:pPr>
      <w:r>
        <w:t xml:space="preserve">SSA (side-side-angle)</w:t>
      </w:r>
    </w:p>
    <w:p>
      <w:pPr>
        <w:pStyle w:val="CaptionedFigure"/>
      </w:pPr>
      <w:r>
        <w:drawing>
          <wp:inline>
            <wp:extent cx="2968752" cy="859536"/>
            <wp:effectExtent b="0" l="0" r="0" t="0"/>
            <wp:docPr descr="SSA Triangle" title="" id="30" name="Picture"/>
            <a:graphic>
              <a:graphicData uri="http://schemas.openxmlformats.org/drawingml/2006/picture">
                <pic:pic>
                  <pic:nvPicPr>
                    <pic:cNvPr descr="SSA_Triangl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SSA Triangle</w:t>
      </w:r>
    </w:p>
    <w:bookmarkEnd w:id="32"/>
    <w:bookmarkEnd w:id="33"/>
    <w:bookmarkEnd w:id="34"/>
    <w:bookmarkStart w:id="40" w:name="law-of-sines"/>
    <w:p>
      <w:pPr>
        <w:pStyle w:val="Heading1"/>
      </w:pPr>
      <w:r>
        <w:t xml:space="preserve">Law of Sines</w:t>
      </w:r>
    </w:p>
    <w:bookmarkStart w:id="38" w:name="fact---law-of-sines"/>
    <w:p>
      <w:pPr>
        <w:pStyle w:val="Heading2"/>
      </w:pPr>
      <w:r>
        <w:t xml:space="preserve">Fact - Law of Sines</w:t>
      </w:r>
    </w:p>
    <w:p>
      <w:pPr>
        <w:pStyle w:val="CaptionedFigure"/>
      </w:pPr>
      <w:r>
        <w:drawing>
          <wp:inline>
            <wp:extent cx="2968752" cy="1200912"/>
            <wp:effectExtent b="0" l="0" r="0" t="0"/>
            <wp:docPr descr="Oblique Triangle" title="" id="36" name="Picture"/>
            <a:graphic>
              <a:graphicData uri="http://schemas.openxmlformats.org/drawingml/2006/picture">
                <pic:pic>
                  <pic:nvPicPr>
                    <pic:cNvPr descr="Oblique_Triangl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120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Oblique Triangle</w:t>
      </w:r>
    </w:p>
    <w:p>
      <w:pPr>
        <w:pStyle w:val="BodyText"/>
      </w:pPr>
      <w:r>
        <w:t xml:space="preserve">Given a triangle with angles and opposite sides labeled as the triangle above,</w:t>
      </w:r>
      <w:r>
        <w:t xml:space="preserve"> </w:t>
      </w:r>
      <w:r>
        <w:t xml:space="preserve">the ratio of the measurement of an angle to the length of its opposite side will be equal to the other two ratios of angle measure to opposite side.</w:t>
      </w:r>
      <w:r>
        <w:t xml:space="preserve"> </w:t>
      </w:r>
      <w:r>
        <w:t xml:space="preserve">All proportions will be equal.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α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r>
                <m:t>β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i</m:t>
              </m:r>
              <m:r>
                <m:t>n</m:t>
              </m:r>
              <m:r>
                <m:t>γ</m:t>
              </m:r>
            </m:num>
            <m:den>
              <m:r>
                <m:t>c</m:t>
              </m:r>
            </m:den>
          </m:f>
        </m:oMath>
      </m:oMathPara>
    </w:p>
    <w:bookmarkEnd w:id="38"/>
    <w:bookmarkStart w:id="39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For the following exercises, assume the angles are sides are as in the triangle above.</w:t>
      </w:r>
      <w:r>
        <w:t xml:space="preserve"> </w:t>
      </w:r>
      <w:r>
        <w:t xml:space="preserve">Solve each triangle, if possible.</w:t>
      </w:r>
      <w:r>
        <w:t xml:space="preserve"> </w:t>
      </w:r>
      <w:r>
        <w:t xml:space="preserve">Round each answer to the nearest tenth.</w:t>
      </w:r>
    </w:p>
    <w:p>
      <w:pPr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sSup>
          <m:e>
            <m:r>
              <m:t>43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sSup>
          <m:e>
            <m:r>
              <m:t>69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100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sSup>
          <m:e>
            <m:r>
              <m:t>37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p>
          <m:e>
            <m:r>
              <m:t>49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</w:p>
    <w:p>
      <w:pPr>
        <w:numPr>
          <w:ilvl w:val="0"/>
          <w:numId w:val="1001"/>
        </w:numPr>
      </w:pPr>
      <m:oMath>
        <m:r>
          <m:t>α</m:t>
        </m:r>
        <m:r>
          <m:rPr>
            <m:sty m:val="p"/>
          </m:rPr>
          <m:t>=</m:t>
        </m:r>
        <m:sSup>
          <m:e>
            <m:r>
              <m:t>132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sSup>
          <m:e>
            <m:r>
              <m:t>23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</w:p>
    <w:bookmarkEnd w:id="39"/>
    <w:bookmarkEnd w:id="40"/>
    <w:bookmarkStart w:id="46" w:name="the-ambiguous-case"/>
    <w:p>
      <w:pPr>
        <w:pStyle w:val="Heading1"/>
      </w:pPr>
      <w:r>
        <w:t xml:space="preserve">The Ambiguous Case</w:t>
      </w:r>
    </w:p>
    <w:bookmarkStart w:id="44" w:name="possible-cases-for-ssa-triangles"/>
    <w:p>
      <w:pPr>
        <w:pStyle w:val="Heading2"/>
      </w:pPr>
      <w:r>
        <w:t xml:space="preserve">Possible Cases for SSA triangles</w:t>
      </w:r>
    </w:p>
    <w:p>
      <w:pPr>
        <w:pStyle w:val="CaptionedFigure"/>
      </w:pPr>
      <w:r>
        <w:drawing>
          <wp:inline>
            <wp:extent cx="5865616" cy="1342547"/>
            <wp:effectExtent b="0" l="0" r="0" t="0"/>
            <wp:docPr descr="Comparison of SSA Triangles" title="" id="42" name="Picture"/>
            <a:graphic>
              <a:graphicData uri="http://schemas.openxmlformats.org/drawingml/2006/picture">
                <pic:pic>
                  <pic:nvPicPr>
                    <pic:cNvPr descr="SSA_Triangle_Comparison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16" cy="134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Comparison of SSA Triangles</w:t>
      </w:r>
    </w:p>
    <w:bookmarkEnd w:id="44"/>
    <w:bookmarkStart w:id="45" w:name="examples-1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Determine whether there is no triangle, one triangle, or two triangles.</w:t>
      </w:r>
      <w:r>
        <w:t xml:space="preserve"> </w:t>
      </w:r>
      <w:r>
        <w:t xml:space="preserve">Then solve each triangle, if possible.</w:t>
      </w:r>
      <w:r>
        <w:t xml:space="preserve"> </w:t>
      </w:r>
      <w:r>
        <w:t xml:space="preserve">Round each answer to the nearest tenth.</w:t>
      </w:r>
    </w:p>
    <w:p>
      <w:pPr>
        <w:numPr>
          <w:ilvl w:val="0"/>
          <w:numId w:val="1002"/>
        </w:numPr>
      </w:pPr>
      <m:oMath>
        <m:r>
          <m:t>γ</m:t>
        </m:r>
        <m:r>
          <m:rPr>
            <m:sty m:val="p"/>
          </m:rPr>
          <m:t>=</m:t>
        </m:r>
        <m:sSup>
          <m:e>
            <m:r>
              <m:t>113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32</m:t>
        </m:r>
      </m:oMath>
      <w:r>
        <w:t xml:space="preserve"> </w:t>
      </w:r>
    </w:p>
    <w:p>
      <w:pPr>
        <w:numPr>
          <w:ilvl w:val="0"/>
          <w:numId w:val="1002"/>
        </w:numPr>
      </w:pPr>
      <m:oMath>
        <m:r>
          <m:t>a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43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2"/>
        </w:numPr>
      </w:pPr>
      <m:oMath>
        <m:r>
          <m:t>β</m:t>
        </m:r>
        <m:r>
          <m:rPr>
            <m:sty m:val="p"/>
          </m:rPr>
          <m:t>=</m:t>
        </m:r>
        <m:sSup>
          <m:e>
            <m:r>
              <m:t>119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8.2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11.3</m:t>
        </m:r>
      </m:oMath>
      <w:r>
        <w:t xml:space="preserve">.</w:t>
      </w:r>
      <w:r>
        <w:t xml:space="preserve"> </w:t>
      </w:r>
    </w:p>
    <w:bookmarkEnd w:id="45"/>
    <w:bookmarkEnd w:id="46"/>
    <w:sectPr w:rsidR="006D7629" w:rsidRPr="006D7629" w:rsidSect="00936A0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1" w:h="15840" w:w="12240"/>
      <w:pgMar w:bottom="1440" w:footer="288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48CE5" w14:textId="77777777" w:rsidR="00CA4FEF" w:rsidRDefault="00CA4F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9E55C" w14:textId="2C3F2249" w:rsidR="0032196C" w:rsidRPr="00CA4FEF" w:rsidRDefault="0032196C">
    <w:pPr>
      <w:pStyle w:val="Footer"/>
      <w:rPr>
        <w:sz w:val="18"/>
        <w:szCs w:val="18"/>
      </w:rPr>
    </w:pPr>
    <w:r w:rsidRPr="005A7AD0">
      <w:rPr>
        <w:noProof/>
        <w:sz w:val="18"/>
        <w:szCs w:val="18"/>
      </w:rPr>
      <w:drawing>
        <wp:inline distT="0" distB="0" distL="0" distR="0" wp14:anchorId="7C8FEA72" wp14:editId="511691AC">
          <wp:extent cx="401975" cy="14160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01975" cy="14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A4FEF">
      <w:rPr>
        <w:sz w:val="18"/>
        <w:szCs w:val="18"/>
      </w:rPr>
      <w:tab/>
    </w:r>
    <w:r w:rsidR="00CA4FEF" w:rsidRPr="00CA4FEF">
      <w:rPr>
        <w:sz w:val="18"/>
        <w:szCs w:val="18"/>
      </w:rPr>
      <w:t>This work is licensed under a </w:t>
    </w:r>
    <w:hyperlink r:id="rId2" w:history="1">
      <w:r w:rsidR="00CA4FEF" w:rsidRPr="00CA4FEF">
        <w:rPr>
          <w:rStyle w:val="Hyperlink"/>
          <w:sz w:val="18"/>
          <w:szCs w:val="18"/>
        </w:rPr>
        <w:t>Creative Commons Attribution-ShareAlike 4.0 International License</w:t>
      </w:r>
    </w:hyperlink>
    <w:r w:rsidR="00CA4FEF" w:rsidRPr="00CA4FEF">
      <w:rPr>
        <w:sz w:val="18"/>
        <w:szCs w:val="18"/>
      </w:rPr>
      <w:t>.</w:t>
    </w:r>
    <w:r w:rsidR="00936A05">
      <w:rPr>
        <w:sz w:val="18"/>
        <w:szCs w:val="18"/>
      </w:rPr>
      <w:br/>
    </w:r>
    <w:r w:rsidR="00CA4FEF">
      <w:rPr>
        <w:sz w:val="18"/>
        <w:szCs w:val="18"/>
      </w:rPr>
      <w:t xml:space="preserve">Remixed from </w:t>
    </w:r>
    <w:r w:rsidR="00CA4FEF">
      <w:rPr>
        <w:i/>
        <w:iCs/>
        <w:sz w:val="18"/>
        <w:szCs w:val="18"/>
      </w:rPr>
      <w:t>Precalculus: An Investigation of Functions (2</w:t>
    </w:r>
    <w:r w:rsidR="00CA4FEF" w:rsidRPr="00CA4FEF">
      <w:rPr>
        <w:i/>
        <w:iCs/>
        <w:sz w:val="18"/>
        <w:szCs w:val="18"/>
        <w:vertAlign w:val="superscript"/>
      </w:rPr>
      <w:t>nd</w:t>
    </w:r>
    <w:r w:rsidR="00CA4FEF">
      <w:rPr>
        <w:i/>
        <w:iCs/>
        <w:sz w:val="18"/>
        <w:szCs w:val="18"/>
      </w:rPr>
      <w:t xml:space="preserve"> Ed.)</w:t>
    </w:r>
    <w:r w:rsidR="00CA4FEF">
      <w:rPr>
        <w:sz w:val="18"/>
        <w:szCs w:val="18"/>
      </w:rPr>
      <w:t xml:space="preserve"> by David Lippman and Melonie Rasmussen.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880C" w14:textId="77777777" w:rsidR="00CA4FEF" w:rsidRDefault="00CA4FE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4B2A6" w14:textId="77777777" w:rsidR="00CA4FEF" w:rsidRDefault="00CA4F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6139" w14:textId="77777777" w:rsidR="00CA4FEF" w:rsidRDefault="00CA4F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9E11" w14:textId="77777777" w:rsidR="00CA4FEF" w:rsidRDefault="00CA4FE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19" w:val="bestFit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7629"/>
    <w:rPr>
      <w:rFonts w:ascii="Cambria" w:hAnsi="Cambria"/>
      <w:sz w:val="24"/>
    </w:rPr>
  </w:style>
  <w:style w:styleId="Heading1" w:type="paragraph">
    <w:name w:val="heading 1"/>
    <w:next w:val="Normal"/>
    <w:link w:val="Heading1Char"/>
    <w:uiPriority w:val="9"/>
    <w:qFormat/>
    <w:rsid w:val="00313530"/>
    <w:pPr>
      <w:keepNext/>
      <w:keepLines/>
      <w:spacing w:after="0" w:before="240"/>
      <w:ind w:left="72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D7629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6D7629"/>
    <w:rPr>
      <w:rFonts w:cstheme="majorBidi" w:eastAsiaTheme="minorEastAsia"/>
      <w:b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13530"/>
    <w:rPr>
      <w:rFonts w:cstheme="majorBidi" w:eastAsiaTheme="majorEastAsia"/>
      <w:b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E36DE9"/>
    <w:rPr>
      <w:rFonts w:cstheme="majorBidi" w:eastAsiaTheme="majorEastAsia"/>
      <w:b/>
      <w:sz w:val="28"/>
      <w:szCs w:val="26"/>
    </w:rPr>
  </w:style>
  <w:style w:styleId="Header" w:type="paragraph">
    <w:name w:val="header"/>
    <w:basedOn w:val="Normal"/>
    <w:link w:val="Head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2196C"/>
    <w:rPr>
      <w:rFonts w:ascii="Cambria" w:hAnsi="Cambria"/>
      <w:sz w:val="24"/>
    </w:rPr>
  </w:style>
  <w:style w:styleId="Footer" w:type="paragraph">
    <w:name w:val="footer"/>
    <w:basedOn w:val="Normal"/>
    <w:link w:val="FooterChar"/>
    <w:uiPriority w:val="99"/>
    <w:unhideWhenUsed/>
    <w:rsid w:val="0032196C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2196C"/>
    <w:rPr>
      <w:rFonts w:ascii="Cambria" w:hAnsi="Cambria"/>
      <w:sz w:val="24"/>
    </w:rPr>
  </w:style>
  <w:style w:styleId="Hyperlink" w:type="character">
    <w:name w:val="Hyperlink"/>
    <w:basedOn w:val="DefaultParagraphFont"/>
    <w:uiPriority w:val="99"/>
    <w:unhideWhenUsed/>
    <w:rsid w:val="0032196C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2196C"/>
    <w:rPr>
      <w:color w:val="605E5C"/>
      <w:shd w:color="auto" w:fill="E1DFDD" w:val="clear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5" Target="media/rId25.jpg" /><Relationship Type="http://schemas.openxmlformats.org/officeDocument/2006/relationships/image" Id="rId21" Target="media/rId21.jpg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image" Id="rId41" Target="media/rId41.png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12</TotalTime>
  <Pages>1</Pages>
  <Words>7</Words>
  <Characters>40</Characters>
  <Application>Microsoft Office Word</Application>
  <DocSecurity>0</DocSecurity>
  <Lines>1</Lines>
  <Paragraphs>1</Paragraphs>
  <ScaleCrop>false</ScaleCrop>
  <Company>KCTCS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 of Sines</dc:title>
  <dc:creator/>
  <cp:keywords/>
  <dcterms:created xsi:type="dcterms:W3CDTF">2022-03-21T14:12:04Z</dcterms:created>
  <dcterms:modified xsi:type="dcterms:W3CDTF">2022-03-21T14:12:04Z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Trigonometry</vt:lpwstr>
  </property>
</Properties>
</file>