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do Sistema RAG</w:t>
      </w:r>
    </w:p>
    <w:p>
      <w:r>
        <w:t>Este manual descreve o funcionamento do sistema de RAG (Retrieval-Augmented Generation).</w:t>
      </w:r>
    </w:p>
    <w:p>
      <w:pPr>
        <w:pStyle w:val="Heading2"/>
      </w:pPr>
      <w:r>
        <w:t>Arquitetura</w:t>
      </w:r>
    </w:p>
    <w:p>
      <w:r>
        <w:t>O sistema utiliza embeddings vetoriais para indexação semântica de documentos PDF, DOCX, XLSX e TXT.</w:t>
      </w:r>
    </w:p>
    <w:p>
      <w:pPr>
        <w:pStyle w:val="Heading2"/>
      </w:pPr>
      <w:r>
        <w:t>Autenticação</w:t>
      </w:r>
    </w:p>
    <w:p>
      <w:r>
        <w:t>A autenticação da API é realizada utilizando JWT (JSON Web Token).</w:t>
      </w:r>
    </w:p>
    <w:p>
      <w:pPr>
        <w:pStyle w:val="Heading2"/>
      </w:pPr>
      <w:r>
        <w:t>LLM Utilizada</w:t>
      </w:r>
    </w:p>
    <w:p>
      <w:r>
        <w:t>O modelo principal utilizado é o llama-3.3-70b-versatile executado através da infraestrutura Groq.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