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AAB0" w14:textId="27CB282F" w:rsidR="00AD41B1" w:rsidRPr="00316000" w:rsidRDefault="00AD41B1">
      <w:pPr>
        <w:rPr>
          <w:b/>
          <w:bCs/>
          <w:sz w:val="28"/>
          <w:szCs w:val="24"/>
        </w:rPr>
      </w:pPr>
      <w:r w:rsidRPr="00316000">
        <w:rPr>
          <w:b/>
          <w:bCs/>
          <w:sz w:val="28"/>
          <w:szCs w:val="24"/>
        </w:rPr>
        <w:t>3: Bilanz</w:t>
      </w:r>
    </w:p>
    <w:p w14:paraId="679DE1AE" w14:textId="77777777" w:rsidR="00AD41B1" w:rsidRPr="00316000" w:rsidRDefault="00AD41B1">
      <w:r w:rsidRPr="00316000">
        <w:t>3.1 Einführung</w:t>
      </w:r>
    </w:p>
    <w:p w14:paraId="2DCD174E" w14:textId="400053DB" w:rsidR="00441E02" w:rsidRPr="00316000" w:rsidRDefault="00C37BDF">
      <w:r w:rsidRPr="00316000">
        <w:t xml:space="preserve">Die Bilanz als Teil des Jahresabschlusses ist eine Gegenüberstellung der an einem Bilanzstichtag (z. B. dem 31.12.01) vorhandenen, nach bestimmten Grundsätzen bewerteten und in Gruppen zusammengefassten </w:t>
      </w:r>
      <w:r w:rsidRPr="00316000">
        <w:t xml:space="preserve"> Vermögensgegenstände (Aktiva), </w:t>
      </w:r>
      <w:r w:rsidRPr="00316000">
        <w:t xml:space="preserve"> Kapital, mit dem Fremdkapital und der Saldogröße Eigenkapital (Passiva). Sie stellt am Ende eines Geschäftsjahres Vermögen und Kapital bzw. Aktiva und Passiva eines Unternehmens gegenüber. Die Passivseite der Bilanz zeigt die Herkunft der finanziellen Mittel in einem Unternehmen. Die Aktivseite enthält das Vermögen, d. h. die Mittelverwendung, und zeigt die Investitionen. Die Grundlage für die Bilanz bildet die Inventur mit einer körperlichen und buchmäßigen Bestandsaufnahme des Vermögens und der Schulden. Bei der Bilanz unterscheidet man zwischen der Handelsbilanz, diese wird nach den handelsrechtlichen Vorschriften gemäß §§ 238 ff. HGB erstellt, und der Steuerbilanz, die den steuerrechtlichen Vorschriften entspricht. Die Gliederung der Bilanz nach der Kontoform hat das Aussehen wie unten (Abb. 3.1). Die Gliederung der Bilanz dient der Klarheit und der übersichtlichen Darstellung aller in der Bilanz enthaltenen Informationen. Ein einheitliches System der Gliederung dient nicht nur dem Vergleich der Bilanzen innerhalb eines Unternehmens, sondern auch dem Vergleich der Bilanzen unterschiedlicher Unternehmen. Dabei werden die Aktiva </w:t>
      </w:r>
      <w:proofErr w:type="gramStart"/>
      <w:r w:rsidRPr="00316000">
        <w:t>( Vermögensgegenstände</w:t>
      </w:r>
      <w:proofErr w:type="gramEnd"/>
      <w:r w:rsidRPr="00316000">
        <w:t>) entsprechend dem Grad ihrer üblichen Bindungsdauer (Liquidierbarkeit) und die Passiva entsprechend ihrer Fälligkeit (Überlassungsdauer) gegliedert.</w:t>
      </w:r>
    </w:p>
    <w:p w14:paraId="0D4A6EA9" w14:textId="49CBF66C" w:rsidR="00AD41B1" w:rsidRPr="00316000" w:rsidRDefault="00AD41B1">
      <w:r w:rsidRPr="00316000">
        <w:t>3.2 Bilanzarten</w:t>
      </w:r>
    </w:p>
    <w:p w14:paraId="41B0A163" w14:textId="53573A49" w:rsidR="00C37BDF" w:rsidRPr="00316000" w:rsidRDefault="00C37BDF">
      <w:r w:rsidRPr="00316000">
        <w:t xml:space="preserve">Es gibt verschiedene Merkmale, nach denen Bilanzen kategorisiert werden können: </w:t>
      </w:r>
      <w:r w:rsidRPr="00316000">
        <w:t xml:space="preserve"> nach der Häufigkeit der Bilanzerstellung, </w:t>
      </w:r>
      <w:r w:rsidRPr="00316000">
        <w:t xml:space="preserve"> nach dem Adressatenkreis und dem Bilanzierungsanlass, </w:t>
      </w:r>
      <w:r w:rsidRPr="00316000">
        <w:t> nach der gesetzlichen Bestimmung zur Bilanzerstellung. Die folgende Tabelle stellt die Gruppierung der oben genannten drei Merkmale und die dazugehörigen Bilanzarten dar.</w:t>
      </w:r>
    </w:p>
    <w:p w14:paraId="2927535D" w14:textId="1859D994" w:rsidR="00C37BDF" w:rsidRPr="00316000" w:rsidRDefault="00C37BDF">
      <w:r w:rsidRPr="00316000">
        <w:t xml:space="preserve">Zu den laufenden Bilanzen, die auch als ordentliche Bilanzen bezeichnet werden, gehören die Monats-, die Quartals- und die Jahresbilanz. Die Jahresbilanz ist die wichtigste und am häufigsten verwendete Bilanzart. Sonderbilanzen werden auch als </w:t>
      </w:r>
      <w:r w:rsidRPr="00316000">
        <w:lastRenderedPageBreak/>
        <w:t>außerordentliche Bilanzen bezeichnet, da sie, wie z. B. die Gründungsbilanz, nur einmalig und nicht für jede Periode erstellt werden.</w:t>
      </w:r>
    </w:p>
    <w:p w14:paraId="55941FFA" w14:textId="06F698D6" w:rsidR="00AD41B1" w:rsidRPr="00316000" w:rsidRDefault="00AD41B1">
      <w:r w:rsidRPr="00316000">
        <w:t>3.3 Handelsbilanz und Steuerbilanz im Vergleich</w:t>
      </w:r>
    </w:p>
    <w:p w14:paraId="012A0034" w14:textId="1893A932" w:rsidR="00C37BDF" w:rsidRPr="00316000" w:rsidRDefault="00C37BDF">
      <w:r w:rsidRPr="00316000">
        <w:t>Handelsbilanz und Steuerbilanz im Vergleich Handels- und Steuerbilanz können übereinstimmen, sie müssen es aber nicht. Falls beide Bilanzen übereinstimmen, so spricht man von einer Einheitsbilanz. 3.3.1 Die Handelsbilanz Die Handelsbilanz ist eine Bilanz, deren Vorschriften aus dem Handelsrecht hervorgehen. Sie wird jährlich aufgestellt und dient einerseits als Erfolgsbilanz, um das Bilanzergebnis, also den.</w:t>
      </w:r>
    </w:p>
    <w:p w14:paraId="58955651" w14:textId="044301F5" w:rsidR="00C37BDF" w:rsidRPr="00316000" w:rsidRDefault="00C37BDF">
      <w:r w:rsidRPr="00316000">
        <w:t>Bilanzgewinn oder den Bilanzverlust, einer Periode auszuweisen. Zum anderen weist sie als Vermögensbilanz das Vermögen, Eigen- und Fremdkapital aus. Das Bilanzergebnis wird mithilfe des Jahresergebnisses, das entweder als Jahresüberschuss oder als Jahresfehlbetrag vorliegt, ermittelt. Ein Jahresüberschuss entsteht, wenn die Erträge die Aufwendungen während einer Rechnungslegungsperiode übersteigen. Dementsprechend gilt, dass ein Jahresfehlbetrag aus einem Überschuss an Aufwendungen gegenüber den Erträgen hervorgeht.6 Das Bilanzergebnis wird folgendermaßen ermittelt: Jahresüberschuss bzw. Jahresfehlbetrag + Gewinnvortrag aus dem Vorjahr - Verlustvortrag aus dem Vorjahr + Entnahme aus der Kapitalrücklage zum Ausgleich + Entnahme aus Gewinnrücklagen a) aus der gesetzlichen Rücklage b) aus der Rücklage für Anteile an dem herrschenden oder mit Mehrheit beteiligten Unternehmen c) aus satzungsmäßigen Rücklagen d) aus anderen Gewinnrücklagen - Einstellungen in Gewinnrücklagen a) in die gesetzliche Rücklage b) in die Rücklage für Anteile an dem herrschenden oder mit Mehrheit beteiligten Unternehmen c) in satzungsmäßige Rücklagen d) in andere Gewinnrücklagen = Bilanzergebnis (Bilanzgewinn bzw. Bilanzverlust) Abb. 3.3: Ermittlung des Bilanzgewinns bzw. des Bilanzverlusts Der Bilanzgewinn ist der Restgewinn des Jahresüberschusses, der nicht in die Gewinnrücklagen eingestellt wurde. Er wird von der Hauptversammlung oder Gesellschafterversammlung den Anteilseignern zur Ausschüttung vorgeschlagen.</w:t>
      </w:r>
    </w:p>
    <w:p w14:paraId="62863B93" w14:textId="1BAE4D20" w:rsidR="00C37BDF" w:rsidRPr="00316000" w:rsidRDefault="00AD41B1">
      <w:r w:rsidRPr="00316000">
        <w:t>3.3.2 Die Steuerbilanz</w:t>
      </w:r>
    </w:p>
    <w:p w14:paraId="232E71BE" w14:textId="71DC3F87" w:rsidR="00C37BDF" w:rsidRPr="00316000" w:rsidRDefault="00C37BDF">
      <w:r w:rsidRPr="00316000">
        <w:t xml:space="preserve">Die Steuerbilanz Die Steuerbilanz wird nach steuerrechtlichen Vorschriften gemäß § 60 Abs. 2 EStDV erstellt und dient der Ermittlung der Steuerlast für das Finanzamt. Die Aufgabe der Steuerbilanz besteht darin, gemäß § 5 Abs. 1 EStG den steuerrechtlichen </w:t>
      </w:r>
      <w:r w:rsidRPr="00316000">
        <w:lastRenderedPageBreak/>
        <w:t>Gewinn, oder anders ausgedrückt: das zu versteuernde Einkommen, mithilfe der ertragsteuerlichen Grundlagen zu ermitteln. Zur Gruppe der Ertragsteuern gehören die Einkommensteuer (ESt), die Körperschaftsteuer (</w:t>
      </w:r>
      <w:proofErr w:type="spellStart"/>
      <w:r w:rsidRPr="00316000">
        <w:t>KSt</w:t>
      </w:r>
      <w:proofErr w:type="spellEnd"/>
      <w:r w:rsidRPr="00316000">
        <w:t>) und die Gewerbesteuer (GewSt).</w:t>
      </w:r>
    </w:p>
    <w:p w14:paraId="64390134" w14:textId="193EE7D1" w:rsidR="00C37BDF" w:rsidRPr="00316000" w:rsidRDefault="00C37BDF">
      <w:r w:rsidRPr="00316000">
        <w:t>Laut § 4 Abs. 1 Satz 1 EStG berechnet sich der Gewinn/Verlust wie folgt: Betriebsvermögen am Ende des Wirtschaftsjahres - Betriebsvermögen am Ende des vorangegangenen Wirtschaftsjahres + Entnahmen - Einlagen = Gewinn oder Verlust Abb. 3.4: Steuerrechtliche Gewinnermittlung nach § 4 Abs. 1 Satz EstG</w:t>
      </w:r>
    </w:p>
    <w:p w14:paraId="2BDCD28B" w14:textId="77777777" w:rsidR="00C37BDF" w:rsidRPr="00316000" w:rsidRDefault="00C37BDF"/>
    <w:p w14:paraId="20AF1B1B" w14:textId="66532DAD" w:rsidR="00C37BDF" w:rsidRPr="00316000" w:rsidRDefault="00C37BDF">
      <w:r w:rsidRPr="00316000">
        <w:t xml:space="preserve">Die Handels- und Steuerbilanz sind in Deutschland eng miteinander verbunden. Dies ergibt sich aus dem </w:t>
      </w:r>
      <w:proofErr w:type="spellStart"/>
      <w:r w:rsidRPr="00316000">
        <w:t>Maßgeblichkeitsprinzip</w:t>
      </w:r>
      <w:proofErr w:type="spellEnd"/>
      <w:r w:rsidRPr="00316000">
        <w:t xml:space="preserve"> nach § 5 Abs. 1 Satz 1 EStG, welches besagt, dass die meisten Wertansätze der Handelsbilanz auch für die Steuerbilanz gelten.7 Abweichungen zwischen der Handels- und der Steuerbilanz entstehen vor allem deshalb, weil die steuerrechtlichen Bilanzierungs- und Bewertungsvorschriften oft weniger Spielraum zulassen als die handelsrechtlichen Vorschriften. Diese strengeren Regelungen in der Steuerbilanz stammen daher, dass der steuerrechtliche Jahresabschluss andere Ziele verfolgt als der handelsrechtliche Jahresabschluss. Da die Handelsbilanz vor allem die Aufgabe der Transparenz eines Unternehmens und des Informationsflusses zwischen Unternehmen und Außenstehenden erfüllt, werden bei der Aufstellung einige Ermessensspielräume zugelassen. Der steuerrechtliche Jahresabschluss hingegen hat sich an die allgemein geltenden Besteuerungsprinzipien zu halten. Die beiden Prinzipien Gleichmäßigkeit der Besteuerung und Prinzip der objektivierten Gewinnermittlung besagen einerseits, dass für gleiche Wirtschaftssubjekte immer die gleichen Besteuerungsgrundlagen gelten, und andererseits, dass dem Bilanzierenden so wenig Freiraum wie möglich zugestanden wird. Das soll verhindern, dass der Steuerpflichtige die Möglichkeit hat, seine Steuerbelastung zeitlich zu verschieben. Durch diese Vorbehalte kommt es meist zu höheren bzw. zeitlich früheren Gewinnen in der Steuerbilanz als in der Handelsbilanz.</w:t>
      </w:r>
    </w:p>
    <w:p w14:paraId="0D000AEA" w14:textId="77777777" w:rsidR="00C37BDF" w:rsidRPr="00316000" w:rsidRDefault="00C37BDF"/>
    <w:p w14:paraId="1FDEC07E" w14:textId="77777777" w:rsidR="00AD41B1" w:rsidRPr="00316000" w:rsidRDefault="00AD41B1"/>
    <w:p w14:paraId="645A0FFB" w14:textId="77777777" w:rsidR="00AD41B1" w:rsidRPr="00316000" w:rsidRDefault="00AD41B1"/>
    <w:p w14:paraId="694C5458" w14:textId="77777777" w:rsidR="00AD41B1" w:rsidRPr="00316000" w:rsidRDefault="00C37BDF">
      <w:r w:rsidRPr="00316000">
        <w:lastRenderedPageBreak/>
        <w:t xml:space="preserve">3.4 Bilanztheorien </w:t>
      </w:r>
    </w:p>
    <w:p w14:paraId="083BBE16" w14:textId="77777777" w:rsidR="00AD41B1" w:rsidRPr="00316000" w:rsidRDefault="00C37BDF">
      <w:r w:rsidRPr="00316000">
        <w:t xml:space="preserve">Aus der Betriebswirtschaftslehre gehen verschiedene Bilanztheorien hervor, die den Zweck der Bilanzen erklären sollen. Die Bilanztheorien beschäftigen sich mit dem Inhalt, der Aufgabe und der Ausgestaltung des Jahresabschlusses. Obwohl diese Theorien oder Auffassungen nicht unbedingt maßgeblich für die praxisrelevante Bilanz im Rechtssinne sind, beeinflussen sie die Gesetzgebung, Rechtsfortbildung und Rechtsanwendung. Das ist vor allem der Fall, wenn die Zwecksetzungen einer Bilanz gesetzlich und betriebswirtschaftlich übereinstimmen oder Gesetzeslücken geschlossen werden sollen.11 Die statische, dynamische und organische Bilanzauffassung stellen die drei klassischen Bilanztheorien dar. </w:t>
      </w:r>
    </w:p>
    <w:p w14:paraId="21D756B6" w14:textId="77777777" w:rsidR="00AD41B1" w:rsidRPr="00316000" w:rsidRDefault="00C37BDF">
      <w:r w:rsidRPr="00316000">
        <w:t xml:space="preserve">3.4.1 Statische Bilanzauffassung </w:t>
      </w:r>
    </w:p>
    <w:p w14:paraId="4496D93F" w14:textId="76F7F74E" w:rsidR="00C37BDF" w:rsidRPr="00316000" w:rsidRDefault="00C37BDF">
      <w:r w:rsidRPr="00316000">
        <w:t>Die statische Bilanztheorie besagt, dass die Aufgabe der Bilanz primär darin liegt, das Reinvermögen (Vermögen minus Schulden) eines Unternehmens, überwiegend im Interesse der Gläubiger, zu einem bestimmten Bilanzstichtag zu ermitteln. Daher werden nur selbstständige Vermögensbestandteile und Schulden in der Bilanz ausgewiesen, die außerdem eindeutig zu bewerten sind. Die Vermögensbestandteile werden mit den Anschaffungs- oder Herstellungskosten bzw. mit dem niedrigeren beizulegenden Wert bewertet. Für die Vermögensgegenstände gilt das Niederstwertprinzip. Die Schulden sind mit ihrem Erfüllungsbetrag am Bilanzstichtag anzusetzen, hier gilt das Höchstwertprinzip. Ziel der statischen Bilanz ist vor allem die Vermögensbestandsermittlung. Die Vermögensmehrung innerhalb einer Periode wird als Gewinn bezeichnet.</w:t>
      </w:r>
    </w:p>
    <w:p w14:paraId="40B3C27D" w14:textId="77777777" w:rsidR="00C37BDF" w:rsidRPr="00316000" w:rsidRDefault="00C37BDF"/>
    <w:p w14:paraId="77CC40B0" w14:textId="77777777" w:rsidR="00AD41B1" w:rsidRPr="00316000" w:rsidRDefault="00C37BDF">
      <w:r w:rsidRPr="00316000">
        <w:t xml:space="preserve">3.4.2 Dynamische Bilanzauffassung </w:t>
      </w:r>
    </w:p>
    <w:p w14:paraId="664A4496" w14:textId="6E240B23" w:rsidR="00C37BDF" w:rsidRPr="00316000" w:rsidRDefault="00C37BDF">
      <w:r w:rsidRPr="00316000">
        <w:t xml:space="preserve">Im Gegensatz zur statischen Bilanztheorie liegt das Ziel der dynamischen Bilanztheorie darin, den Erfolg eines Unternehmens zu analysieren. Der Jahresabschluss stellt nach der dynamischen Bilanztheorie eine Zeitraumrechnung dar. Der Erfolg wird definiert als Differenzbetrag zwischen Ertrag und Aufwand.12 Aufwendungen ergeben sich innerhalb eines Geschäftsjahres durch den Verbrauch von Gütern und Dienstleistungen (z. B. durch Abschreibungen, Materialverbrauch, Löhne und Gehälter, Zinsen etc.). Der Ertrag (z. B. Umsatzerlöse, Mieterträge, Zuschreibungen, Zinserträge etc.) steht dem Aufwand gegenüber und bezeichnet den </w:t>
      </w:r>
      <w:r w:rsidRPr="00316000">
        <w:lastRenderedPageBreak/>
        <w:t xml:space="preserve">Wertezuwachs, den ein Unternehmen innerhalb einer Periode erzielt. Die Aufstellung der Bilanz findet über die verursachungsgerechte Periodenzurechnung von Einnahmen und Ausgaben statt. Dies erfolgt durch die Erfassung künftiger Aufwendungen und Einnahmen auf der Aktivseite sowie künftiger Ausgaben und Erträge auf der Passivseite.13 Die dynamische Bilanzauffassung folgt dem Prinzip der Verursachung. Es ist von größter Bedeutung, dass die Ausgaben und Einnahmen zeitlich korrekt zugeordnet werden. Auch Rückstellungen, dies sind ungewisse Verpflichtungen, folgen dem Verursachungsprinzip, d. h. sie werden in dem Jahr erfasst, in dem sie zustande gekommen sind. Sie werden, anders als bei der statischen Bilanztheorie, auch dann erfasst, wenn zum Zeitpunkt des Stichtags noch keine Verbindlichkeit besteht. Bei der dynamischen Bilanzauffassung werden Rechnungsabgrenzungsposten nicht vernachlässigt. Sie werden auch dann erfasst, wenn sie keine Verpflichtung darstellen. Ein Beispiel hierfür </w:t>
      </w:r>
      <w:proofErr w:type="gramStart"/>
      <w:r w:rsidRPr="00316000">
        <w:t>sind</w:t>
      </w:r>
      <w:proofErr w:type="gramEnd"/>
      <w:r w:rsidRPr="00316000">
        <w:t xml:space="preserve"> bezahlte Kfz-Steuern, die auch in der folgenden Periode wieder anfallen.</w:t>
      </w:r>
    </w:p>
    <w:p w14:paraId="583B6C5B" w14:textId="77777777" w:rsidR="00C37BDF" w:rsidRPr="00316000" w:rsidRDefault="00C37BDF"/>
    <w:p w14:paraId="6869F76A" w14:textId="77777777" w:rsidR="00AD41B1" w:rsidRPr="00316000" w:rsidRDefault="00C37BDF">
      <w:r w:rsidRPr="00316000">
        <w:t xml:space="preserve">3.4.3 Organische Bilanzauffassung </w:t>
      </w:r>
    </w:p>
    <w:p w14:paraId="1F9C530F" w14:textId="71DA8D41" w:rsidR="00C37BDF" w:rsidRPr="00316000" w:rsidRDefault="00C37BDF">
      <w:r w:rsidRPr="00316000">
        <w:t xml:space="preserve">Mit der organischen Bilanzauffassung werden das Vermögen und der Erfolg eines Unternehmens ermittelt. Hauptmerkmal dieser Bilanztheorie ist die Berücksichtigung der Verbindung zwischen dem Unternehmen und der volkswirtschaftlichen Geldwertänderung. Daher ist für die Bewertung und die Abschreibungen der Wiederbeschaffungswert am Bilanzstichtag maßgeblich. So sollen Geldwertschwankungen aus der Bilanz beseitigt werden. Das Ergebnis ist dann der Unterschiedsbetrag zwischen dem, jeweils nach Wiederbeschaffungskosten bewerteten Anfangs- und Endvermögen.16 Mithilfe dieser Theorie sollen Scheingewinne verhindert werden. Scheingewinne entstehen, wenn der Geldwert sinkt und die Wiederbeschaffungskosten, für z. B. Vorräte, steigen. Das bedeutet, dass der Wert der Ware zwar nominal gestiegen ist, real, oder anders ausgedrückt: substanziell, aber </w:t>
      </w:r>
      <w:proofErr w:type="gramStart"/>
      <w:r w:rsidRPr="00316000">
        <w:t>gleich geblieben</w:t>
      </w:r>
      <w:proofErr w:type="gramEnd"/>
      <w:r w:rsidRPr="00316000">
        <w:t xml:space="preserve"> oder sogar gesunken ist.</w:t>
      </w:r>
    </w:p>
    <w:p w14:paraId="690EFF9F" w14:textId="77777777" w:rsidR="00C37BDF" w:rsidRPr="00316000" w:rsidRDefault="00C37BDF"/>
    <w:p w14:paraId="1417F17C" w14:textId="77777777" w:rsidR="00AD41B1" w:rsidRPr="00316000" w:rsidRDefault="00AD41B1"/>
    <w:p w14:paraId="5E5736CC" w14:textId="77777777" w:rsidR="00AD41B1" w:rsidRPr="00316000" w:rsidRDefault="00AD41B1"/>
    <w:p w14:paraId="2C94F0EA" w14:textId="77777777" w:rsidR="00AD41B1" w:rsidRPr="00316000" w:rsidRDefault="00AD41B1"/>
    <w:p w14:paraId="3964D2F8" w14:textId="77777777" w:rsidR="00AD41B1" w:rsidRPr="00316000" w:rsidRDefault="00C37BDF">
      <w:r w:rsidRPr="00316000">
        <w:lastRenderedPageBreak/>
        <w:t xml:space="preserve">3.5 Ausgewählte Posten des Anlagevermögens </w:t>
      </w:r>
    </w:p>
    <w:p w14:paraId="3F1BB155" w14:textId="444580A3" w:rsidR="00C37BDF" w:rsidRPr="00316000" w:rsidRDefault="00C37BDF">
      <w:r w:rsidRPr="00316000">
        <w:t xml:space="preserve">Zum Anlagevermögen gehören alle Vermögensgegenstände, die dazu bestimmt sind, </w:t>
      </w:r>
      <w:proofErr w:type="gramStart"/>
      <w:r w:rsidRPr="00316000">
        <w:t>dauernd ,</w:t>
      </w:r>
      <w:proofErr w:type="gramEnd"/>
      <w:r w:rsidRPr="00316000">
        <w:t xml:space="preserve"> d. h. in der Regel länger als 12 Monate dem Geschäftsbetrieb des Unternehmens zu dienen und die technische Betriebsbereitschaft zu sichern (§ 247 Abs. 2 HGB). Das Anlagevermögen besteht aus immateriellen Vermögensgegenständen, Sach- und Finanzanlagen. 3.5.1 Immaterielle Vermögensgegenstände Diese sind nicht materiell, d. h., sie sind nicht körperlich fassbar, und stellen keine finanziellen Vermögensgegenstände dar. Es handelt sich bei ihnen überwiegend um Wissen, Rechte, rechtsähnliche Werte und sonstige Vorteile; siehe folgende Abbildung: Rechte rechtsähnliche Werte sonstige Vorteile • Markenrechte • Patente • Gebrauchsmuster • Urheberrechte • Lizenzen • Nutzungsrechte • Konzessionen • Wettbewerbsrechte • Vertriebsrechte • Vorkaufsrechte • Geheimverfahren • Fertigungsverfahren Abb. 3.5: Beispiele für immaterielle Vermögensgegenstände Bei den immateriellen Vermögensgegenständen besteht: </w:t>
      </w:r>
      <w:r w:rsidRPr="00316000">
        <w:t xml:space="preserve"> eine Aktivierungspflicht für entgeltlich erworbene immaterielle Vermögensgegenstände sowie für selbst geschaffenes immaterielles Umlaufvermögen, und </w:t>
      </w:r>
      <w:r w:rsidRPr="00316000">
        <w:t xml:space="preserve"> ein Aktivierungswahlrecht für selbst geschaffene immaterielle Vermögensgegenstände des Anlagevermögens (§ 248 Abs. 2 HGB), wenn sie einzeln verwertbar sind, sei es durch Veräußerung oder anderweitig (beispielsweise durch Verarbeitung, Verbrauch oder Nutzungsüberlassung17). Um eine Ausschüttung solcher Beträge auszuschließen, wurde in § 268 Abs. 8 HGB eine Ausschüttungssperre eingebaut, wonach das Volumen selbst erstellter immaterieller Vermögensgegenstände abzüglich der dafür gebildeten passiven latenten Steuern nicht ausschüttbar ist. Für selbsterstelltes immaterielles Vermögen gilt gemäß §§ 248 und 255 Abs. 2a </w:t>
      </w:r>
      <w:proofErr w:type="gramStart"/>
      <w:r w:rsidRPr="00316000">
        <w:t>HGB Folgendes</w:t>
      </w:r>
      <w:proofErr w:type="gramEnd"/>
      <w:r w:rsidRPr="00316000">
        <w:t xml:space="preserve">: </w:t>
      </w:r>
    </w:p>
    <w:p w14:paraId="198495FC" w14:textId="643DE736" w:rsidR="00C37BDF" w:rsidRPr="00316000" w:rsidRDefault="00C37BDF">
      <w:r w:rsidRPr="00316000">
        <w:t xml:space="preserve">Ansatzverbot für: Aufwendungen für die Gründung eines Unternehmens </w:t>
      </w:r>
      <w:r w:rsidRPr="00316000">
        <w:t xml:space="preserve"> Aufwendungen für die Beschaffung des Eigenkapitals </w:t>
      </w:r>
      <w:r w:rsidRPr="00316000">
        <w:t xml:space="preserve"> Aufwendungen für den Abschluss von Versicherungsverträgen </w:t>
      </w:r>
      <w:r w:rsidRPr="00316000">
        <w:t xml:space="preserve"> selbst erstellte Marken, Drucktitel, Verlagsrechte, Kundenlisten, vergleichbare immaterielle Vermögensgegenstände des Anlagevermögens (§ 248 Abs. 2 Satz 2 HGB) </w:t>
      </w:r>
      <w:r w:rsidRPr="00316000">
        <w:t xml:space="preserve"> Forschungs- und Vertriebskosten (§ 255 Abs. 2 Satz 4 HGB) </w:t>
      </w:r>
      <w:r w:rsidRPr="00316000">
        <w:t xml:space="preserve"> Ausgaben, bei denen sich die Zwecke Forschung und Entwicklung nicht verlässlich voneinander unterscheiden lassen (§ 255 Abs. 2a Satz 4 HGB) Ansatzpflicht für: </w:t>
      </w:r>
      <w:r w:rsidRPr="00316000">
        <w:t xml:space="preserve"> entgeltlich erworbene immaterielle Rechte (z. B. Konzessionen, gewerbliche Schutzrechte) </w:t>
      </w:r>
      <w:r w:rsidRPr="00316000">
        <w:t xml:space="preserve"> entgeltlich erworbenen Geschäfts- oder </w:t>
      </w:r>
      <w:r w:rsidRPr="00316000">
        <w:lastRenderedPageBreak/>
        <w:t xml:space="preserve">Firmenwert (§ 246 Abs. 1 Satz 4 HGB) </w:t>
      </w:r>
      <w:r w:rsidRPr="00316000">
        <w:t xml:space="preserve"> selbst geschaffenes immaterielles Umlaufvermögen (z. B. Software zum Verkauf an Dritte bestimmt, Forschungstätigkeit im Auftrag nach Weisung und Rechnung Dritter) Ansatzwahlrecht für: </w:t>
      </w:r>
      <w:r w:rsidRPr="00316000">
        <w:t> Ausgaben von Entwicklungskosten, d. h. Anwendung der Forschungsergebnisse.</w:t>
      </w:r>
    </w:p>
    <w:p w14:paraId="52D575F0" w14:textId="77777777" w:rsidR="00C37BDF" w:rsidRPr="00316000" w:rsidRDefault="00C37BDF"/>
    <w:p w14:paraId="1C891E7E" w14:textId="77777777" w:rsidR="00AD41B1" w:rsidRPr="00316000" w:rsidRDefault="00C37BDF">
      <w:r w:rsidRPr="00316000">
        <w:t xml:space="preserve">3.5.1.1 Selbst geschaffene gewerbliche Schutzrechte und ähnliche Rechte und Werte </w:t>
      </w:r>
    </w:p>
    <w:p w14:paraId="2653CD85" w14:textId="68EB0E1B" w:rsidR="00C37BDF" w:rsidRPr="00316000" w:rsidRDefault="00C37BDF">
      <w:r w:rsidRPr="00316000">
        <w:t>Hierbei handelt es sich um immaterielle Vermögensgegenstände, die das Unternehmen nicht entgeltlich von Dritten erworben, sondern selbst hergestellt hat. Typische Beispiele für solche immateriellen Vermögensgegenstände sind selbst erstellte Entwicklungsprozesse, Produktionsverfahren und Software. Die Aktivierung beschränkt sich auf die angefallenen Herstellungsaufwendungen während der Entwicklungsphase. Kosten für die Forschung dürfen nach § 255 Abs. 2 Satz 4 HGB nicht aktiviert werden. Oftmals sind Forschung und Entwicklung nur sehr schwer voneinander abzugrenzen, z. B. wenn Forschung und Entwicklung nicht nacheinander, sondern parallel laufen. Ist eine Unterscheidung zwischen Forschung- und Entwicklungskosten nicht möglich, besteht gemäß § 255 Abs. 2a Satz 4 HGB ein Aktivierungsverbot. Die angefallenen Kosten sind dann als Aufwendungen in der Gewinn- und Verlustrechnung erfolgswirksam zu verbuchen. Merke Handelsrechtlich besteht für selbst erstellte immaterielle Vermögensgegenstände des Anlagevermögens ein Aktivierungswahlrecht. Steuerrechtlich besteht aber ein Aktivierungsverbot.</w:t>
      </w:r>
    </w:p>
    <w:p w14:paraId="3A493283" w14:textId="77777777" w:rsidR="00C37BDF" w:rsidRPr="00316000" w:rsidRDefault="00C37BDF"/>
    <w:p w14:paraId="2BEC075F" w14:textId="77777777" w:rsidR="00AD41B1" w:rsidRPr="00316000" w:rsidRDefault="00C37BDF">
      <w:r w:rsidRPr="00316000">
        <w:t xml:space="preserve">Sachanlagen </w:t>
      </w:r>
      <w:proofErr w:type="spellStart"/>
      <w:r w:rsidRPr="00316000">
        <w:t>Sachanlagen</w:t>
      </w:r>
      <w:proofErr w:type="spellEnd"/>
      <w:r w:rsidRPr="00316000">
        <w:t xml:space="preserve"> sind physisch greifbare Vermögensgegenstände, die entweder keiner ständigen Wertminderung unterliegen (z. B. Grundstücke) oder deren Werte durch Nutzung und im Zeitablauf kontinuierlich abnehmen (z. B. Maschinen, Fahrzeuge, Gebäude und BGA). 3.5.2.1 Grundstücke, grundstücksgleiche Rechte und Bauten einschl. der Bauten auf fremden Grundstücken Dieser Posten umfasst die unbeweglichen Sachanlagen. Steuerrechtlich spricht man vom Posten des Grund und Bodens. Dazu gehören: </w:t>
      </w:r>
      <w:r w:rsidRPr="00316000">
        <w:t xml:space="preserve"> Grundstücke: Hier ist eine festgelegte Fläche des Grund und Bodens gemeint. Man unterscheidet zwischen bebautem und unbebautem Grund und Boden, der im Eigentum des Unternehmens steht. Grundstücke gehören zu den nicht abnutzbaren Vermögensgegenständen, weshalb sie keiner planmäßigen </w:t>
      </w:r>
      <w:r w:rsidRPr="00316000">
        <w:lastRenderedPageBreak/>
        <w:t xml:space="preserve">Abschreibung unterliegen. </w:t>
      </w:r>
      <w:r w:rsidRPr="00316000">
        <w:t xml:space="preserve"> Grundstücksgleiche Rechte: Dies sind dingliche Rechte, die im BGB den Vorschriften über Grundstücke unterliegen19, wie z. B. Erbbaurecht, Bergwerkseigentum, Dauerwohn- und Nutzungsrecht. </w:t>
      </w:r>
      <w:r w:rsidRPr="00316000">
        <w:t xml:space="preserve"> Bauten: Zu den Bauten zählen Gebäude und (unselbstständige) Gebäudeteile, die in einem einheitlichen Nutzungszusammenhang mit dem Gebäude stehen, wie z. B. Heizungs-, Beleuchtungs-, Lüftungsanlagen, Zuleitungen, Rolltreppen, Installationen (wenn sie wirtschaftlich als Teil des Gebäudes anzusehen sind und keine Betriebsvorrichtungen darstellen). </w:t>
      </w:r>
      <w:r w:rsidRPr="00316000">
        <w:t xml:space="preserve"> Andere Bauten: Sie dienen besonderen Zwecken und sind gesondert zu aktivieren, wie z. B. Straßen, Parkplätze, Brücken, Eisenbahnanlagen, Hafenanlagen etc. </w:t>
      </w:r>
      <w:r w:rsidRPr="00316000">
        <w:t xml:space="preserve"> Bauten auf fremden Grundstücken: wenn die Bebauung auf einem gemieteten bzw. gepachteten Grundstück erfolgt. </w:t>
      </w:r>
    </w:p>
    <w:p w14:paraId="6B50BDCD" w14:textId="77777777" w:rsidR="00AD41B1" w:rsidRPr="00316000" w:rsidRDefault="00C37BDF">
      <w:r w:rsidRPr="00316000">
        <w:t xml:space="preserve">3.5.2.2 Technische Anlagen und Maschinen </w:t>
      </w:r>
    </w:p>
    <w:p w14:paraId="019B63D1" w14:textId="18E38422" w:rsidR="00C37BDF" w:rsidRPr="00316000" w:rsidRDefault="00C37BDF">
      <w:r w:rsidRPr="00316000">
        <w:t xml:space="preserve">Der nächste Posten der Sachanlagen heißt technische Anlagen und Maschinen. Dieser umfasst „diejenigen Vermögensgegenstände des Anlagevermögens, die unmittelbar dem betrieblichen Leistungserstellungsprozess dienen.“20 D. h. diese Vermögensgegenstände werden für den Produktionsprozess benötigt. Sie können wie folgt unterschieden werden: </w:t>
      </w:r>
      <w:r w:rsidRPr="00316000">
        <w:t xml:space="preserve"> Technische Anlagen: z. B. Hochöfen, Tanks, Anlagen der chemischen Industrie, Kraftwerke, Transportanlagen, Krananlagen etc. </w:t>
      </w:r>
      <w:r w:rsidRPr="00316000">
        <w:t xml:space="preserve"> Maschinen: z. B. Werkzeugmaschinen, Bohr-, Dreh-, Fräs-, Schleif- und Stanzmaschinen, </w:t>
      </w:r>
      <w:proofErr w:type="spellStart"/>
      <w:r w:rsidRPr="00316000">
        <w:t>Setzund</w:t>
      </w:r>
      <w:proofErr w:type="spellEnd"/>
      <w:r w:rsidRPr="00316000">
        <w:t xml:space="preserve"> Druckmaschinen, Bagger, Arbeitsbühnen etc. 3.5.2.3 Andere Anlagen, Betriebs- und Geschäftsausstattung Zu unterscheiden von den vorherigen beiden Posten ist der Posten der anderen Anlagen, Betriebs- und Geschäftsausstattung. Er kann wie folgt differenziert werden: </w:t>
      </w:r>
      <w:r w:rsidRPr="00316000">
        <w:t xml:space="preserve"> Andere Anlagen: Sammelposten für Sachanlagen, die nicht eindeutig einem anderen Posten zuzuordnen sind, wie z. B. Telefon-, Überwachungsanlagen, Feuerlöscheinrichtungen etc. </w:t>
      </w:r>
      <w:r w:rsidRPr="00316000">
        <w:t> Betriebs- und Geschäftsausstattung: Dies betrifft Vermögensgegenstände, die in erster Linie der Verwaltung und dem Vertrieb dienen, wie z. B. Büro- und Lagereinrichtung, Fuhrpark, Kantinen, geringwertige Wirtschaftsgüter etc.</w:t>
      </w:r>
    </w:p>
    <w:p w14:paraId="6661CE5A" w14:textId="77777777" w:rsidR="00C37BDF" w:rsidRPr="00316000" w:rsidRDefault="00C37BDF"/>
    <w:p w14:paraId="5799835A" w14:textId="77777777" w:rsidR="00AD41B1" w:rsidRPr="00316000" w:rsidRDefault="00C37BDF">
      <w:r w:rsidRPr="00316000">
        <w:t xml:space="preserve">3.5.2.4 Geleistete Anzahlungen und Anlagen im Bau Anzahlungen, die ein Unternehmer auf Sachanlagen leistet, werden auf dem Konto „Geleistete Anzahlungen auf Sachanlagen“ gebucht und in der Bilanz unter dem Posten „Geleistete Anzahlungen und Anlagen im Bau“ separat ausgewiesen. </w:t>
      </w:r>
      <w:r w:rsidRPr="00316000">
        <w:t xml:space="preserve"> Geleistete Anzahlungen </w:t>
      </w:r>
      <w:r w:rsidRPr="00316000">
        <w:lastRenderedPageBreak/>
        <w:t xml:space="preserve">sind Vorleistungen auf eine vom anderen Vertragsteil zu erbringende Lieferung/Leistung, deren Lieferung bis zum Bilanzstichtag noch nicht erfolgt ist. Hier liegt ein schwebendes Geschäft vor, das erfolgsneutral ausgewiesen wird. </w:t>
      </w:r>
      <w:r w:rsidRPr="00316000">
        <w:t xml:space="preserve"> Der Bilanzposten „Anlagen im Bau“ enthält sämtliche (aktivierungsfähige) Aufwendungen für Eigen- und Fremdleistungen, die zum Bilanzstichtag für unvollendete und damit noch nicht nutzbare Sachanlagegüter angefallen sind. Die Anzahlungen sind mit den tatsächlich geleisteten Beträgen und die Anlagen im Bau sind mit den Anschaffungs- oder Herstellungskosten anzusetzen. </w:t>
      </w:r>
    </w:p>
    <w:p w14:paraId="3A3EE9B4" w14:textId="77777777" w:rsidR="00AD41B1" w:rsidRPr="00316000" w:rsidRDefault="00C37BDF">
      <w:r w:rsidRPr="00316000">
        <w:t xml:space="preserve">3.5.3 Finanzanlagen </w:t>
      </w:r>
    </w:p>
    <w:p w14:paraId="26827381" w14:textId="37510523" w:rsidR="00C37BDF" w:rsidRPr="00316000" w:rsidRDefault="00C37BDF">
      <w:r w:rsidRPr="00316000">
        <w:t>Finanzanlagen sind Anteile an verbundenen Unternehmen, Beteiligungen an Unternehmen und Ausleihungen (z. B. Darlehens- und Hypothekenforderungen), die von langfristiger Natur sind und nicht nur vorübergehend gehalten bzw. gewährt werden sollen, sowie Wertpapiere des Anlagevermögens. Die Finanzanlagen lassen sich in die Anteilsfinanzierung und die Darlehensfinanzierung aufteilen. Bei der Anteilsfinanzierung ist das Unternehmen Anteilseigner, d. h. das investierte Kapital wird im anderen Unternehmen, an dem eine Beteiligung gehalten wird, als Eigenkapital aufgeführt. Dies kommt bei Anteilen, Beteiligungen und Wertpapieren vor. Handelt es sich bei der Investition um Ausleihungen, spricht man von einer Darlehensfinanzierung. Dabei wird das investierte Kapital in dem nehmenden Unternehmen als Fremdkapital ausgewiesen.</w:t>
      </w:r>
    </w:p>
    <w:p w14:paraId="3D9FEA81" w14:textId="4C356EB1" w:rsidR="00C37BDF" w:rsidRPr="00316000" w:rsidRDefault="00C37BDF">
      <w:r w:rsidRPr="00316000">
        <w:t>3.5.3.1 Anteile an verbundenen Unternehmen Verbundene Unternehmen im Sinn des HGB sind solche Unternehmen, die zwar rechtlich selbstständig sind, aber im Verhältnis einer Mutter- und Tochtergesellschaft zueinanderstehen. Sie sind gemäß § 290 HGB in den Konzernabschluss einzubeziehen.</w:t>
      </w:r>
    </w:p>
    <w:p w14:paraId="67269725" w14:textId="77777777" w:rsidR="00AD41B1" w:rsidRPr="00316000" w:rsidRDefault="00C37BDF">
      <w:r w:rsidRPr="00316000">
        <w:t xml:space="preserve">3.5.3.2 Ausleihungen an verbundene Unternehmen Sie stellen langfristige Finanzforderungen (i. d. R. über eine Dauer von mindestens 12 Monaten) gegenüber verbundenen Unternehmen dar. Bei den Ausleihungen an verbundene Unternehmen kann sich die Forderung sowohl von der Tochtergesellschaft an die Muttergesellschaft als auch von der Muttergesellschaft an die Tochtergesellschaft richten.22 3.5.3.3 Beteiligungen </w:t>
      </w:r>
      <w:proofErr w:type="spellStart"/>
      <w:r w:rsidRPr="00316000">
        <w:t>Beteiligungen</w:t>
      </w:r>
      <w:proofErr w:type="spellEnd"/>
      <w:r w:rsidRPr="00316000">
        <w:t xml:space="preserve"> sind Anteile an Unternehmen, die die Voraussetzungen des § 271 Abs. 1 HGB, nicht aber die des § 271 Abs. 2 HGB erfüllen. Nach § 271 Abs. 1 HGB sind Beteiligungen Anteile, bei denen die wirtschaftliche und nicht die rein finanzielle Verbindung im Vordergrund steht. Wenn die Anteile 20 % des Nennkapitals </w:t>
      </w:r>
      <w:r w:rsidRPr="00316000">
        <w:lastRenderedPageBreak/>
        <w:t xml:space="preserve">einer Kapitalgesellschaft überschreiten, geht man von einer Beteiligung aus. Allerdings gilt, dass die Anteilsrechte des Nennkapitals jedoch nicht mehr als 50 % (da es sich sonst um ein verbundenes Unternehmen handeln würde) betragen dürfen, damit eine Beteiligung an einer Kapitalgesellschaft besteht. 3.5.3.4 Ausleihungen an Beteiligungsunternehmen Der vierte Posten der Finanzanlagen heißt Ausleihungen an Unternehmen, mit denen ein Beteiligungsverhältnis besteht. Dabei handelt es sich um langfristige Finanzforderungen gegenüber den oben beschriebenen Beteiligungsunternehmen. </w:t>
      </w:r>
    </w:p>
    <w:p w14:paraId="53AACC5D" w14:textId="77777777" w:rsidR="00AD41B1" w:rsidRPr="00316000" w:rsidRDefault="00C37BDF">
      <w:r w:rsidRPr="00316000">
        <w:t xml:space="preserve">3.5.3.5 Wertpapiere des Anlagevermögens </w:t>
      </w:r>
    </w:p>
    <w:p w14:paraId="6EAAB76B" w14:textId="77777777" w:rsidR="00AD41B1" w:rsidRPr="00316000" w:rsidRDefault="00C37BDF">
      <w:r w:rsidRPr="00316000">
        <w:t xml:space="preserve">Bei den Wertpapieren des Anlagevermögens handelt es sich um eine langfristige Kapitalanlage. In der Regel dürfen die Anteile an anderen Unternehmen 20 % nicht übersteigen, damit sie den Wertpapieren des Anlagevermögens zugeordnet werden können. Als Beispiele können Aktien, Anleihen, Pfandbriefe, Wandelschuldverschreibungen, Investmentanteile oder Zero Bonds genannt werden. </w:t>
      </w:r>
    </w:p>
    <w:p w14:paraId="39C3427A" w14:textId="77777777" w:rsidR="00AD41B1" w:rsidRPr="00316000" w:rsidRDefault="00C37BDF">
      <w:r w:rsidRPr="00316000">
        <w:t xml:space="preserve">3.5.3.6 Sonstige Ausleihungen </w:t>
      </w:r>
    </w:p>
    <w:p w14:paraId="516665DF" w14:textId="77777777" w:rsidR="00AD41B1" w:rsidRPr="00316000" w:rsidRDefault="00C37BDF">
      <w:r w:rsidRPr="00316000">
        <w:t xml:space="preserve">Dies sind langfristige Kapitalüberlassungen an Dritte in Form von Darlehen oder Krediten. Das bilanzierende Unternehmen ist Gläubiger einer Finanzforderung mit einer Mindestlaufzeit von mehr als einem Jahr. 3.6 Ausgewählte Posten des Umlaufvermögens Das Umlaufvermögen umfasst alles, was nicht zum Anlagevermögen, zu den aktiven Rechnungsabgrenzungsposten, den aktiven latenten Steuern und dem aktiven Unterschiedsbetrag aus der Vermögensrechnung zählt. Unter dem Umlaufvermögen werden alle Vermögensgegenstände erfasst, die nur kurz im Unternehmen verbleiben. Es erfolgt die Erläuterung der einzelnen Posten des Umlaufvermögens. </w:t>
      </w:r>
    </w:p>
    <w:p w14:paraId="37D9490C" w14:textId="77777777" w:rsidR="00AD41B1" w:rsidRPr="00316000" w:rsidRDefault="00C37BDF">
      <w:r w:rsidRPr="00316000">
        <w:t xml:space="preserve">3.6.1 Vorräte </w:t>
      </w:r>
    </w:p>
    <w:p w14:paraId="2B2E103A" w14:textId="605F01EA" w:rsidR="00C37BDF" w:rsidRPr="00316000" w:rsidRDefault="00C37BDF">
      <w:r w:rsidRPr="00316000">
        <w:t xml:space="preserve">Unter Vorräten werden die Lagerbestände verstanden; sie umfassen: </w:t>
      </w:r>
      <w:r w:rsidRPr="00316000">
        <w:t> Roh-, Hilfs- und Betriebsstoffe: Fremdbezogene, unverarbeitete Stoffe, die mittel- oder unmittelbar in Erzeugnisse eingehen. Rohstoffe stellen die Hauptbestandteile (z. B. Blech, Glas, Holz, Kunststoff), Hilfsstoffe die Nebenbestandteile (z. B. Farbe, Nägel, Schrauben, Kleber) dar.</w:t>
      </w:r>
    </w:p>
    <w:p w14:paraId="55C6C981" w14:textId="77777777" w:rsidR="00AD41B1" w:rsidRPr="00316000" w:rsidRDefault="00C37BDF">
      <w:r w:rsidRPr="00316000">
        <w:t xml:space="preserve">Betriebsstoffe sind kein Bestandteil der Erzeugnisse (z. B. Strom, Kühlmittel, Schmierstoffe etc.), sondern werden bei der Herstellung verbraucht. </w:t>
      </w:r>
      <w:r w:rsidRPr="00316000">
        <w:t xml:space="preserve"> Unfertige </w:t>
      </w:r>
      <w:r w:rsidRPr="00316000">
        <w:lastRenderedPageBreak/>
        <w:t xml:space="preserve">Erzeugnisse: Vermögensgegenstände, die sich im Produktionsprozess befinden, noch nicht verkaufsfähig sind, aber bereits Aufwendungen (Fertigungs-, Materialkosten etc.) verursacht haben. </w:t>
      </w:r>
      <w:r w:rsidRPr="00316000">
        <w:t xml:space="preserve"> Unfertige Leistungen: Aufträge, die sich bei Dienstleistungsunternehmen in Bearbeitung befinden und vom Kunden noch nicht abgenommen wurden. </w:t>
      </w:r>
      <w:r w:rsidRPr="00316000">
        <w:t xml:space="preserve"> Fertige Erzeugnisse: Selbst erstellte, versandfertige Vermögensgegenstände, die den Produktionsprozess schon vollständig durchlaufen haben. </w:t>
      </w:r>
      <w:r w:rsidRPr="00316000">
        <w:t xml:space="preserve"> Waren (Handelswaren): Fremdbezogene Vorräte, die ohne wesentliche Be- bzw. Verarbeitung zum Verkauf bestimmt sind. </w:t>
      </w:r>
      <w:r w:rsidRPr="00316000">
        <w:t> Geleistete Anzahlungen: Vorleistung auf eine, vom anderen Vertragsteil, zu erbringende Leistung, d. h. die Lieferung ist bis zum Bilanzstichtag vom Lieferanten noch nicht erfolgt.</w:t>
      </w:r>
    </w:p>
    <w:p w14:paraId="17290368" w14:textId="77777777" w:rsidR="00AD41B1" w:rsidRPr="00316000" w:rsidRDefault="00C37BDF">
      <w:r w:rsidRPr="00316000">
        <w:t xml:space="preserve">3.6.2 Forderungen und sonstige Vermögensgegenstände </w:t>
      </w:r>
    </w:p>
    <w:p w14:paraId="5A69D7FA" w14:textId="77777777" w:rsidR="00AD41B1" w:rsidRPr="00316000" w:rsidRDefault="00C37BDF">
      <w:r w:rsidRPr="00316000">
        <w:t xml:space="preserve">Eine Forderung entsteht grundsätzlich, wenn die geschuldete Leistung erbracht und die Abrechnungsfähigkeit gegeben sind. Sie erlischt bei Erfüllung, Aufrechnung, Erlass, Verkauf (Factoring), befreiender Schuldübernahme und Novation (Schuldumwandlung). </w:t>
      </w:r>
      <w:r w:rsidRPr="00316000">
        <w:t xml:space="preserve"> Forderungen aus Lieferungen und Leistungen: Unter diesem Posten werden all jene Forderungen zusammengefasst, die aus der Umsatztätigkeit des Unternehmens resultieren. Bewertet werden die Forderungen </w:t>
      </w:r>
      <w:proofErr w:type="spellStart"/>
      <w:r w:rsidRPr="00316000">
        <w:t>aLuL</w:t>
      </w:r>
      <w:proofErr w:type="spellEnd"/>
      <w:r w:rsidRPr="00316000">
        <w:t xml:space="preserve"> zu ihren Anschaffungskosten inkl. der Umsatzsteuer, jedoch nach Abzug von Rabatten, Gutschriften oder sonstigen Preisnachlässen. </w:t>
      </w:r>
      <w:r w:rsidRPr="00316000">
        <w:t xml:space="preserve"> Sonstige Vermögensgegenstände: Dieser Sammelposten enthält alle Vermögensgegenstände eines Unternehmens, die sich keinem anderen Posten zuordnen lassen, wie z. B. Lohn- und Gehaltsvorschüsse, Kautionen, Steuererstattungsansprüche, Ansprüche auf Zulagen/Zu </w:t>
      </w:r>
      <w:proofErr w:type="spellStart"/>
      <w:r w:rsidRPr="00316000">
        <w:t>schüsse</w:t>
      </w:r>
      <w:proofErr w:type="spellEnd"/>
      <w:r w:rsidRPr="00316000">
        <w:t xml:space="preserve">, Schadenersatzansprüche, Personaldarlehen und Ansprüche auf Boni. </w:t>
      </w:r>
    </w:p>
    <w:p w14:paraId="7DAF093C" w14:textId="77777777" w:rsidR="00AD41B1" w:rsidRPr="00316000" w:rsidRDefault="00C37BDF">
      <w:r w:rsidRPr="00316000">
        <w:t xml:space="preserve">3.6.3 Wertpapiere </w:t>
      </w:r>
    </w:p>
    <w:p w14:paraId="5674D5DD" w14:textId="77777777" w:rsidR="00AD41B1" w:rsidRPr="00316000" w:rsidRDefault="00C37BDF">
      <w:r w:rsidRPr="00316000">
        <w:t xml:space="preserve">Zu den Wertpapieren des Umlaufvermögens gehören alle Wertpapiere, die nicht im Anlagevermögen enthalten sind. Wertpapiere des Umlaufvermögens gehören zu den kurzfristigen Finanzanlagen, die jederzeit veräußert werden können. Es wird unterschieden zwischen: </w:t>
      </w:r>
      <w:r w:rsidRPr="00316000">
        <w:t xml:space="preserve"> Anteile an verbundenen Unternehmen: Zum Umlaufvermögen gehören solche Anteile nur dann, wenn nur eine kurzfristige Anlage geplant ist. </w:t>
      </w:r>
      <w:r w:rsidRPr="00316000">
        <w:t xml:space="preserve"> Sonstige Wertpapiere: Alle Wertpapiere, von denen ein Ausweis an anderer Stelle nicht möglich ist. </w:t>
      </w:r>
    </w:p>
    <w:p w14:paraId="5E5CB218" w14:textId="77777777" w:rsidR="00AD41B1" w:rsidRPr="00316000" w:rsidRDefault="00C37BDF">
      <w:r w:rsidRPr="00316000">
        <w:lastRenderedPageBreak/>
        <w:t xml:space="preserve">3.6.4 Kassenbestand, Bundesbankguthaben, Guthaben bei Kreditinstituten und Schecks Dies sind die flüssigen Mittel. Der Kassenbestand und die Bankguthaben sind zum Nominalbetrag anzusetzen. Die Schecks sind wie Forderungen zu bewerten. Fremdwährungsbestände sind gemäß § 256a HGB mit dem Devisenkassamittelkurs am Bilanzstichtag umzurechnen. Die flüssigen Mittel können jederzeit in eine andere Vermögensform umgewandelt werden. </w:t>
      </w:r>
    </w:p>
    <w:p w14:paraId="1B910761" w14:textId="5B3D6BC8" w:rsidR="00C37BDF" w:rsidRPr="00316000" w:rsidRDefault="00C37BDF">
      <w:r w:rsidRPr="00316000">
        <w:t>3.7 Aktive Rechnungsabgrenzungsposten Unter der Position „Rechnungsabgrenzungsposten“ sind nur sogenannte transitorische Posten auszuweisen und ausweispflichtig. Ein aktiver Rechnungsabgrenzungsposten wird gebildet,</w:t>
      </w:r>
    </w:p>
    <w:p w14:paraId="369AFBB7" w14:textId="77777777" w:rsidR="00AD41B1" w:rsidRPr="00316000" w:rsidRDefault="00C37BDF">
      <w:r w:rsidRPr="00316000">
        <w:t xml:space="preserve">wenn Ausgaben vor dem Abschlussstichtag, Aufwendungen für eine bestimmte Zeit nach dem Abschlussstichtag darstellen (z. B. Miet-, Pachtvorauszahlung, Versicherungsprämie, Honorare und Gebühren etc., die im Voraus bezahlt wurden). </w:t>
      </w:r>
    </w:p>
    <w:p w14:paraId="01D20B56" w14:textId="77777777" w:rsidR="00AD41B1" w:rsidRPr="00316000" w:rsidRDefault="00C37BDF">
      <w:r w:rsidRPr="00316000">
        <w:t>3.8 Aktive latente Steuern</w:t>
      </w:r>
    </w:p>
    <w:p w14:paraId="0F94D62E" w14:textId="77777777" w:rsidR="00AD41B1" w:rsidRPr="00316000" w:rsidRDefault="00C37BDF">
      <w:r w:rsidRPr="00316000">
        <w:t xml:space="preserve">Latente Steuern entstehen durch unterschiedliche handels- und steuerrechtliche Bilanzierung. Im Handelsrecht besteht für die aktiven latenten Steuern ein Aktivierungswahlrecht. Aktive latente Steuern stellen einen Vermögenswert dar, der auf einer Steuermehrzahlung beruht und eine zukünftige Steuerminderung hervorruft. Somit stellen aktive latente Steuern eine zukünftige Steuerentlastung dar, die in der Handelsbilanz berücksichtigt werden kann (Wahlrecht). Aktive Steuerabgrenzung: Es erfolgt eine p </w:t>
      </w:r>
      <w:proofErr w:type="spellStart"/>
      <w:r w:rsidRPr="00316000">
        <w:t>eriodengerechte</w:t>
      </w:r>
      <w:proofErr w:type="spellEnd"/>
      <w:r w:rsidRPr="00316000">
        <w:t xml:space="preserve"> Berücksichtigung von Steueraufwand bei Bewertungsdifferenzen zwischen Handels- und Steuerbilanz. Wenn diese Differenzen in nachfolgenden Geschäftsjahren abnehmen und dadurch zu einer Steuerentlastung führen, kann die Entlastung als aktive latente Steuer bilanziert werden. Mögliche Ursachen für aktive latente Steuern sind: </w:t>
      </w:r>
      <w:r w:rsidRPr="00316000">
        <w:t xml:space="preserve"> In der Handelsbilanz sind die Vermögensgegenstände niedriger bewertet als die Wirtschaftsgüter in der Steuerbilanz, bzw. Aktivposten sind in der Steuerbilanz, aber nicht in der Handelsbilanz angesetzt. </w:t>
      </w:r>
      <w:r w:rsidRPr="00316000">
        <w:t xml:space="preserve"> In der Handelsbilanz sind Schulden höher bewertet als in der Steuerbilanz, bzw. Schulden sind in der Handelsbilanz, aber nicht in der Steuerbilanz angesetzt. </w:t>
      </w:r>
      <w:r w:rsidRPr="00316000">
        <w:t xml:space="preserve"> Aktive latente Steuern sind aufzulösen, sobald die Steuerentlastung eintritt oder mit ihr nicht mehr zu rechnen ist. </w:t>
      </w:r>
    </w:p>
    <w:p w14:paraId="43EF8246" w14:textId="76BB6EC1" w:rsidR="00C37BDF" w:rsidRPr="00316000" w:rsidRDefault="00C37BDF">
      <w:r w:rsidRPr="00316000">
        <w:lastRenderedPageBreak/>
        <w:t>3.9 Aktiver Unterschiedsbetrag aus der Vermögensverrechnung Vermögensgegenstände, die ausschließlich der Erfüllung von Schulden aus Altersversorgungsverpflichtungen oder vergleichbaren langfristig fälligen Verpflichtungen dienen und dem Zugriff aller übrigen Gläubiger entzogen sind (§ 246 Abs. 2 HGB), werden mit dem Zeitwert bewertet. In der Bilanz ist der Nettowert der korrespondierenden Vermögensgegenstände und Schulden aus Altersvorsorgeverpflichtungen auszuweisen. Übersteigt der Wert des Vermögens die Schulden, verlangt § 246 Abs. 2 Satz 3 HGB i. V. m. § 266 Abs. 2 HGB den gesonderten Ausweis des Saldos als letzten Posten auf der Aktivseite der Bilanz unter der Bezeichnung „Aktiver Unterschiedsbetrag aus der Vermögensverrechnung“. Es werden die beizulegenden Zeitwerte der zur Absicherung der Ansprüche der Mitarbeiter dienenden Vermögensgegenstände mit den Werten der Altersversorgungsverpflichtungen (Rückstellungen) des Unternehmens gegenüber den Mitarbeitern saldiert. Ein aktiver Restbetrag aus der Verrechnung ist unter dem Posten „aktiver Unterschiedsbetrag aus der Vermögensverrechnung auszuweisen. Ein passiver Unterschiedsbetrag ist unter den Rückstellungen auszuweisen.23 3.10 Nicht durch Eigenkapital gedeckter Fehlbetrag Ein nicht durch Eigenkapital gedeckter Fehlbetrag stellt einen rechnerischen Gegenposten zum Eigenkapital bei bilanzieller Überschuldung (§ 268 Abs. 3 HGB) dar. Dieser Posten entsteht, wenn das Eigenkapital durch Verluste aufgezehrt und vollständig vernichtet wurde. Es besteht im Handelsrecht die Pflicht zum Ausweis auf der Aktivseite am Ende der Bilanz.</w:t>
      </w:r>
    </w:p>
    <w:p w14:paraId="23B2E90F" w14:textId="77777777" w:rsidR="00AD41B1" w:rsidRPr="00316000" w:rsidRDefault="00C37BDF">
      <w:r w:rsidRPr="00316000">
        <w:t xml:space="preserve">3.11 Ausgewählte Posten des Eigenkapitals </w:t>
      </w:r>
    </w:p>
    <w:p w14:paraId="1C13B041" w14:textId="77777777" w:rsidR="00AD41B1" w:rsidRPr="00316000" w:rsidRDefault="00C37BDF">
      <w:r w:rsidRPr="00316000">
        <w:t xml:space="preserve">Das Eigenkapital ist die Differenz zwischen der Summe der Aktiva und der Summe der Schulden abzüglich der passiven Rechnungsabgrenzungsposten und der passiven latenten Steuern. Die Höhe des Eigenkapitals ergibt sich erst nach Ansatz und Bewertung der restlichen Bilanzposten. Die Summe der finanziellen Mittel, die eine Unternehmung von ihren Eigentümern bzw. Anteilseignern ohne zeitliche Begrenzung zur Verfügung gestellt werden, stellt das Eigenkapital dar. Bei einer Kapitalgesellschaft wird in dem Gliederungsschema der Bilanz (§ 266 Abs. 3 HGB) das Eigenkapital wie folgt zusammengefasst ausgewiesen: A. Eigenkapital I. Gezeichnetes Kapital II. Kapitalrücklage III. Gewinnrücklagen 1. gesetzliche Rücklage 2. Rücklage für Anteile an einem herrschenden oder mehrheitlich beteiligten Unternehmen 3. satzungsmäßige Rücklagen 4. andere Gewinnrücklagen IV. Gewinnvortrag/Verlustvortrag V. Jahresüberschuss/Jahresfehlbetrag VI. Bilanzgewinn/Bilanzverlust, davon </w:t>
      </w:r>
      <w:r w:rsidRPr="00316000">
        <w:lastRenderedPageBreak/>
        <w:t xml:space="preserve">Ergebnisvortrag gemäß § 268 Abs. 1 HGB (als Alternative zu den Posten des Eigenkapitals A. IV. und A. V.) 3.11.1 Gezeichnetes Kapital Unter dem Posten „Gezeichnetes Kapital“ ist der Teil des Eigenkapitals einer Kapitalgesellschaft auszuweisen, zu dessen Einzahlung sich die Gesellschafter oder Mitglieder eines Unternehmens verpflichtet haben und auf den die Haftung für die Verbindlichkeiten des Unternehmens beschränkt ist (§ 272 Abs. 1 HGB). Dem gezeichneten Kapital entsprechen </w:t>
      </w:r>
      <w:r w:rsidRPr="00316000">
        <w:t xml:space="preserve"> bei der AG das Grundkapital [= (Nennbetrag) </w:t>
      </w:r>
      <w:r w:rsidRPr="00316000">
        <w:rPr>
          <w:rFonts w:ascii="Cambria Math" w:hAnsi="Cambria Math" w:cs="Cambria Math"/>
        </w:rPr>
        <w:t>⨯</w:t>
      </w:r>
      <w:r w:rsidRPr="00316000">
        <w:t xml:space="preserve"> (Zahl der Anteile)], </w:t>
      </w:r>
      <w:r w:rsidRPr="00316000">
        <w:t xml:space="preserve"> bei der GmbH das Stammkapital, und </w:t>
      </w:r>
      <w:r w:rsidRPr="00316000">
        <w:t xml:space="preserve"> bei der Genossenschaft das Geschäftsguthaben der Genossen. Das Grundkapital einer AG muss mindestens 50.000 € und das Stammkapital einer GmbH muss mindestens 25.000 € betragen. Nicht eingeforderte ausstehende Einlagen sind offen vom gezeichneten Kapital abzusetzen. </w:t>
      </w:r>
    </w:p>
    <w:p w14:paraId="2C300C51" w14:textId="21A3983A" w:rsidR="00C37BDF" w:rsidRPr="00316000" w:rsidRDefault="00C37BDF">
      <w:r w:rsidRPr="00316000">
        <w:t>3.11.1.1 Ausstehende Einlagen Die nicht eingeforderten ausstehenden Einlagen sind zwingend vom gezeichneten Kapital offen abzusetzen. In der Hauptspalte der Bilanz wird der verbleibende Betrag, das eingeforderte Kapital, unter dieser Bezeichnung ausgewiesen. Korrespondierend dazu ist der eingeforderte, aber noch nicht einbezahlte Betrag unter den Forderungen gesondert auszuweisen und entsprechend zu bezeichnen. Beispiel: Ausstehende Einlagen Von den ausstehenden Einlagen in Höhe von 700.000 € wurden 300.000 € eingefordert. Der folgende Bilanzausschnitt zeigt den Nettoausweis.</w:t>
      </w:r>
    </w:p>
    <w:p w14:paraId="2E989C0B" w14:textId="77777777" w:rsidR="00AD41B1" w:rsidRPr="00316000" w:rsidRDefault="00C37BDF">
      <w:r w:rsidRPr="00316000">
        <w:t xml:space="preserve">3.11.1.2 Ausweis von eigenen Anteilen </w:t>
      </w:r>
    </w:p>
    <w:p w14:paraId="29D7CBD7" w14:textId="3A5D7685" w:rsidR="00C37BDF" w:rsidRPr="00316000" w:rsidRDefault="00C37BDF">
      <w:r w:rsidRPr="00316000">
        <w:t xml:space="preserve">Der Erwerb eigener Anteile stellt, wirtschaftlich betrachtet, eine Rückzahlung von Einlagen und damit eine Verringerung der Haftungssumme dar. Aus diesem Grund unterliegt dieser Erwerb bestimmten Restriktionen (z. B. ist er nach § 71 AktG auf 10 % des Grundkapitals beschränkt) und Ausweispflichten.24 Eigene Anteile werden in der Höhe des Nennwertes25 oder des rechnerischen Wertes auf der Passivseite offen vom gezeichneten Kapital abgesetzt. Die Differenzen zu den Anschaffungskosten werden mit den frei verfügbaren Rücklagen verrechnet. Nebenkosten des Kaufes und der Veräußerung von eigenen Anteilen sind gemäß § 272 Abs. 1a Satz 3 HGB und § 272 Abs. 1b Satz 4 HGB unmittelbar erfolgswirksam zu behandeln. Die Veräußerung der eigenen Anteile wird, im Gegenzug zum Erwerb der eigenen Anteile, als Kapitalerhöhung behandelt. Verbleibt nach Rückgängigmachung der Verrechnung mit </w:t>
      </w:r>
      <w:r w:rsidRPr="00316000">
        <w:lastRenderedPageBreak/>
        <w:t>den frei verfügbaren Rücklagen noch ein Differenzbetrag, ist dieser in die Kapitalrücklage einzustellen.</w:t>
      </w:r>
    </w:p>
    <w:p w14:paraId="79AB8A5D" w14:textId="74688D7A" w:rsidR="00C37BDF" w:rsidRPr="00316000" w:rsidRDefault="00C37BDF">
      <w:r w:rsidRPr="00316000">
        <w:t xml:space="preserve">3.11.2 Offene Rücklagen Die offenen Rücklagen unterscheiden sich in: </w:t>
      </w:r>
      <w:r w:rsidRPr="00316000">
        <w:t xml:space="preserve"> Kapitalrücklage (Zuführung nicht erwirtschafteter Beträge von außen) und </w:t>
      </w:r>
      <w:r w:rsidRPr="00316000">
        <w:t> Gewinnrücklagen (Zuführung erwirtschafteter Beträge von innen).</w:t>
      </w:r>
    </w:p>
    <w:p w14:paraId="5FE2AB84" w14:textId="36D1A209" w:rsidR="00C37BDF" w:rsidRPr="00316000" w:rsidRDefault="00C37BDF">
      <w:r w:rsidRPr="00316000">
        <w:t xml:space="preserve">3.11.2.1 Kapitalrücklage Als Kapitalrücklage sind im Einzelnen auszuweisen (§ 272 Abs. 2 HGB): </w:t>
      </w:r>
      <w:r w:rsidRPr="00316000">
        <w:t xml:space="preserve"> Beträge, die bei der Ausgabe von Anteilen über den Nennbetrag hinaus erzielt wurden (§ 272 Abs. 2 Nr. 1 HGB) (also die Differenz von Emissionskurs und Nennwert = Agio). </w:t>
      </w:r>
      <w:r w:rsidRPr="00316000">
        <w:t xml:space="preserve"> Zuweisung von Agio-Beträgen bei der Emission (Ausgabe) von Wandel- und Optionsschuldverschreibungen über ihrem Rückzahlungsbetrag. </w:t>
      </w:r>
      <w:r w:rsidRPr="00316000">
        <w:t xml:space="preserve"> Zuzahlungen, die Gesellschafter gegen Gewährung eines Vorzugs für ihre Anteile leisten (Zuzahlung von Gesellschaftern für Vorzugsrechte); </w:t>
      </w:r>
      <w:r w:rsidRPr="00316000">
        <w:t xml:space="preserve"> andere Zuzahlungen, die Gesellschafter in das Eigenkapital leisten (Zahlungen bei Sanierungen, Nachschüsse bei der GmbH). Beispiel: Einstellung in die Kapitalrücklage Die expandierende </w:t>
      </w:r>
      <w:proofErr w:type="spellStart"/>
      <w:r w:rsidRPr="00316000">
        <w:t>aim</w:t>
      </w:r>
      <w:proofErr w:type="spellEnd"/>
      <w:r w:rsidRPr="00316000">
        <w:t xml:space="preserve">-AG erhöht ihr gezeichnetes Kapital um 200.000 € durch Ausgabe junger (neuer) </w:t>
      </w:r>
      <w:proofErr w:type="gramStart"/>
      <w:r w:rsidRPr="00316000">
        <w:t>Aktien .</w:t>
      </w:r>
      <w:proofErr w:type="gramEnd"/>
      <w:r w:rsidRPr="00316000">
        <w:t xml:space="preserve"> Für die Ausgabe der jungen Aktien (=Emission) schreibt die Bank der </w:t>
      </w:r>
      <w:proofErr w:type="spellStart"/>
      <w:r w:rsidRPr="00316000">
        <w:t>aim</w:t>
      </w:r>
      <w:proofErr w:type="spellEnd"/>
      <w:r w:rsidRPr="00316000">
        <w:t xml:space="preserve">-AG 300.000 € (Ausgabekurswert) gut. Das Aufgeld (Agio bei Aktienausgabe) in Höhe von 100.000 € ist der Kapitalrücklage zuzuführen und wie folgt zu buchen. Buchungssatz: Bank 300.000 an </w:t>
      </w:r>
      <w:proofErr w:type="spellStart"/>
      <w:r w:rsidRPr="00316000">
        <w:t>an</w:t>
      </w:r>
      <w:proofErr w:type="spellEnd"/>
      <w:r w:rsidRPr="00316000">
        <w:t xml:space="preserve"> gezeichnetes Kapital Kapitalrücklage 200.000 100.000 Für welche Zwecke kann die Kapitalrücklage verwendet werden? </w:t>
      </w:r>
      <w:r w:rsidRPr="00316000">
        <w:t xml:space="preserve"> Zum Ausgleich eines Jahresfehlbetrags/Verlustvortrags, sofern dieser nicht durch Auflösung anderer Gewinnrücklagen gedeckt werden kann (§ 150 Abs. 3 AktG). Umwandlung in Grundkapital durch Gewährung von Berichtigungsaktien (Kapitalerhöhung aus Gesellschaftsmitteln), falls gesetzliche Rücklage und Kapitalrücklage zusammen 10 % des gezeichneten Kapitals übersteigen (§ 150 Abs. 4 Nr. 3 AktG). Beispiel: Kapitalerhöhung aus Gesellschaftsmitteln bei der Patrizia AG Augsburg, 10. Juli 2014 ‒ Die ordentliche Hauptversammlung der PATRIZIA Immobilien AG (ISIN DE000PAT1AG3) vom 27. Juni 2014 hat beschlossen, das Grundkapital der Gesellschaft aus Gesellschaftsmitteln von 63.077.300,00 Euro um 6.307.730,00 Euro auf 69.385.030,00 Euro nach den Vorschriften der §§ 207 ff. AktG zu erhöhen. Die Kapitalerhöhung erfolgt durch Umwandlung eines Teilbetrags in Höhe von 6.307.730,00 Euro der in der Jahresbilanz der Gesellschaft zum 31. Dezember 2013 ausgewiesenen Kapitalrücklage in Grundkapital. Die Kapitalerhöhung wird durch Ausgabe von 6.307.730 neuen auf den Namen lautenden Stückaktien </w:t>
      </w:r>
      <w:r w:rsidRPr="00316000">
        <w:lastRenderedPageBreak/>
        <w:t>(Berichtigungsaktien) mit einem rechnerischen Anteil am Grundkapital von 1,00 Euro je Aktie durchgeführt, die an die Aktionäre der PATRIZIA Immobilien AG im Verhältnis 10:1 ausgegeben werden. Die neuen Aktien sind ab dem 1. Januar 2014 gewinnberechtigt. Die entsprechende Satzungsänderung ist am 3. Juli 2014 in das Handelsregister der Gesellschaft beim Amtsgericht Augsburg eingetragen und damit wirksam geworden. Das Grundkapital der Gesellschaft beträgt nunmehr 69.385.030,00 Euro und ist eingeteilt in 69.385.030 auf den Namen lautende Stückaktien. Die Transaktion wird von der VEM Aktienbank AG, München, begleitet.</w:t>
      </w:r>
    </w:p>
    <w:p w14:paraId="38037C96" w14:textId="67C60E28" w:rsidR="00C37BDF" w:rsidRPr="00316000" w:rsidRDefault="00C37BDF">
      <w:r w:rsidRPr="00316000">
        <w:t xml:space="preserve">3.11.2.2 Gewinnrücklagen In den Gewinnrücklagen werden die kumulierten thesaurierten (einbehaltenen) Gewinne nach Steuern, die im laufenden Geschäftsjahr oder in früheren Geschäftsjahren gebildet wurden, eingestellt. Dabei wird unterschieden zwischen: </w:t>
      </w:r>
      <w:r w:rsidRPr="00316000">
        <w:t xml:space="preserve"> gesetzliche Rücklage bei der AG: Gemäß § 150 Abs. 2 AktG sind in die gesetzliche Rücklage so lange 5 % des Jahresüberschusses einzustellen, bis diese zusammen mit der Kapitalrücklage 10 % des Grundkapitals erreicht hat. Ist aus den Vorjahren ein Verlustvortrag vorhanden, ist der Jahresüberschuss vor Verwendung entsprechend zu kürzen. </w:t>
      </w:r>
      <w:r w:rsidRPr="00316000">
        <w:t xml:space="preserve"> gesetzliche Rücklage bei der </w:t>
      </w:r>
      <w:proofErr w:type="spellStart"/>
      <w:r w:rsidRPr="00316000">
        <w:t>Unternehmerg</w:t>
      </w:r>
      <w:proofErr w:type="spellEnd"/>
      <w:r w:rsidRPr="00316000">
        <w:t xml:space="preserve"> </w:t>
      </w:r>
      <w:proofErr w:type="spellStart"/>
      <w:r w:rsidRPr="00316000">
        <w:t>esellschaft</w:t>
      </w:r>
      <w:proofErr w:type="spellEnd"/>
      <w:r w:rsidRPr="00316000">
        <w:t xml:space="preserve"> (haftungsbeschränkt): Es sind 25 % des, um einen Verlustvortrag aus dem Vorjahr gemilderten, Jahresüberschusses einzustellen, bis das Stammkapital einer GmbH nach § 5 GmbHG von mindestens 25.000 € erreicht ist. </w:t>
      </w:r>
      <w:r w:rsidRPr="00316000">
        <w:t xml:space="preserve"> Rücklage für Anteile an einem herrschenden oder mehrheitlich beteiligten Unternehmen: Für diese Anteile ist eine Rücklage zu bilden. In die Rücklage ist ein Betrag einzustellen, der dem auf der Aktivseite der Bilanz für diese Anteile entspricht. </w:t>
      </w:r>
      <w:r w:rsidRPr="00316000">
        <w:t xml:space="preserve"> satzungsmäßige Rücklagen: Wird die Rücklagenbildung durch die Satzung einer AG oder den Gesellschaftsvertrag einer GmbH bestimmt, so handelt es sich um satzungsmäßige Rücklagen. Es können den satzungsmäßigen Rücklagen bestimmte Beträge aus dem Jahresüberschuss zugeführt werden. </w:t>
      </w:r>
      <w:r w:rsidRPr="00316000">
        <w:t xml:space="preserve"> andere Gewinnrücklagen: Dies ist der Sammelposten all jener Rücklagen, die aus dem Jahresüberschuss ohne gesonderten Bilanzausweis eingestellt werden. Gesetzliche Rücklagen sind Rücklagen, die gesetzlich vorgeschrieben sind. In die gesetzliche Rücklage einer AG oder einer KGaA sind jährlich einzustellen 5 % des ggf. um einen Verlustvortrag des Vorjahres geminderten Jahresüberschusses, bis die gesetzliche Rücklage und die Kapitalrücklage zusammen 10 % des Grundkapitals erreichen (§ 150 Abs. 2 AktG). Beispiel: Einstellung in die gesetzliche Rücklage Die Dienstleistungs-AG hat ein Grundkapital von 5.000.000 €. Die gesetzliche Rücklage einschließlich Kapitalrücklage </w:t>
      </w:r>
      <w:r w:rsidRPr="00316000">
        <w:lastRenderedPageBreak/>
        <w:t>beträgt am Schluss des Vorjahres 300.000 €. Im abgelaufenen Geschäftsjahr haben die Erträge 20.000.000 € und die Aufwendungen 19.000.000 € betragen. Es ist ein Verlust aus dem Vorjahr von 200.000 € vorhanden. Berechnung der Einstellung der gesetzlichen Rücklage: Erträge 20.000.000 € - Aufwendungen -19.000.000 € = Jahresüberschuss = 1.000.000 € - Verlustvortrag -200.000 € = Berechnungsgrundlage = 800.000 € davon 5 % = Einstellung in die gesetzliche Rücklage = 40.000 € Diese 40.000 € sind in die gesetzliche Rücklage einzustellen, da die bisher gebildete gesetzliche Rücklage den zehnten Teil des Grundkapitals noch nicht erreicht hat. 3.11.2.3 Gewinn-/Verlustvortrag Unter diesem Posten werden nicht verwendete Gewinne oder nicht ausgeglichene Verluste aus den Vorjahren vorgetragen. Falls das Vorjahr mit einem Verlust abgeschlossen wurde, wird dieser Verlust unter dem Posten „Verlustvortrag“ ausgewiesen. Im Falle eines nicht komplett ausgeschütteten</w:t>
      </w:r>
    </w:p>
    <w:p w14:paraId="3710B30B" w14:textId="77777777" w:rsidR="00AD41B1" w:rsidRPr="00316000" w:rsidRDefault="00FF54E4">
      <w:r w:rsidRPr="00316000">
        <w:t xml:space="preserve">Bilanzgewinns im Vorjahr wird, in dem Posten „Gewinnvortrag“, der Betrag aufgenommen, der nach einer Gewinnausschüttung bzw. Zuführung zu den Gewinnrücklagen </w:t>
      </w:r>
      <w:proofErr w:type="gramStart"/>
      <w:r w:rsidRPr="00316000">
        <w:t>übrig geblieben</w:t>
      </w:r>
      <w:proofErr w:type="gramEnd"/>
      <w:r w:rsidRPr="00316000">
        <w:t xml:space="preserve"> ist. Der Gewinn-/Verlustvortrag wird wie folgt ermittelt: Jahresüberschuss/-</w:t>
      </w:r>
      <w:proofErr w:type="spellStart"/>
      <w:r w:rsidRPr="00316000">
        <w:t>fehlbetrag</w:t>
      </w:r>
      <w:proofErr w:type="spellEnd"/>
      <w:r w:rsidRPr="00316000">
        <w:t xml:space="preserve"> +/- Gewinnvortrag/Verlustvortrag aus dem Vorjahr + Entnahmen aus der Kapitalrücklage + Entnahmen aus den Gewinnrücklagen - Einstellung in die Gewinnrücklagen - auszuschüttender Betrag = Gewinnvortrag/Verlustvortrag Diese 40.000 € sind in die gesetzliche Rücklage einzustellen, da die bisher gebildete gesetzliche Rücklage den zehnten Teil des Grundkapitals noch nicht erreicht hat. </w:t>
      </w:r>
    </w:p>
    <w:p w14:paraId="2FFC7A8A" w14:textId="77777777" w:rsidR="00AD41B1" w:rsidRPr="00316000" w:rsidRDefault="00FF54E4">
      <w:r w:rsidRPr="00316000">
        <w:t>3.11.2.4 Jahresüberschuss/-</w:t>
      </w:r>
      <w:proofErr w:type="spellStart"/>
      <w:r w:rsidRPr="00316000">
        <w:t>fehlbetrag</w:t>
      </w:r>
      <w:proofErr w:type="spellEnd"/>
      <w:r w:rsidRPr="00316000">
        <w:t xml:space="preserve"> </w:t>
      </w:r>
    </w:p>
    <w:p w14:paraId="1EDDC42B" w14:textId="16B16F03" w:rsidR="00FF54E4" w:rsidRPr="00316000" w:rsidRDefault="00FF54E4">
      <w:r w:rsidRPr="00316000">
        <w:t>Der Jahresüberschuss stellt den Gewinn des laufenden Geschäftsjahres nach Steuern vor der Gewinnausschüttung dar. Der Jahresfehlbetrag bildet den Verlust des laufenden Geschäftsjahres nach Steuern ab. Diese Posten erscheinen nur dann in der Bilanz, wenn diese vor Verwendung des Jahresergebnisses aufgestellt wird. 3.11.2.5 Bilanzergebnis (Bilanzgewinn/-verlust) Die Mindestgliederungsschemata der GuV sowie der Bilanz nach HGB (§§ 275 Abs. 2 und 3 bzw. 266 Abs. 3 HGB) enthalten lediglich die Posten Jahresüberschuss bzw. -</w:t>
      </w:r>
      <w:proofErr w:type="spellStart"/>
      <w:r w:rsidRPr="00316000">
        <w:t>fehlbetrag</w:t>
      </w:r>
      <w:proofErr w:type="spellEnd"/>
      <w:r w:rsidRPr="00316000">
        <w:t xml:space="preserve">. Sofern die Bilanz unter Berücksichtigung der teilweisen Ergebnisverwendung aufgestellt wird, werden die Posten „Jahresüberschuss/Jahresfehlbetrag“ und „Gewinn-/Verlustvortrag“ durch die Posten „Bilanzgewinn/Bilanzverlust“ ersetzt.26 3.11.2.6 Ermittlung des Bilanzgewinns Bei Aktiengesellschaften wird das Jahresergebnis nach Steuern in der Regel bereits </w:t>
      </w:r>
      <w:r w:rsidRPr="00316000">
        <w:lastRenderedPageBreak/>
        <w:t>bei der Aufstellung der Bilanz auf Beschluss des Vorstandes teilweise verwendet und ist in der GuV oder im Anhang darzustellen. Der Ausweis des Bilanzgewinns bedeutet, dass der Vorstand von seinem Recht Gebrauch gemacht hat, einen Teil des Jahresüberschusses (bei Aktiengesellschaften gemäß § 58 AktG bis zu 50 %) in die Rücklagen einzustellen. Der Rest wird „als Bilanzgewinn“ der Hauptversammlung oder Gesellschafterversammlung zur Disposition gestellt, wobei oft ein Verwendungsvorschlag gemacht wird. Den zur Ausschüttung vorgesehenen Teil rechnet man den kurzfristigen Verbindlichkeiten zu. Im Übrigen stellt der Bilanzgewinn Eigenkapital dar. Merke Der Bilanzgewinn ist der Gewinn, der zur Ausschüttung zur Verfügung steht. Der Bilanzverlust ist der Verlust, der das Eigenkapital reduziert, er wird als Korrekturposten mit negativem Vorzeichen ausgewiesen und wird in der nachfolgenden Periode als Verlustvortrag behandelt.</w:t>
      </w:r>
    </w:p>
    <w:p w14:paraId="5CAC9B32" w14:textId="1437C22D" w:rsidR="00FF54E4" w:rsidRPr="00316000" w:rsidRDefault="00FF54E4">
      <w:r w:rsidRPr="00316000">
        <w:t>Der Bilanzgewinn wird wie folgt berechnet: Gewinnverwendung Kompetenzabgrenzung bei der AG Jahresüberschuss/-</w:t>
      </w:r>
      <w:proofErr w:type="spellStart"/>
      <w:r w:rsidRPr="00316000">
        <w:t>fehlbetrag</w:t>
      </w:r>
      <w:proofErr w:type="spellEnd"/>
      <w:r w:rsidRPr="00316000">
        <w:t xml:space="preserve"> gesetzlich oder satzungsmäßig bestimmte Beträge +/- Gewinn-/Verlustvortrag aus dem Vorjahr - Einstellungen in die Gewinnrücklagen aufgrund von Gesetz und Satzung (§ 150 Abs. 2 AktG) + Entnahmen der Kapitalrücklage27 Kompetenz von Vorstand und Aufsichtsrat vor Jahresabschlussfeststellung + Entnahmen aus den Gewinnrücklagen28 - Einstellungen in die Gewinnrücklagen (§ 58 Abs. 2 und 2a AktG) = Bilanzgewinn/-verlust Kompetenz der Hauptversammlung nach Jahresabschlussfeststellung - Einstellungen in die Gewinnrücklagen (§ 58 Abs. 3 AktG) - Gewinnvortrag ins neue Jahr (§ 58 Abs. 3 AktG) = Ausschüttung Abb. 3.7: Jahresüberschuss, Bilanzgewinn, Ausschüttung29 Nach § 158 Abs. 1 Satz 1 AktG sind dem Jahresergebnis der Gewinnvortrag aus dem Vorjahr und Entnahmen aus der Kapitalrücklage oder aus Gewinnrücklagen hinzuzurechnen, während der Verlustvortrag aus dem Vorjahr und Einstellungen in die Gewinnrücklagen abzuziehen sind. Somit errechnet sich das Bilanzergebnis nach folgendem Schema (§ 158 Abs. 1 Satz 1 AktG): Jahresüberschuss/Jahresfehlbetrag - Verlustvortrag (aus der Vorperiode) = Bemessungsgrundlage 1 - Pflichteinstellung in die gesetzliche Rücklage (so lange 5 % von der positiven Bemessungsgrundlage 1, bis gesetzliche Rücklage und Kapitalrücklage zusammen 10 % des Grundkapitals erreicht haben) = korrigierter Jahresüberschuss: Bemessungsgrundlage 2 - Einstellung in andere Gewinnrücklagen (max. 50 % der positiven Bemessungsgrundlage 2) = Bemessungsgrundlage 3 - Einstellung in die Rücklage für Anteile an einem herrschenden oder mehrheitlich </w:t>
      </w:r>
      <w:r w:rsidRPr="00316000">
        <w:lastRenderedPageBreak/>
        <w:t>beteiligten Unternehmen - Einstellung in satzungsmäßige Rücklagen = Bemessungsgrundlage + Gewinnvortrag (aus der Vorperiode) + Entnahme aus der Kapitalrücklage + Entnahmen aus den Gewinnrücklagen = Bilanzgewinn/Bilanzverlust (Bilanzergebnis) Abb. 3.8: Ermittlung des Bilanzergebnisses.</w:t>
      </w:r>
    </w:p>
    <w:p w14:paraId="1ED54EDE" w14:textId="3CD00F38" w:rsidR="00FF54E4" w:rsidRPr="00316000" w:rsidRDefault="00FF54E4">
      <w:r w:rsidRPr="00316000">
        <w:t xml:space="preserve">3.11.2.7 Die Problematik beim Bilanzgewinn Der Bilanzgewinn ist einerseits für den Aktionär bedeutend, da er die Höhe der Dividende bestimmt. Andererseits sagt der Bilanzgewinn nichts über die Ertragskraft des Unternehmens aus. Der Bilanzgewinn kann, beispielsweise über Entnahmen aus den Gewinnrücklagen oder der Kapitalrücklage, ein negatives Jahresergebnis gut </w:t>
      </w:r>
      <w:proofErr w:type="gramStart"/>
      <w:r w:rsidRPr="00316000">
        <w:t>kaschieren ,</w:t>
      </w:r>
      <w:proofErr w:type="gramEnd"/>
      <w:r w:rsidRPr="00316000">
        <w:t xml:space="preserve"> um so Aktionäre bei Laune zu halten (siehe Beispielrechnung unten). Ein gutes Beispiel hierfür ist die RWE AG, die ihren Aktionären für das Geschäftsjahr 2013, trotz eines negativen Nettoergebnisses in Höhe von -2.757 Mrd. €30, eine Dividende von einem Euro je Aktien ausgeschüttet haben. Die RWE AG wies einen Bilanzgewinn in Höhe von 615 Mio. € aus. Beispiel: Ausweis eines höheren Bilanzgewinns Die ABC AG hat im vergangenen Geschäftsjahr einen Jahresüberschuss in Höhe von 30 Mio. € erwirtschaftet. Allerdings verfügt die ABC AG noch über einen Verlustvortrag in Höhe von 2 Mio. €. Damit den Aktionären wie in den vergangenen Jahren wieder eine Dividende in Höhe von 2 € je Aktie ausgeschüttet werden kann, muss der Bilanzgewinn 40 Mio. € betragen. Um einen Bilanzgewinn in Höhe von 40 Mio. € auszuweisen, entnimmt der Vorstand aus den Gewinnrücklagen 8 Mio. € und aus den Kapitalrücklagen noch weitere 4 Mio. €. Der Bilanzgewinn in Höhe von 40 Mio. € wird wie folgt ermittelt: Jahresüberschuss 30 Mio. € - Verlustvortrag -2 Mio. € + Entnahme aus den Gewinnrücklagen + 8 Mio. € + Entnahme aus der Kapitalrücklage + 4 Mio. € - Einstellung in die Gewinnrücklagen 0 € = Bilanzgewinn = 40 Mio. € Der Bilanzgewinn der ABC AG in Höhe von 40 Mio. € liegt deutlich über dem Jahresüberschuss in Höhe von 30 Mio. €. Der Vorstand kann aufgrund der Entnahmen aus den offenen Rücklagen auf der Hauptversammlung einen Bilanzgewinn in Höhe von 40 Mio. € vorweisen. Auf der Hauptversammlung entscheiden die Aktionäre über die Verwendung des Bilanzgewinns. In der Regel erhalten die Aktionäre den Bilanzgewinn als Dividende.</w:t>
      </w:r>
    </w:p>
    <w:p w14:paraId="0A926D4E" w14:textId="77777777" w:rsidR="00AD41B1" w:rsidRPr="00316000" w:rsidRDefault="00FF54E4">
      <w:r w:rsidRPr="00316000">
        <w:t xml:space="preserve">3.11.3 Stille Rücklagen (stille Reserven) </w:t>
      </w:r>
    </w:p>
    <w:p w14:paraId="4B27D4E0" w14:textId="77777777" w:rsidR="00AD41B1" w:rsidRPr="00316000" w:rsidRDefault="00FF54E4">
      <w:r w:rsidRPr="00316000">
        <w:t xml:space="preserve">Stille Rücklagen (Reserven) sind Rücklagen, die aus der Bilanz nicht ersichtlich sind. Sie können als Zwangs-, Ermessens- und Willkürreserven vorkommen. </w:t>
      </w:r>
      <w:r w:rsidRPr="00316000">
        <w:t xml:space="preserve"> Zwangsreserven entstehen durch gesetzliche </w:t>
      </w:r>
      <w:proofErr w:type="spellStart"/>
      <w:r w:rsidRPr="00316000">
        <w:t>Bilanzierungs</w:t>
      </w:r>
      <w:proofErr w:type="spellEnd"/>
      <w:r w:rsidRPr="00316000">
        <w:t xml:space="preserve"> - und </w:t>
      </w:r>
      <w:r w:rsidRPr="00316000">
        <w:lastRenderedPageBreak/>
        <w:t xml:space="preserve">Bewertungsvorschriften (z. B. darf ein Vermögensgegenstand bei einem höheren Marktwert, wie bei Grundstücken oder Gebäuden) nicht über den Anschaffungs- oder Herstellungskosten bewertet werden). </w:t>
      </w:r>
      <w:r w:rsidRPr="00316000">
        <w:t xml:space="preserve"> Ermessensreserven resultieren aus der Ausübung von Wahlrechten (z. B. Nichtaktivierung von Entwicklungskosten oder dem Wahlrecht zur außerplanmäßigen Abschreibung bei einer voraussichtlich vorübergehenden Wertminderung gemäß § 253 Abs. 2 Satz 2 HGB bei Finanzanlagen). </w:t>
      </w:r>
      <w:r w:rsidRPr="00316000">
        <w:t xml:space="preserve"> Unzulässig sind Willkürreserven. Sie basieren auf Verstößen gegen Bilanzierungs- und Bewertungsnormen (z. B. Ansatz von Vermögensgegenständen mit Werten, die unter den zulässigen handelsrechtlichen Wertuntergrenzen liegen, oder Bildung unzulässig hoher Rückstellungen). Stille Reserven stellen den positiven Unterschiedsbetrag zwischen dem tatsächlichen Wert eines Vermögensgegenstandes und seinem Bilanzwert dar. Sie entstehen durch Unterbewertung von Aktivposten (Vermögen) und Überbewertung von Passivposten (Schulden). Beispiele für stille Reserven a) Ein Unternehmer hat vor zehn Jahren ein unbebautes Grundstück gekauft. Die Anschaffungskosten betrugen 20.000 €. Heute hat das Grundstück infolge von Preissteigerungen einen Wert von 50.000 €. In der Bilanz darf das Grundstück nur mit den Anschaffungskosten von 20.000 € angesetzt werden. Die zwangsläufig gebildete stille Reserve beträgt 30.000 €. b) Ein Unternehmen entscheidet sich für die Nichtaktivierung der selbstgeschaffenen immateriellen Vermögenswerte oder der Nichtaktivierung von geringwertigen Wirtschaftsgütern. c) Ein Unternehmen wählt bei kontinuierlich steigenden Preisen für die Rohstoffe als Bewertungsmethode das </w:t>
      </w:r>
      <w:proofErr w:type="spellStart"/>
      <w:r w:rsidRPr="00316000">
        <w:t>Lifo</w:t>
      </w:r>
      <w:proofErr w:type="spellEnd"/>
      <w:r w:rsidRPr="00316000">
        <w:t xml:space="preserve"> -Verfahren. Dies bedeutet, dass die Bestände der vorhandenen Rohstoffe mit den ältesten, d. h. den niedrigeren Einkaufspreisen bewertet werden. Dadurch entstehen stille Reserven, da der tatsächliche Wert der Rohstoffe höher ist als die Rohstoffe in der Bilanz ausgewiesen sind. 3.12 Ausgewählte Posten des Fremdkapitals Schulden stellen Fremdkapital dar. Das Fremdkapital wird von Dritten zur Verfügung gestellt. Diese haben Ansprüche auf Zahlungen jedoch ohne Beteiligungsrechte (z. B. Banken, Lieferanten, Inhaber von Anleihen). Das Fremdkapital setzt sich aus Rückstellungen und Verbindlichkeiten zusammen. </w:t>
      </w:r>
    </w:p>
    <w:p w14:paraId="72A37969" w14:textId="77777777" w:rsidR="00AD41B1" w:rsidRPr="00316000" w:rsidRDefault="00AD41B1"/>
    <w:p w14:paraId="738FB947" w14:textId="77777777" w:rsidR="00AD41B1" w:rsidRPr="00316000" w:rsidRDefault="00AD41B1"/>
    <w:p w14:paraId="511B3AF8" w14:textId="77777777" w:rsidR="00AD41B1" w:rsidRPr="00316000" w:rsidRDefault="00AD41B1"/>
    <w:p w14:paraId="79282AAA" w14:textId="77777777" w:rsidR="00AD41B1" w:rsidRPr="00316000" w:rsidRDefault="00AD41B1"/>
    <w:p w14:paraId="31863C10" w14:textId="77777777" w:rsidR="00AD41B1" w:rsidRPr="00316000" w:rsidRDefault="00FF54E4">
      <w:r w:rsidRPr="00316000">
        <w:lastRenderedPageBreak/>
        <w:t xml:space="preserve">3.12.1 Rückstellungen </w:t>
      </w:r>
    </w:p>
    <w:p w14:paraId="2207056D" w14:textId="0475AD4E" w:rsidR="00FF54E4" w:rsidRPr="00316000" w:rsidRDefault="00FF54E4">
      <w:r w:rsidRPr="00316000">
        <w:t xml:space="preserve">Rückstellungen sind Verpflichtungen eines Unternehmens, die am Abschlussstichtag zwar dem Grunde nach, aber hinsichtlich der Höhe und/oder des Fälligkeitszeitpunkts, noch nicht genau. </w:t>
      </w:r>
    </w:p>
    <w:p w14:paraId="598A1BC3" w14:textId="71F14AAB" w:rsidR="00FF54E4" w:rsidRPr="00316000" w:rsidRDefault="00FF54E4">
      <w:r w:rsidRPr="00316000">
        <w:t xml:space="preserve">Sie dienen der periodengerechten Erfolgsermittlung des Jahresabschlusses und stellen spätere Ausgaben dar, die bereits am Abschlussstichtag als Aufwand erfasst werden. Grundsätzlich lassen sich Rückstellungen in zwei Arten unterscheiden. Rückstellungen aufgrund von Außenverpflichtungen und Rückstellungen aufgrund von Innenverpflichtungen. 3.12.1.1 Rückstellungsarten </w:t>
      </w:r>
      <w:r w:rsidRPr="00316000">
        <w:t xml:space="preserve"> Verbindlichkeitsrückstellungen: Es besteht eine rechtliche oder faktische Außenverpflichtung, d. h. eine Inanspruchnahme ist wahrscheinlich und die rechtliche Entstehung bzw. wirtschaftliche Verursachung lag vor dem Bilanzstichtag (§ 249 Abs. 1 Satz 1, 2 und Nr. 2 HGB). Hierbei handelt es sich beispielsweise um Pensions-, Steuer-, Prozesskosten-, Kulanz-, </w:t>
      </w:r>
      <w:proofErr w:type="spellStart"/>
      <w:r w:rsidRPr="00316000">
        <w:t>Drohverlustoder</w:t>
      </w:r>
      <w:proofErr w:type="spellEnd"/>
      <w:r w:rsidRPr="00316000">
        <w:t xml:space="preserve"> Garantierückstellungen. − Drohverlustrückstellungen: Antizipation von Verlusten aus schwebenden Geschäften (§ 249 Abs. 1 Satz 1 HGB; steuerlich nicht zulässig). Voraussetzungen wie bei Verbindlichkeitsrückstellung. − Kulanzrückstellungen: Sie sind zu bilden, wenn ein Unternehmen über die gesetzlichen Verpflichtungen hinaus freiwillig Gewährleistungen übernimmt.</w:t>
      </w:r>
    </w:p>
    <w:p w14:paraId="0075A441" w14:textId="452BD840" w:rsidR="00FF54E4" w:rsidRPr="00316000" w:rsidRDefault="00FF54E4">
      <w:r w:rsidRPr="00316000">
        <w:t>Aufwandsrückstellungen: Hierbei handelt es sich um eine Innenverpflichtung, d. h. es besteht eine Schuld gegenüber sich selbst, welche als Aufwandsrückstellung bezeichnet wird. Hier hat der Gesetzgeber in § 249 Abs. 1 Nr. 1 HGB eine abschließende Vorschrift erlassen, für welche Arten der Innenverpflichtung Rückstellungen gebildet werden dürfen, z. B. für unterlassene Instandhaltung, die innerhalb der ersten drei Monate des folgenden Geschäftsjahres nachgeholt wird, oder für Abraumbeseitigung, die im folgenden Geschäftsjahr nachgeholt wird. In Abbildung 3.9 wurden die Rückstellungen anhand ihres Verpflichtungscharakters systematisiert. 3.12.1.2 Ausweis der Rückstellungen in der Handelsbilanz In dem § 264a HGB ist der bilanzielle Ausweis der Rückstellungen für Kapitalgesellschaften und haftungsbeschränkte Personengesellschaften (</w:t>
      </w:r>
      <w:proofErr w:type="spellStart"/>
      <w:r w:rsidRPr="00316000">
        <w:t>KapCoRiLiG</w:t>
      </w:r>
      <w:proofErr w:type="spellEnd"/>
      <w:r w:rsidRPr="00316000">
        <w:t xml:space="preserve">, z. B. GmbH &amp; Co. KG) geregelt. Demnach müssen die Rückstellungen nach § 266 Abs. 3 HGB in drei Unterposten ausgewiesen werden: </w:t>
      </w:r>
      <w:r w:rsidRPr="00316000">
        <w:t xml:space="preserve"> Rückstellungen für Pensionen und ähnliche Verpflichtungen, </w:t>
      </w:r>
      <w:r w:rsidRPr="00316000">
        <w:t xml:space="preserve"> Steuerrückstellungen und </w:t>
      </w:r>
      <w:r w:rsidRPr="00316000">
        <w:t xml:space="preserve"> sonstige Rückstellungen. </w:t>
      </w:r>
      <w:r w:rsidRPr="00316000">
        <w:t xml:space="preserve"> Auf den </w:t>
      </w:r>
      <w:r w:rsidRPr="00316000">
        <w:lastRenderedPageBreak/>
        <w:t xml:space="preserve">Posten der sonstigen Rückstellungen muss gemäß § 285 Nr. 12 HGB im Anhang näher eingegangen werden, soweit diese einen nicht unerheblichen Umfang haben. Kleine Kapitalgesellschaften und Kleinstkapitalgesellschaften können gemäß § 266 Abs. 1 Satz 3 HGB alle Rückstellungen unter einem Posten ausweisen und müssen diese auch nicht näher erläutern. 3.12.1.3 Beispiele: Häufige rückstellungspflichtige Sachverhalte </w:t>
      </w:r>
      <w:r w:rsidRPr="00316000">
        <w:t xml:space="preserve"> Pensionsrückstellungen − Dies sind Rückstellungen für unmittelbare Versorgungsleistungen (Alters-, Invaliden- und Hinterbliebenenversorgung) gegenüber versorgungsberechtigten Arbeitnehmern. Pensionsverpflichtungen entstehen, wenn ein Unternehmen seinen Arbeitnehmern bzw. anderen Personen die Zusage auf einmalige (Kapitalzusage) oder wiederkehrende Geld- oder Sachleistungen (Rentenzusage) gibt, die ihnen nach Beendigung der Erwerbstätigkeit gewährt werden. Im Regelfall erfolgt die Rentenzahlung lebenslänglich bis zum Tode des Empfängers, sie kann aber auch befristet sein. Diese Rückstellungen können ebenso als Leistungen für die Versorgung bei Invalidität oder Hinterbliebenen angesehen werden, hauptsächlich beschränken sie sich aber auf die Altersversorgung.32 </w:t>
      </w:r>
      <w:r w:rsidRPr="00316000">
        <w:t xml:space="preserve"> Steuerrückstellungen − Die Höhe der Steuerrückstellung ergibt sich aus der Differenz zwischen der voraussichtlichen Jahressteuerschuld und den bis zum Abschlussstichtag schon geleisteten Vorauszahlungen.33 </w:t>
      </w:r>
      <w:r w:rsidRPr="00316000">
        <w:t> Zu den sonstigen Rückstellungen gehören beispielsweise: − Gratifikationen (Tantiemen, Gewinnbeteiligungen): Diese sind rückstellungspflichtig, sofern vor dem Abschlussstichtag den Arbeitnehmern eine Erfolgsprämie zugesagt wurde. Die Erfolgsprämie ist z. B. an den Jahresüberschuss oder das EBIT geknüpft. − Urlaub: Häufig ist es nicht möglich, dass die Arbeitnehmer ihren Urlaub im laufenden Geschäftsjahr in Anspruch nehmen. Für die Verpflichtung des Arbeitgebers zur Gewährung von bezahltem Alturlaub im folgenden Geschäftsjahr ist eine Rückstellung zu bilden, da dem für diese Zeit gezahlten Gehalt keine Arbeitsleistung seitens des Arbeitnehmers gegenübersteht. Die Urlaubsrückstellungen sind in Höhe der zu zahlenden Lohn- und Gehaltsanteile einschließlich Sozialabgaben, Nebenverpflichtungen (Urlaubs- und Weihnachtsgeld, Altersversorgung etc.) zu bilden.</w:t>
      </w:r>
    </w:p>
    <w:p w14:paraId="1DA8401B" w14:textId="27425307" w:rsidR="00FF54E4" w:rsidRPr="00316000" w:rsidRDefault="00FF54E4">
      <w:r w:rsidRPr="00316000">
        <w:t xml:space="preserve">Überstunden: Für diese Mehrstunden, die erst im folgenden Geschäftsjahr entweder abgebaut oder ausbezahlt werden, sind Rückstellungen für ungewisse Verbindlichkeiten zu bilden. Diese Rückstellungen sind genauso zu bewerten wie die Urlaubsrückstellungen. − Berufsgenossenschaftsbeiträge: Für Unternehmen besteht </w:t>
      </w:r>
      <w:r w:rsidRPr="00316000">
        <w:lastRenderedPageBreak/>
        <w:t xml:space="preserve">gesetzlich die Verpflichtung zur Mitgliedschaft in der Berufsgenossenschaft. Die Jahresbeiträge bemessen sich nach den Jahresbruttoentgelten, die erst nach dem Abschlussstichtag feststehen und erst dann an den Versicherungsträger gemeldet werden können. Die Beiträge sind regelmäßig im Mai des folgenden Geschäftsjahres fällig. Die Rückstellung ist in Höhe der für das abgelaufene Geschäftsjahr zu leistende Beiträge zu bilden. − Jubiläumsaufwendungen: Handelsrechtlich sind für sämtliche rechtsverbindlich zugesagten Leistungen des Arbeitgebers anlässlich von Dienstjubiläen der Arbeitnehmer Rückstellungen zu bilden. Dadurch wird der Aufwand für die Jubiläumsgeldzahlungen in die Jahre verlagert, in denen er wirtschaftlich verursacht wurde, d. h. in denen der Arbeitnehmer seine Arbeitsleistung erbracht hat. Die Jubiläumsgeldzahlung ist quasi ein nachträgliches Entgelt für geleistete Arbeit. − Freistellung und Ausscheiden von Mitarbeitern: Vereinbaren Arbeitgeber und Arbeitnehmer vor dem Abschlussstichtag die Beendigung des Arbeitsverhältnisses, so können hieraus rückstellungspflichtige Sachverhalte resultieren. Eine im Folgejahr fällige Abfindung ist zurückzustellen. Wird ein Arbeitnehmer für eine bestimmte Zeit im neuen Jahr bis zum Ende des Arbeitsverhältnisses von der Arbeitsleistung freigestellt, so ist zum anderen für sämtliche auf diesen Zeitraum entfallenden Personalkosten (Lohn und Gehalt, Sozialversicherungsanteil des Arbeitgebers, anteiliges Urlaubs- und Weihnachtsgeld etc.) eine Rückstellung zu bilden. − Gewährleistung: Beruht eine Garantieleistung auf einer verbindlichen Zusage gegenüber dem Kunden, so liegt eine rückstellungspflichtige Verpflichtung vor. − Kulanz: Kulanzrückstellungen sind gemäß § 249 A </w:t>
      </w:r>
      <w:proofErr w:type="spellStart"/>
      <w:r w:rsidRPr="00316000">
        <w:t>bs</w:t>
      </w:r>
      <w:proofErr w:type="spellEnd"/>
      <w:r w:rsidRPr="00316000">
        <w:t xml:space="preserve">. 1 Satz 2 Nr. 2 HGB zu bilden für Gewährleistungen, die ohne rechtliche Verpflichtungen erbracht werden. − Prozessrisiko und Prozesskosten: Eine Rückstellung, bei der die tatsächliche Inanspruchnahme in der Regel ungewiss ist. Ihre Bildung steht nicht im Ermessen des Kaufmanns. Muss er nach den Verhältnissen am Abschlussstichtag damit rechnen, dass ein Kunde gegen ihn Schadensersatzansprüche geltend machen wird, so muss er eine Rückstellung bilden. − Buchführung und Jahresabschluss: Der Jahresabschluss wird im Folgejahr aufgestellt und geprüft. Wegen der gesetzlichen Verpflichtung liegen hier der Höhe </w:t>
      </w:r>
      <w:proofErr w:type="gramStart"/>
      <w:r w:rsidRPr="00316000">
        <w:t>nach ungewisse Verbindlichkeiten</w:t>
      </w:r>
      <w:proofErr w:type="gramEnd"/>
      <w:r w:rsidRPr="00316000">
        <w:t xml:space="preserve"> vor, die zurückzustellen sind. Hierzu gehören die Kosten der Inventurdurchführung, die eigentlichen Abschlussarbeiten, Kosten des Abschlussprüfers sowie die Kosten der Veröffentlichung beim elektronischen Bundesanzeiger. − Ausstehende Rechnungen: Rechnungen von Lieferanten für Wareneingänge vor dem Abschlussstichtag, die bis zum Buchungsschluss nicht </w:t>
      </w:r>
      <w:r w:rsidRPr="00316000">
        <w:lastRenderedPageBreak/>
        <w:t>vorliegen oder nicht mehr erfasst werden können, müssen entweder als Verbindlichkeit aus Lieferungen und Leistungen oder sofern Ungewissheit bezüglich des Eingangs und/oder Höhe besteht – als Rückstellung für ungewisse Verbindlichkeit bilanziert werden. − Abbruchkosten: Besteht eine vertragliche Verpflichtung zum Abbruch von Gebäuden auf fremdem Grund und Boden, ist eine Rückstellung für die voraussichtlichen Abbruchkosten zu bilden. − Instandhaltungs- und Abraumbeseitigungsrückstellungen: Diese Aufwandsrückstellungen stellen eine Verpflichtung des Unternehmens gegen sich selbst dar. Handelsrechtlich besteht eine Bilanzierungspflicht, sofern die unterlassene Instandhaltung im folgenden Geschäftsjahr innerhalb von drei Monaten nachgeholt wird bzw. die Abraumbeseitigung im folgenden Geschäftsjahr vorgenommen wird (§ 249 Abs. 1 Satz 2 Nr. 1 HGB).</w:t>
      </w:r>
    </w:p>
    <w:p w14:paraId="36CE7877" w14:textId="77777777" w:rsidR="00FF54E4" w:rsidRPr="00316000" w:rsidRDefault="00FF54E4"/>
    <w:p w14:paraId="7EEC7159" w14:textId="77777777" w:rsidR="00FF54E4" w:rsidRPr="00316000" w:rsidRDefault="00FF54E4"/>
    <w:p w14:paraId="6487F97F" w14:textId="77777777" w:rsidR="00FF54E4" w:rsidRPr="00316000" w:rsidRDefault="00FF54E4"/>
    <w:p w14:paraId="4A0C6342" w14:textId="77777777" w:rsidR="00FF54E4" w:rsidRPr="00316000" w:rsidRDefault="00FF54E4"/>
    <w:p w14:paraId="15CA846B" w14:textId="77777777" w:rsidR="00FF54E4" w:rsidRPr="00316000" w:rsidRDefault="00FF54E4"/>
    <w:p w14:paraId="08C05F33" w14:textId="77777777" w:rsidR="00AD41B1" w:rsidRPr="00316000" w:rsidRDefault="00AD41B1"/>
    <w:p w14:paraId="3A33439E" w14:textId="77777777" w:rsidR="00AD41B1" w:rsidRPr="00316000" w:rsidRDefault="00AD41B1"/>
    <w:p w14:paraId="698C0DCE" w14:textId="77777777" w:rsidR="00AD41B1" w:rsidRPr="00316000" w:rsidRDefault="00AD41B1"/>
    <w:p w14:paraId="7431AE9B" w14:textId="77777777" w:rsidR="00AD41B1" w:rsidRPr="00316000" w:rsidRDefault="00AD41B1"/>
    <w:p w14:paraId="0EDF2B7C" w14:textId="77777777" w:rsidR="00AD41B1" w:rsidRPr="00316000" w:rsidRDefault="00AD41B1"/>
    <w:p w14:paraId="216D571A" w14:textId="77777777" w:rsidR="00AD41B1" w:rsidRPr="00316000" w:rsidRDefault="00AD41B1"/>
    <w:p w14:paraId="48E70A61" w14:textId="77777777" w:rsidR="00AD41B1" w:rsidRPr="00316000" w:rsidRDefault="00AD41B1"/>
    <w:p w14:paraId="4A7DA1F0" w14:textId="77777777" w:rsidR="00AD41B1" w:rsidRPr="00316000" w:rsidRDefault="00AD41B1"/>
    <w:p w14:paraId="163EF4FE" w14:textId="77777777" w:rsidR="00AD41B1" w:rsidRPr="00316000" w:rsidRDefault="00AD41B1"/>
    <w:p w14:paraId="06C15886" w14:textId="77777777" w:rsidR="00AD41B1" w:rsidRPr="00316000" w:rsidRDefault="00AD41B1"/>
    <w:p w14:paraId="576EAF71" w14:textId="77777777" w:rsidR="00AD41B1" w:rsidRPr="00316000" w:rsidRDefault="00AD41B1"/>
    <w:p w14:paraId="4ED0CB3E" w14:textId="48BE7E6B" w:rsidR="00AD41B1" w:rsidRPr="00316000" w:rsidRDefault="00FF54E4">
      <w:pPr>
        <w:rPr>
          <w:b/>
          <w:bCs/>
          <w:sz w:val="28"/>
          <w:szCs w:val="24"/>
        </w:rPr>
      </w:pPr>
      <w:r w:rsidRPr="00316000">
        <w:rPr>
          <w:b/>
          <w:bCs/>
          <w:sz w:val="28"/>
          <w:szCs w:val="24"/>
        </w:rPr>
        <w:lastRenderedPageBreak/>
        <w:t xml:space="preserve">Gewinn- und Verlustrechnung </w:t>
      </w:r>
    </w:p>
    <w:p w14:paraId="6B19E38C" w14:textId="4C4D5C0A" w:rsidR="00FF54E4" w:rsidRPr="00316000" w:rsidRDefault="00FF54E4">
      <w:r w:rsidRPr="00316000">
        <w:t xml:space="preserve">Lernziele Nachdem Sie dieses Kapitel bearbeitet haben, werden Sie wissen, was eine Gewinn- und Verlustrechnung (GuV) ist, wie diese aufgebaut ist und welche Aussagekraft eine GuV hat. Ferner lernen Sie den Unterschied zwischen der Kontoform und der Staffelform mit den Varianten des Gesamt- und Umsatzkostenverfahrens der GuV kennen. Sie werden erfahren, welche Posten sich in der GuV befinden und wie sie gegliedert ist, sowie die größenabhängigen Erleichterungen kennenlernen. 7.1 Einführung Im Gegensatz zur zeitpunktbezogenen Bilanz handelt es sich bei der Gewinn- und Verlustrechnung um eine Zeitraumrechnung, die der Erfolgsanalyse des Unternehmens dient. Die Gewinn- und Verlustrechnung (GuV) gibt Auskunft über die Erfolgslage des Unternehmens. Sie erfasst die Erträge und Aufwendungen der jeweiligen Geschäftsperiode unabhängig davon, wann die entsprechenden Ein- und Auszahlungen stattfinden. Der § 242 Abs. 2 HGB schreibt für alle Kaufleute verpflichtend vor, dass der Kaufmann für den Schluss eines jeden Geschäftsjahres die Aufwendungen und Erträge des Geschäftsjahres gegenüberzustellen hat. Der Saldo zwischen den Erträgen und den Aufwendungen zeigt den Jahreserfolg (Gewinn und Verlust) wieder. Dieser Saldo erscheint dann in einer Summe auch in der Bilanz und erhöht bei einem Gewinn oder vermindert bei einem Verlust das Eigenkapital. Die GuV kann entweder in der Konto- oder in der Staffelform aufgestellt werden. Die folgende Abbildung zeigt die GuV in der Kontoform. Gewinn- und Verlustrechnung in Kontoform Aufwendungen Erträge Aufwandsarten Saldo = Gewinn __________ __________ Ertragsarten (Saldo = Verlust) ___________ ___________ Summe __________ </w:t>
      </w:r>
      <w:proofErr w:type="spellStart"/>
      <w:r w:rsidRPr="00316000">
        <w:t>Summe</w:t>
      </w:r>
      <w:proofErr w:type="spellEnd"/>
      <w:r w:rsidRPr="00316000">
        <w:t xml:space="preserve"> ___________ Abb. 7.1: Gewinn- und Verlustrechnung in Kontoform Bei der GuV in der Kontoform fehlt die Möglichkeit, zusammenhängende Erfolgskomponenten in Zwischensummen zusammenzufassen. Deshalb ist für die Gewinn- und Verlustrechnung der Kapitalgesellschaften die Staffelform entweder nach dem Gesamtkostenverfahren oder nach dem Umsatzkostenverfahren als Gliederungsschema gesetzlich vorgeschrieben (§ 275 Abs. 1 Satz 1 HGB). Bei der Staffelform können sachlich zusammengehörige Aufwands- und Ertragsposten zusammengefasst und jeweilige Zwischensummen (z. B. Betriebsergebnis, Finanzergebnis, Ergebnis nach Steuern) ausgewiesen werden.</w:t>
      </w:r>
    </w:p>
    <w:p w14:paraId="5CE1BC41" w14:textId="77777777" w:rsidR="00AD41B1" w:rsidRPr="00316000" w:rsidRDefault="00AD41B1"/>
    <w:p w14:paraId="780DB4BD" w14:textId="77777777" w:rsidR="00AD41B1" w:rsidRPr="00316000" w:rsidRDefault="00FF54E4">
      <w:r w:rsidRPr="00316000">
        <w:lastRenderedPageBreak/>
        <w:t xml:space="preserve">7.2 Vergleich zwischen dem Gesamtkosten- und Umsatzkostenverfahren </w:t>
      </w:r>
    </w:p>
    <w:p w14:paraId="46C28C6A" w14:textId="77777777" w:rsidR="00AD41B1" w:rsidRPr="00316000" w:rsidRDefault="00AD41B1"/>
    <w:p w14:paraId="7BFA24FB" w14:textId="40DBAE82" w:rsidR="00FF54E4" w:rsidRPr="00316000" w:rsidRDefault="00FF54E4">
      <w:r w:rsidRPr="00316000">
        <w:t>Beim Gesamtkostenverfahren erfolgt die Gegenüberstellung der gesamten Aufwendungen und gesamten Erträge, die um die Bestandsveränderungen der fertigen und unfertigen Erzeugnisse sowie der anderen aktivierten Eigenleistungen korrigiert werden. Dagegen werden beim Umsatzkostenverfahren den Erträgen nur die Aufwendungen der abgesetzten Produkte gegenübergestellt. Damit besteht der Unterschied in der Berücksichtigung der Bestandserhöhungen und Bestandsminderungen der fertigen und unfertigen Erzeugnisse sowie der aktivierten Eigenleistungen. Die folgende Abbildung zeigt den Unterschied der beiden Verfahren bei Bestandserhöhung der fertigen und unfertigen Erzeugnisse sowie bei anderen aktivierten Eigenleistungen.</w:t>
      </w:r>
    </w:p>
    <w:p w14:paraId="0189B721" w14:textId="77777777" w:rsidR="00AD41B1" w:rsidRPr="00316000" w:rsidRDefault="00FF54E4">
      <w:r w:rsidRPr="00316000">
        <w:t xml:space="preserve">7.3 Gesamtkostenverfahren </w:t>
      </w:r>
    </w:p>
    <w:p w14:paraId="250AD338" w14:textId="77777777" w:rsidR="00AD41B1" w:rsidRPr="00316000" w:rsidRDefault="00FF54E4">
      <w:r w:rsidRPr="00316000">
        <w:t xml:space="preserve">Beim Gesamtkostenverfahren handelt es sich um eine Produktionserfolgsrechnung, d. h. es werden sämtlichen Erträgen der Periode (Umsatzerlöse, Bestandserhöhungen bei fertigen und unfertigen Erzeugnissen sowie anderen aktivierten Eigenleistungen) alle Aufwendungen der produzierten Mengeneinheiten der gleichen Periode gegenübergestellt. Das Gesamtkostenverfahren ist pro </w:t>
      </w:r>
      <w:proofErr w:type="spellStart"/>
      <w:r w:rsidRPr="00316000">
        <w:t>duktionsorientiert</w:t>
      </w:r>
      <w:proofErr w:type="spellEnd"/>
      <w:r w:rsidRPr="00316000">
        <w:t xml:space="preserve">, die Gliederung der Aufwendungen erfolgt nach Aufwandsarten (Materialaufwand, Personalaufwand, Abschreibung). Es lässt sich beispielsweise die Lagerumschlaghäufigkeit ermitteln und es wird ein Einblick in die einzelnen Aufwandsarten gewährt. Die Gesamtleistung fasst die Umsatzerlöse, die Bestandsänderungen der fertigen und unfertigen Erzeugnisse sowie die aktivierten Eigenleistungen zusammen. Bei den Erträgen handelt es sich um:65 </w:t>
      </w:r>
      <w:r w:rsidRPr="00316000">
        <w:t xml:space="preserve"> Umsatzerlöse, die aus den Ausgangsrechnungen resultieren und mit den vereinbarten Verkaufspreisen zu berücksichtigen sind. Von den Erlösen sind die Erlösschmälerungen wie z. B. Rabatte, Skonti, direkt zurechenbare Boni oder Rücknahmen sowie die mit dem Umsatz direkt verbundenen Steuern abzuziehen. Hierunter fallen insbesondere die Verbrauchs- und Verkehrssteuern (z. B. Energie-, Strom-, Mineralöl-, Tabak- und Biersteuer). </w:t>
      </w:r>
      <w:r w:rsidRPr="00316000">
        <w:t xml:space="preserve"> Bestandsveränderungen der fertigen und unfertigen Erzeugnisse, die zu Herstellungskosten bewertet werden. Sie sind bei einer Bestandserhöhung erfolgserhöhend (+) und bei einer Bestandsminderung erfolgsmindernd (-) zu berücksichtigen. Die jeweilige n Bestände zum </w:t>
      </w:r>
      <w:r w:rsidRPr="00316000">
        <w:lastRenderedPageBreak/>
        <w:t xml:space="preserve">Abschlussstichtag werden in den Bilanzposten „fertige Erzeugnisse“ und „unfertige Erzeugnisse“ ausgewiesen. </w:t>
      </w:r>
      <w:r w:rsidRPr="00316000">
        <w:t xml:space="preserve"> Andere aktivierte Eigenleistungen, die zu Herstellungskosten bewertet werden. Es handelt sich um selbst erstellte Vermögensgegenstände des Anlagevermögens zur betrieblichen Nutzung, die nicht für die Weiterveräußerung bestimmt sind und daher nicht den Vorräten bzw. dem Umlaufvermögen zuzurechnen sind. Zu den aktivierten Eigenleistungen zählen z. B. selbst erstellte Maschinen oder Gebäude, selbst durchgeführte Großreparaturen und Erweiterungen. Die GuV nach dem Gesamtkostenverfahren ermittelt das Jahresergebnis in fünf Schritten: 1. Die Posten 1 bis 5 ergeben das Rohergebnis, das in der Gliederung nicht explizit ausgewiesen wird. 2. Die Posten 1 bis 8 ergeben das Betriebsergebnis, das in der Gliederung nicht gesondert ausgewiesen wird. 3. Über die Posten 9 bis 13 lässt sich das Finanzergebnis errechnen, das jedoch nicht gesondert ausgewiesen wird. 4. Betriebsergebnis und Finanzergebnis führen zum Gesamtergebnis. 5. Die Posten 1 bis 14 ergeben das Ergebnis nach Steuern (Posten 15). 6. Nach Abzug der sonstigen Steuern (Posten 15 minus Posten 16) ermittelt das Gesamtkostenverfahren in Posten 17 das Jahresergebnis (Jahresüberschuss/Jahresfehlbetrag). Die Vorteile des Gesamtkostenverfahrens sind: </w:t>
      </w:r>
      <w:r w:rsidRPr="00316000">
        <w:t xml:space="preserve"> Die Gewinn- und Verlustrechnung kann auf der Grundlage einer in Kostenarten eingeteilten Buchführung erstellt werden. </w:t>
      </w:r>
      <w:r w:rsidRPr="00316000">
        <w:t xml:space="preserve"> Die periodengerechte Abgrenzung von Aufwendungen und Erträgen kommt besser zum Ausdruck. </w:t>
      </w:r>
      <w:r w:rsidRPr="00316000">
        <w:t xml:space="preserve"> Es lässt sich die Gesamtleistung des Unternehmens errechnen (Umsatz +/- Bestandsveränderung der fertigen und unfertigen Erzeugnisse + andere aktivierte Eigenleistungen). </w:t>
      </w:r>
      <w:r w:rsidRPr="00316000">
        <w:t xml:space="preserve"> Es werden die wesentlichen Aufwandsarten, wie z. B. Materialaufwand, Personalaufwand und Abschreibungen, als wichtige Bestimmungsgröße für die Ertragskraft gesondert ausgewiesen. </w:t>
      </w:r>
      <w:r w:rsidRPr="00316000">
        <w:t xml:space="preserve"> Die Abschreibungen werden offen ausgewiesen, wodurch die Selbstfinanzierungskraft des Unternehmens deutlicher wird. </w:t>
      </w:r>
      <w:r w:rsidRPr="00316000">
        <w:t xml:space="preserve"> Es ist keine Kostenstellenrechnung erforderlich. </w:t>
      </w:r>
    </w:p>
    <w:p w14:paraId="12518476" w14:textId="5AFFDE95" w:rsidR="00FF54E4" w:rsidRPr="00316000" w:rsidRDefault="00FF54E4">
      <w:r w:rsidRPr="00316000">
        <w:t xml:space="preserve">7.3.2 Inhalt und Aussagen der Gewinn- und Verlustrechnung nach dem Gesamtkostenverfahren </w:t>
      </w:r>
      <w:r w:rsidRPr="00316000">
        <w:t xml:space="preserve"> Umsatzerlöse: Erlöse aus dem Verkauf von Umlaufvermögen und der Vermietung oder Verpachtung sowie aus der Erbringung von Dienstleistungen. Erträge aus Schrottverkäufen, oder Kantinenerlöse sowie Erträge aus Provisionen, Lizenzen und Patenten. Die auf die Erlöse entfallende Umsatzsteuer, Erlösschmälerungen (Rabatte, Boni und Skonti) oder direkt mit dem Umsatz verbundene Steuern sind zum Abzug zu bringen. </w:t>
      </w:r>
      <w:r w:rsidRPr="00316000">
        <w:t xml:space="preserve"> Erhöhung/Verminderung des </w:t>
      </w:r>
      <w:r w:rsidRPr="00316000">
        <w:lastRenderedPageBreak/>
        <w:t xml:space="preserve">Bestands </w:t>
      </w:r>
      <w:proofErr w:type="gramStart"/>
      <w:r w:rsidRPr="00316000">
        <w:t>an fertigen</w:t>
      </w:r>
      <w:proofErr w:type="gramEnd"/>
      <w:r w:rsidRPr="00316000">
        <w:t xml:space="preserve"> und unfertigen Erzeugnissen: Dieser Posten entsteht durch Mengen- oder Wertänderungen. Mengenänderungen stellen sich beispielsweise ein, wenn der Verkauf größer oder kleiner als die Produktion war. Wertänderungen können sich aus einer Veränderung der Herstellungskosten oder durch Qualitätsabschläge, Bewertungsabschläge auf Ladenhüter oder Abschreibungen nach dem Niederstwertprinzip ergeben. </w:t>
      </w:r>
      <w:r w:rsidRPr="00316000">
        <w:t xml:space="preserve"> Andere aktivierte Eigenleistungen: Hierbei handelt es sich um selbst hergestellte Vermögensgegenstände des Anlagevermögens, die nicht an Dritte verkauft werden, sondern zur Eigennutzung dienen, wie beispielsweise selbst erstellte Gebäude, Maschinen, Werkzeuge oder aktivierungspflichtige Großreparaturen, die der eigentlichen betrieblichen Nutzung dienen. Der Ausweis der aktivierten Eigenleistungen stellt einen Ertragsausweis dar. Die aktivierten Eigenleistungen werden in der Bilanz als Vermögensgegenstände erfasst, also „aktiviert“. </w:t>
      </w:r>
      <w:r w:rsidRPr="00316000">
        <w:t xml:space="preserve"> Sonstige betriebliche Erträge: Sammelposten, in dem alle Erträge, die nicht unter den Umsatzerlösen ausgewiesen sind, erfasst werden. Hierzu zählen beispielsweise Erträge aus der Auflösung von Rückstellungen, Erträge aus abgeschriebenen Forderungen, Erträge aus der Herabsetzung von Pauschalwertberichtigungen zu Forderungen, Erträge aus Zuschreibungen auf Vermögensgegenstände des Anlage- und Umlaufvermögens, Erträge aus Versicherungsentschädigungen, Aktivierung von unentgeltlich erworbenen Vermögensgegenständen, Erträge aus dem Verkauf von Gegenständen des Anlagevermögens, z. B. der Buchgewinn aus einem Grundstücksverkauf etc. </w:t>
      </w:r>
      <w:r w:rsidRPr="00316000">
        <w:t xml:space="preserve"> Materialaufwand: Hierzu zählen der Materialverbrauch aus dem Fertigungsbereich für die Roh-, Hilfs- und Betriebsstoffe, aber auch die Aufwendungen für bezogene Waren und die bezogenen Fremdleistungen. </w:t>
      </w:r>
      <w:r w:rsidRPr="00316000">
        <w:t xml:space="preserve"> Rohergebnis: Das Rohergebnis ist eine Zwischensumme der Gewinn - und Verlustrechnung und umfasst in der GuV nach dem Gesamtkostenverfahren (§ 275 Abs. 2 HGB) die Posten Nr. 1 bis Nr. 5 sowie in der GuV nach dem Umsatzkostenverfahren (§ 275 Abs. 3 HGB) die Posten Nr. 1 bis Nr. 3 und Nr. 6. </w:t>
      </w:r>
      <w:r w:rsidRPr="00316000">
        <w:t xml:space="preserve"> Personalaufwand: Hierunter werden Löhne und Gehälter (brutto), soziale Abgaben (Arbeitgeberanteil zur Sozialversicherung und Beiträge zur Berufsgenossenschaft), Aufwendungen für die Altersvorsorge (Zuführungen zu Pensionsrückstellungen und Beiträge zu selbstständigen Versorgungseinrichtungen) sowie Unterstützung en (Unterstützungszahlungen für Inva </w:t>
      </w:r>
      <w:proofErr w:type="spellStart"/>
      <w:r w:rsidRPr="00316000">
        <w:t>liden</w:t>
      </w:r>
      <w:proofErr w:type="spellEnd"/>
      <w:r w:rsidRPr="00316000">
        <w:t xml:space="preserve">, Heirats- und Geburtsbeihilfen) gefasst. </w:t>
      </w:r>
      <w:r w:rsidRPr="00316000">
        <w:t xml:space="preserve"> Abschreibungen: Antizipierte Wertminderung von Vermögensgegenständen des Anlage- und Umlaufvermögens. Es ist zwischen </w:t>
      </w:r>
      <w:r w:rsidRPr="00316000">
        <w:lastRenderedPageBreak/>
        <w:t xml:space="preserve">planmäßigen und außerplanmäßigen Abschreibungen zu unterscheiden. </w:t>
      </w:r>
      <w:r w:rsidRPr="00316000">
        <w:t xml:space="preserve"> Sonstige betriebliche Aufwendungen: </w:t>
      </w:r>
      <w:proofErr w:type="spellStart"/>
      <w:r w:rsidRPr="00316000">
        <w:t>Sammelpo</w:t>
      </w:r>
      <w:proofErr w:type="spellEnd"/>
      <w:r w:rsidRPr="00316000">
        <w:t xml:space="preserve"> </w:t>
      </w:r>
      <w:proofErr w:type="spellStart"/>
      <w:r w:rsidRPr="00316000">
        <w:t>sten</w:t>
      </w:r>
      <w:proofErr w:type="spellEnd"/>
      <w:r w:rsidRPr="00316000">
        <w:t xml:space="preserve"> für alle Aufwendungen aus der gewöhnlichen Geschäftstätigkeit, die nicht an anderer Stelle ausgewiesen werden. Sie umfassen u. a. übliche Abschreibungen auf Forderungen, Aufwendungen aus der Währungsumrechnung, Verluste aus Anlagenabgängen, Mieten, Leasingraten, Fahrzeugkosten, Versicherungen, Kommunikationsaufwand, Rechtsanwalts- und Beratungskosten, Zuführung zu Rückstellungen. </w:t>
      </w:r>
    </w:p>
    <w:p w14:paraId="2A716ADE" w14:textId="0496FD5E" w:rsidR="00FF54E4" w:rsidRPr="00316000" w:rsidRDefault="00FF54E4">
      <w:r w:rsidRPr="00316000">
        <w:t xml:space="preserve">(wenn die Aufwandsart noch nicht endgültig hinreichend bestimmbar ist). Zuführungen zu Pensionsrückstellungen bei Inanspruchnahme des Streckungswahlrechts im Zuge der BilMoG-Umstellung (Ausweis als Posten „Aufwendungen nach Art. 67 Abs. 1 und 2 EGHGB). </w:t>
      </w:r>
      <w:r w:rsidRPr="00316000">
        <w:t xml:space="preserve"> Betriebsergebnis: Das Betriebsergebnis setzt sich beim Gesamtkostenverfahren aus den Posten 1 bis 8 und beim Umsatzkostenverfahren aus den Posten 1 bis 7 zusammen. Es hat von allen Ergebnissen die größte Aussagekraft hinsichtlich Beurteilung der Ertragsentwicklung. Das Betriebsergebnis enthält betriebliche Erträge und betriebliche Aufwendungen. Mischposten sind die sonstigen betrieblichen Erträge und die sonstigen betrieblichen Aufwendungen. </w:t>
      </w:r>
      <w:r w:rsidRPr="00316000">
        <w:t xml:space="preserve"> Erträge aus Beteiligungen: Hierunter sind die laufenden Erträge auszuweisen, die im Beteiligungsverhältnis begründet sind (z. B. Dividenden von Kapitalgesellschaften, Gewinnanteile von Personengesellschaften etc.). Erträge aus der Veräußerung von Beteiligungen gehören nicht dazu. </w:t>
      </w:r>
      <w:r w:rsidRPr="00316000">
        <w:t xml:space="preserve"> Erträge aus anderen Wertpapieren und Ausleihungen des Finanzanlagevermögens: Hierzu gehören Zinsen aus langfristigen Ausleihungen und Dividenden aus Aktien sowie ähnliche Ausschüttungen, die nicht Beteiligungen, Gewinngemeinschaften oder Gewinnabführungsverträgen zuzuordnen sind. </w:t>
      </w:r>
      <w:r w:rsidRPr="00316000">
        <w:t xml:space="preserve"> Sonstige Zinsen und ähnliche Erträge: Ertragszinsen für Guthaben bei Kreditinstituten, Zinsen, Dividenden und dergleichen auf Wertpapiere des Umlaufvermögens etc. und zinsähnliche Erträge, wie z. B. Agio, Disagio, Kreditprovisionen, Kreditgebühren, sind hierunter gefasst, sofern sie nicht an anderer Stelle ausgewiesen werden. </w:t>
      </w:r>
      <w:r w:rsidRPr="00316000">
        <w:t xml:space="preserve"> Abschreibung auf Finanzanlagen und auf Wertpapiere des Umlaufvermögens: Da es sich beim Finanzvermögen nicht um abnutzbares Vermögen handelt, werden hier ausschließlich außerplanmäßige Abschreibungen berücksichtigt. </w:t>
      </w:r>
      <w:r w:rsidRPr="00316000">
        <w:t xml:space="preserve"> Zinsen und ähnliche Aufwendungen: Hierzu zählen insbesondere Zinsen für Verbindlichkeiten bei Kreditinstituten oder Lieferanten, Kreditprovisionen, Abschreibungen für ein aktiviertes Disagio und Aufwendungen aus der Aufzinsung von in Vorjahren abgezinsten Rückstellungen. </w:t>
      </w:r>
      <w:r w:rsidRPr="00316000">
        <w:t xml:space="preserve"> Finanzergebnis: Das Finanzergebnis ist </w:t>
      </w:r>
      <w:r w:rsidRPr="00316000">
        <w:lastRenderedPageBreak/>
        <w:t xml:space="preserve">als neutrales Ergebnis zum einen von den Gegebenheiten des Geld- und Kapitalmarkts und zum anderen von den Beteiligungen abhängig, weniger von der Leistung des Managements. Es steht in keinem Zusammenhang mit der eigentlichen betrieblichen Tätigkeit (dem Zweck des Unternehmens). Der Saldo aus den Erträgen und den Aufwendungen, die sich aus den Anlagen am Geld- und Kapitalmarkt und der Inanspruchnahme der Fremdkapitalfinanzierung ergeben, stellt das Finanzergebnis dar. </w:t>
      </w:r>
      <w:r w:rsidRPr="00316000">
        <w:t xml:space="preserve"> Gesamtergebnis: Dieses Zwischenergebnis umfasst den Saldo aller Erträge und Aufwendungen vor Steuern der abgelaufenen Periode, d. h. es umfasst das Betriebs- und Finanzergebnis des Unternehmens vor Steuern. Das Betriebsergebnis steht tendenziell für Nachhaltigkeit und Beeinflussbarkeit. Das Finanzergebnis ist zwar nachhaltig erzielbar, aber meist nicht beeinflussbar. </w:t>
      </w:r>
      <w:r w:rsidRPr="00316000">
        <w:t xml:space="preserve"> Steuern vom Einkommen und vom Ertrag: Diese werden vom Ergebnis vor Steuern abgezogen, dabei handelt es sich im Wesentlichen um die nicht abzugsfähigen Betriebssteuern. Im Einzelnen sind dies die Körperschafts-, die Gewerbe- und die Kapitalertragsteuer sowie der Solidaritätszuschlag. Ebenfalls unter diesem Posten werden für die zuvor genannten Steuern auch Steuervorauszahlungen, Steuernachzahlungen und Steuererstattungen, für Vorjahre sowie für die Bildung und Auflösung von Steuerrückstellungen, ausgewiesen. Gemäß § 274 Abs. 2 Satz 3 HGB sind unter dem Posten „Steuern vom Einkommen und Ertrag“ auch sämtliche Aufwendungen und Erträge aus der Passivierung und Aktivierung latenter Steuern gesondert auszuweisen. Ergebnis nach Steuern: Dies entspricht dem Betriebsergebnis zuzüglich dem Finanzergebnis abzüglich der Steuern von Einkommen und Ertrag. </w:t>
      </w:r>
      <w:r w:rsidRPr="00316000">
        <w:t xml:space="preserve"> Sonstige Steuern: Alle anderen Steuern, soweit sie handelsrechtlichen Aufwand darstellen und nicht aktivierungspflichtig bzw. durchlaufend sind, dürfen hier ausgewiesen werden, beispielsweise Kfz-Steuer, Grundsteuer, Ausfuhrzölle, Versicherungssteuer und Verbrauchssteuern (z. B. Mineralöl-, Bier-, Tabak-, Kaffee-, Branntweinsteuer). </w:t>
      </w:r>
      <w:r w:rsidRPr="00316000">
        <w:t xml:space="preserve"> Jahresüberschuss/Jahresfehlbetrag: Bei dem Jahresüberschuss bzw. Jahresfehlbetrag handelt es sich um das handelsrechtliche Ergebnis eines Geschäftsjahres nach Steuern. Dieser Betrag ergibt sich als Saldo aller in der GuV ausgewiesenen Erträge, Aufwendungen und Steuern. Der Jahresüberschuss bzw. der Jahresfehlbetrag stellen die Ausgangsgrundlage für die Gewinnverwendung dar. 7.4 Umsatzkostenverfahren Beim Umsatzkostenverfahren handelt es sich um eine Absatzerfolgsrechnung. Es werden den Verkaufserlösen der Periode nur die Umsatzkosten der verkauften Produkte/Leistungen gegenübergestellt. Die </w:t>
      </w:r>
      <w:r w:rsidRPr="00316000">
        <w:lastRenderedPageBreak/>
        <w:t xml:space="preserve">Bestandserhöhungen der fertigen und unfertigen Erzeugnisse sowie die selbst erstellten Vermögensgegenstände des Anlagevermögens werden nicht als Erträge und die dafür angefallenen Aufwendungen nicht als Aufwendungen erfasst. Die Bestandsminderungen </w:t>
      </w:r>
      <w:proofErr w:type="gramStart"/>
      <w:r w:rsidRPr="00316000">
        <w:t>an fertigen</w:t>
      </w:r>
      <w:proofErr w:type="gramEnd"/>
      <w:r w:rsidRPr="00316000">
        <w:t xml:space="preserve"> und unfertigen Erzeugnissen werden als Aufwendungen für abgesetzte Erzeugnisse ausgewiesen. Das Umsatzkostenverfahren ist kostenstellenorientiert aufgebaut, daher müssen die Daten aus der Kosten- und Leistungsrechnung abgeleitet werden. Im Vergleich zum Gesamtkostenverfahren werden die Aufwendungen nicht nach Aufwandsarten (Material, Personal, Abschreibungen), sondern nach den Funktionsbereichen (Herstellung, Verwaltung, Vertrieb) unterteilt. Die Gewinn- und Verlustrechnung nach dem Umsatzkostenverfahren (§ 275 Abs. 3 HGB) ermittelt das Jahresergebnis in grundsätzlich sechs Schritten: 1. Die Posten 1 und 2 ermitteln das Bruttoergebnis vom Umsatz (Posten 3). 2. Über die Posten 1 bis 7 lässt sich das Betriebsergebnis errechnen (nicht gesondert ausgewiesen). 3. Aus den Posten 8 bis 12 ergibt sich das Finanzergebnis (nicht gesondert ausgewiesen). 4. Betriebsergebnis und Finanzergebnis führen zum Gesamtergebnis. 5. Die Posten 1 bis 13 ergeben das Ergebnis nach Steuern (Posten 14). 6. Nach Abzug der sonstigen Steuern (Posten 14 minus Posten 15) ermittelt das Umsatzkostenverfahren in Posten 16 das Jahresergebnis (Jahresüberschuss/Jahresfehlbetrag)</w:t>
      </w:r>
    </w:p>
    <w:p w14:paraId="322BBA7A" w14:textId="77777777" w:rsidR="00AD41B1" w:rsidRPr="00316000" w:rsidRDefault="00AD41B1"/>
    <w:p w14:paraId="191AEFB0" w14:textId="77777777" w:rsidR="00AD41B1" w:rsidRPr="00316000" w:rsidRDefault="00FF54E4">
      <w:r w:rsidRPr="00316000">
        <w:t xml:space="preserve">7.5 Gewinn- und Verlustrechnung nach dem Umsatzkostenverfahren </w:t>
      </w:r>
    </w:p>
    <w:p w14:paraId="4686B937" w14:textId="2B55E40F" w:rsidR="00FF54E4" w:rsidRPr="00316000" w:rsidRDefault="00FF54E4">
      <w:r w:rsidRPr="00316000">
        <w:t xml:space="preserve">1. Umsatzerlöse - 2. Herstellungskosten der zur Erzielung der Umsatzerlöse erbrachten Leistungen = 3. Bruttoergebnis vom Umsatz (Posten 1 bis 2) - 4. Vertriebskosten - 5. allgemeine Verwaltungskosten + 6. sonstige betriebliche Erträge - 7. sonstige betriebliche Aufwendungen = Betriebsergebnis (vor Steuern und Zinsen (EBIT))* (Posten 1 bis 7) + 8. Erträge aus Beteiligungen, davon aus verbundenen Unternehmen + 9. Erträge aus anderen Wertpapieren und Ausleihungen des Finanzanlagevermögens, davon aus verbundenen Unternehmen + 10. sonstige Zinsen und ähnliche Erträge, davon aus verbundenen Unternehmen - 11. Abschreibungen auf Finanzanlagen und auf Wertpapiere des Umlaufvermögens - 12. Zinsen und ähnliche Aufwendungen, davon an verbundene Unternehmen = Finanzergebnis (vor Steuern)* (Posten 8 bis 12) (1 bis 12) Gesamtergebnis* (Posten 1 bis 12) +/- 13. Steuern vom Einkommen und vom Ertrag = 14. Ergebnis nach Steuern </w:t>
      </w:r>
      <w:r w:rsidRPr="00316000">
        <w:lastRenderedPageBreak/>
        <w:t xml:space="preserve">- 15. sonstige Steuern = 16. Jahresüberschuss/Jahresfehlbetrag (Jahresergebnis nach Steuern) *Diese Posten werden im Grundschema des Umsatzkostenverfahrens nicht explizit ausgewiesen . Abb. 7.6: Gewinn- und Verlustrechnung nach dem Umsatzkostenverfahren Als Vorteile des Umsatzkostenverfahrens werden angeführt: </w:t>
      </w:r>
      <w:r w:rsidRPr="00316000">
        <w:t xml:space="preserve"> Das Umsatzkostenverfahren führt zu einem aussagefähigeren Betriebsergebnis, insbesondere für die kurzfristige (z. B. monatliche) Erfolgsrechnung. </w:t>
      </w:r>
      <w:r w:rsidRPr="00316000">
        <w:t xml:space="preserve"> Bei einer entsprechenden Gliederung der Aufwendungen nach den Produktarten kann der Erfolgsbeitrag einzelner Produktarten aufgezeigt werden. </w:t>
      </w:r>
      <w:r w:rsidRPr="00316000">
        <w:t xml:space="preserve"> Der Zusammenhang zwischen Kosten und Leistung des Unternehmens wird sichtbar. </w:t>
      </w:r>
      <w:r w:rsidRPr="00316000">
        <w:t xml:space="preserve"> Es erfolgt eine „verursachungsgerechte“ Zuordnung von Aufwendungen zu den Funktionsbereichen des Unternehmens. </w:t>
      </w:r>
      <w:r w:rsidRPr="00316000">
        <w:t xml:space="preserve"> Die internationale Vergleichbarkeit von Gewinn- und Verlustrechnungen wird erleichtert. </w:t>
      </w:r>
      <w:r w:rsidRPr="00316000">
        <w:t xml:space="preserve"> Das Umsatzkostenverfahren entspricht dem Kalkulationsschema des Unternehmens. </w:t>
      </w:r>
      <w:r w:rsidRPr="00316000">
        <w:t> Das Umsatzkostenverfahren ist gut geeignet für Industriebetriebe mit Serienfertigung und für Handelsbetriebe. Es müssen der Materialaufwand (GKV-Posten 5) und der Personalaufwand (GKV-Posten 6) im Anhang angegeben werden.</w:t>
      </w:r>
    </w:p>
    <w:p w14:paraId="224A596B" w14:textId="77777777" w:rsidR="00AD41B1" w:rsidRPr="00316000" w:rsidRDefault="00AD41B1"/>
    <w:p w14:paraId="0723B9EC" w14:textId="77777777" w:rsidR="00AD41B1" w:rsidRPr="00316000" w:rsidRDefault="00FF54E4">
      <w:r w:rsidRPr="00316000">
        <w:t xml:space="preserve">7.5.1 Ergebnisrechnung nach dem Umsatzkostenverfahren </w:t>
      </w:r>
    </w:p>
    <w:p w14:paraId="30539B1D" w14:textId="19551805" w:rsidR="00FF54E4" w:rsidRPr="00316000" w:rsidRDefault="00FF54E4">
      <w:r w:rsidRPr="00316000">
        <w:t xml:space="preserve">Das „Bruttoergebnis vom Umsatz“ (Posten 3) ergibt sich aus der Differenz zwischen „Umsatzerlösen“ (Posten 1) und den „Herstellungskosten der zur Erzielung der Umsatzerlöse erbrachten Leistungen (Posten Nr. 2). Im Vergleich zu den Posten 1 bis 3 des Gesamtkostenverfahrens (§ 275 Abs. 2 HGB), die die betriebliche Gesamtleistung darstellen, bezieht sich die Größe „Bruttoergebnis vom Umsatz“ die Absatzleistung des Unternehmens. Die „Herstellungskosten der zur Erzielung der Umsatzerlöse erbrachten Leistungen“ enthalten die gesamten, auf die Absatzleistung entfallenden Herstellungsaufwendungen des laufenden Geschäftsjahres und die in früheren Perioden im Rahmen der Vorratsbewertung aktivierten Aufwendungen, soweit diese Vorräte (fertige und unfertige Erzeugnisse) in das abgesetzte Leistungsvolumen eingehen. Im Falle des Lagerabgangs, bei dem die Vorräte verkauft wurden, ist zu berücksichtigen, dass der Umfang der unter Posten 2 zu verrechnenden Aufwendungen davon abhängt, welche Aufwendungen bzw. Kosten im Zeitpunkt des Lageraufbaus in der Bilanz aktiviert wurden. Unter dem Posten 2 erscheinen somit: </w:t>
      </w:r>
      <w:r w:rsidRPr="00316000">
        <w:t xml:space="preserve"> soweit die Produktion der abgesetzten Leistungen durch Vorräteabbau bestritten wird, </w:t>
      </w:r>
      <w:r w:rsidRPr="00316000">
        <w:lastRenderedPageBreak/>
        <w:t xml:space="preserve">die ‒ in früheren Perioden des Lageraufbaus im Rahmen der Vorratsbewertung ‒ tatsächlich aktivierten Aufwendungen, und </w:t>
      </w:r>
      <w:r w:rsidRPr="00316000">
        <w:t xml:space="preserve"> die gesamten fertigungs- und materialbezogenen laufenden Aufwendungen des ablaufenden Geschäftsjahres, soweit sie auf die Absatzleistung entfallen. 7.6 Überblick über die beiden Verfahren Gliederung der Gewinn- und Verlustrechnung in verkürzter Form Gesamtkostenverfahren (§ 275 Abs. 2 HGB) Umsatzkostenverfahren (§ 275 Abs. 3 HGB) Posten </w:t>
      </w:r>
      <w:proofErr w:type="spellStart"/>
      <w:r w:rsidRPr="00316000">
        <w:t>Posten</w:t>
      </w:r>
      <w:proofErr w:type="spellEnd"/>
      <w:r w:rsidRPr="00316000">
        <w:t xml:space="preserve"> 1 bis 8 9 bis 13 = Betriebsergebnis + Finanzergebnis 1 bis 7 8 bis 12 Gesamtergebnis 14 - Steuern von Einkommen und Ertrag 13 15 = Ergebnis nach Steuern 14 16 - sonstige Steuern 15 17 = Jahresüberschuss/Jahresfehlbetrag 16 Abb. 7.7: Gegenüberstellung von Gesamt- und Umsatzkostenverfahren</w:t>
      </w:r>
    </w:p>
    <w:p w14:paraId="4A6D58FE" w14:textId="0D54FA8C" w:rsidR="00FF54E4" w:rsidRPr="00316000" w:rsidRDefault="00FF54E4">
      <w:r w:rsidRPr="00316000">
        <w:t>Produktionserfolgsrechnung beim Gesamtkostenverfahren Ertrag = Gesamtleistung der Periode (Umsatzerlöse – Bestandsabnahme + Bestandserhöhung + andere aktivierte Eigenleistungen) - Aufwand = Produktionsaufwand der Periode = Ergebnis (Gewinn oder Verlust) Abb. 7.8: Produktionserfolgsrechnung nach dem Gesamtkostenverfahren Umsatzerfolgsrechnung beim Umsatzkostenverfahren Ertrag = Umsatzerlöse der Periode - Aufwand = Umsatzaufwand (Produktionsaufwand + Bestandsabnahme – Bestandserhöhung der fertigen und unfertigen Erzeugnisse) = Ergebnis (Gewinn oder Verlust) Abb. 7.9: Absatzerfolgsrechnung nach dem Umsatzkostenverfahren Im Ergebnis stimmen die Produktionsrechnung (Gesamtkostenverfahren) und die Absatzerfolgsrechnung (Umsatzkostenverfahren) überein. Erfassung der Bestandsveränderungen in der GuV Das Betriebsergebnis nach dem Gesamtkostenverfahren ergibt sich, indem der gesamte Produktionsertrag (= Gesamtleistung) zuzüglich der sonstigen Erträge den gesamten in einer Periode entstandenen betrieblichen Aufwendungen gegenübergestellt wird. Nach dem Umsatzkostenverfahren ergibt sich das Bruttoergebnis vom Umsatz durch Gegenüberstellung der Umsatzerlöse E(Xa) und der hierfür aufgebrachten Aufwendungen (umsatzbezogene Herstellungskosten A(Xa)). Gesamtkostenverfahren Umsatzkostenverfahren Umsatzerlöse E(Xa) Umsatzerlöse E(Xa) +/- Bestandsveränderung [E(</w:t>
      </w:r>
      <w:proofErr w:type="spellStart"/>
      <w:r w:rsidRPr="00316000">
        <w:t>Xp</w:t>
      </w:r>
      <w:proofErr w:type="spellEnd"/>
      <w:r w:rsidRPr="00316000">
        <w:t>) – E(Xa)] - umsatzbezogene Herstellungskosten A(Xa) + andere aktivierte Eigenleistungen = Gesamtleistung E(</w:t>
      </w:r>
      <w:proofErr w:type="spellStart"/>
      <w:r w:rsidRPr="00316000">
        <w:t>Xp</w:t>
      </w:r>
      <w:proofErr w:type="spellEnd"/>
      <w:r w:rsidRPr="00316000">
        <w:t>) = Bruttoergebnis vom Umsatz + sonstige betriebliche Erträge - Vertriebskosten - Materialaufwand - allgemeine Verwaltungskosten - Personalaufwand + sonstige betriebliche Erträge - Abschreibungen - sonstige betriebliche Aufwendungen - sonstige betriebliche Aufwendungen = Betriebsergebnis = Betriebsergebnis.</w:t>
      </w:r>
    </w:p>
    <w:p w14:paraId="31238D07" w14:textId="7D540BC3" w:rsidR="00FF54E4" w:rsidRPr="00316000" w:rsidRDefault="00FF54E4">
      <w:r w:rsidRPr="00316000">
        <w:lastRenderedPageBreak/>
        <w:t>7.7 Rohergebnis Kleine und mittelgroße Kapitalgesellschaften unterliegen geringeren Publizitätsanforderungen bei der Gewinn- und Verlustrechnung (GuV). Sie müssen bei der GuV nur das Rohergebnis ausweisen. Das Rohergebnis wird wie folgt ermittelt: Rohergebnis nach dem Gesamtkostenverfahren (GKV): Umsatzerlöse +/- Bestandsveränderungen der fertigen und unfertigen Erzeugnisse + andere aktivierte Eigenleistungen + sonstige betriebliche Erträge - Materialaufwand = Rohergebnis (GKV) Abb. 7.11: Ermittlung des Rohergebnisses nach dem Gesamtkostenverfahren Rohergebnis nach dem Umsatzkostenverfahren (UKV): Umsatzerlöse - Herstellungskosten der zur Erzielung der Umsätze erbrachten Leistungen + sonstige betriebliche Erträge = Rohergebnis (UKV)</w:t>
      </w:r>
    </w:p>
    <w:p w14:paraId="66EB24AC" w14:textId="37F4035E" w:rsidR="00FF54E4" w:rsidRPr="00316000" w:rsidRDefault="00FF54E4">
      <w:r w:rsidRPr="00316000">
        <w:t xml:space="preserve">Kapitalflussrechnung Lernziele In diesem Kapitel werden Sie den Aufbau, den Inhalt und die wesentlichen Posten der Kapitalflussrechnung kennenlernen. Sie werden die Dreiteilung der Kapitalflussrechnung in laufende Geschäftstätigkeiten sowie Investitions- und Finanzierungstätigkeiten unterscheiden können. 11.1 Einführung Die Kapitalflussrechnung wird häufig als dritte Jahresabschlussrechnung bezeichnet, da in ihr eine sinnvolle Ergänzung zur Bilanz und zur Gewinn- und Verlustrechnung gesehen wird. Es handelt sich um eine Bewegungsrechnung, die die wichtigsten Investitions- und Finanzierungsvorgänge während des Geschäftsjahres darstellt. Sie verbessert den Einblick in die Vermögens- und Finanzstruktur eines Unternehmens, insbesondere bezüglich. der Liquidität und Solvenz. Ferner werden bilanzpolitische Einflüsse eliminiert. Dies führt zu einer verbesserten Darstellung der Ertragskraft eines Unternehmens. Die Kapitalflussrechnung ermöglicht eine detaillierte Darstellung und Analyse von Mittelherkunft und Mittelverwendung. Es werden die Posten zweier aufeinanderfolgender Bilanzen gegenübergestellt und die sich hierbei ergebenden Differenzen je Posten in einer Veränderungsbilanz erfasst. Sie stellt die Herkunft und die Verwendung der Finanzmittel eines Unternehmens dar. Ergänzend zum Jahresabschluss stellt die Kapitalflussrechnung eine liquiditätsbezogene Zeitraumrechnung, die nicht Bestände an Vermögen und Kapital, sondern Bestandsveränderungen bzw. die zugrunde liegenden Bewegungen ausweist. Im Gegensatz zur GuV erfasst die Kapitalflussrechnung auch die erfolgsunwirksamen Bewegungen und bildet somit einen Teilbereich des liquiditätsorientierten Rechnungswesens ab. Sie soll einen Einblick in die Finanzlage eines Unternehmens gewähren, indem Investitions- und Finanzierungsvorgänge und ihr Einfluss auf die Liquidität dargestellt werden.142 Die folgende Abbildung zeigt die Abgrenzung der </w:t>
      </w:r>
      <w:r w:rsidRPr="00316000">
        <w:lastRenderedPageBreak/>
        <w:t xml:space="preserve">Kapitalflussrechnung zur Bilanz und GuV. Abb. 11.1: Kapitalflussrechnung – Abgrenzung zur Bilanz und GuV Die Kapitalflussrechnung ist zwingender Bestandteil des Konzernabschlusses von Kapitalgesellschaften gemäß § 297 Abs. 1 HGB und beim Einzelabschluss </w:t>
      </w:r>
      <w:proofErr w:type="gramStart"/>
      <w:r w:rsidRPr="00316000">
        <w:t>kapitalmarktorientierter Kapital</w:t>
      </w:r>
      <w:proofErr w:type="gramEnd"/>
      <w:r w:rsidRPr="00316000">
        <w:t xml:space="preserve">. </w:t>
      </w:r>
    </w:p>
    <w:p w14:paraId="4199D3BE" w14:textId="3330C159" w:rsidR="00FF54E4" w:rsidRPr="00316000" w:rsidRDefault="00FF54E4">
      <w:proofErr w:type="spellStart"/>
      <w:r w:rsidRPr="00316000">
        <w:t>gesellschaften</w:t>
      </w:r>
      <w:proofErr w:type="spellEnd"/>
      <w:r w:rsidRPr="00316000">
        <w:t xml:space="preserve">, die nicht zur Aufstellung eines Konzernabschlusses verpflichtet sind, gemäß § 264 Abs. 1 Satz 2 HGB. Unternehmen, die nach HGB verpflichtet sind, eine Kapitalflussrechnung durchzuführen, müssen sich an den Deutschen Rechnungslegungsstandard Nr. 21 (DRS 21) halten. Dieser Rechnungslegungsstandard wurde im April 2014 veröffentlicht und gibt wichtige Grundsätze zur Erstellung einer Kapitalflussrechnung vor143. Die Kapitalflussrechnung steht in enger Verbindung mit der Bilanz und der GuV eines Unternehmens. Die folgende Abbildung veranschaulicht, wie sie zusammen ein „integrales Ganzes“ bilden. Die Kapitalflussrechnung ist mit der Aktivseite der Bilanz verknüpft, während die GuV die Passivseite der Bilanz beeinflusst.144 A Bilanz P S GuV-Konto H S Kapitalflussrechnung H Vermögen Eigenkapital Aufwendungen Erträge Einzahlungen Auszahlungen Veränderung Eigenkapital Jahresüberschuss Fremdkapital Einzahlungsüberschuss Veränderung Finanzmittelfonds S = Soll A = Aktiva H = Haben P = Passiva Abb. 11.2: Verknüpfung von Kapitalflussrechnung, Bilanz und GUV145 Ein Einzahlungsüberschuss wirkt sich zum Bilanzstichtag in der Bilanz auf der Aktivseite als Erhöhung des Finanzmittelfonds aus. Dagegen führt ein Auszahlungsüberschuss zu einer Minderung des Finanzmittelfonds. 11.2 </w:t>
      </w:r>
      <w:proofErr w:type="spellStart"/>
      <w:r w:rsidRPr="00316000">
        <w:t>Beständedifferenzen</w:t>
      </w:r>
      <w:proofErr w:type="spellEnd"/>
      <w:r w:rsidRPr="00316000">
        <w:t xml:space="preserve">-, Veränderungs- und Bewegungsbilanz Eine </w:t>
      </w:r>
      <w:proofErr w:type="spellStart"/>
      <w:r w:rsidRPr="00316000">
        <w:t>Beständedifferenzenbilanz</w:t>
      </w:r>
      <w:proofErr w:type="spellEnd"/>
      <w:r w:rsidRPr="00316000">
        <w:t xml:space="preserve"> ergibt sich aus der Saldierung von Beständen zweier aufeinanderfolgender Bilanzen. Die Gliederung der Stichtagsbilanzen wird für die Bewegungsbilanz beibehalten. Bestandsmehrungen werden mit positivem und Bestandsminderungen mit negativem Vorzeichen dargestellt. Sie ist der erste Schritt für die Erstellung einer derivativen Kapitalflussrechnung. Jedoch ist ihre Aussagekraft sehr begrenzt, da das Aufzeigen der Bestandsveränderungen keinen weiteren Informationsgehalt gegenüber dem Jahresabschluss enthält. Bei einer Bewegungsbilanz handelt es sich um eine bestimmte Erscheinungsform der Kapitalflussrechnung. Sie zeigt die Veränderung der Bestandskonten zwischen zwei Bilanzstichtagen; d. h. als Ausgangspunkt dienen die Bilanzen am Anfang und am Ende eines Geschäftsjahres. Aus beiden Bilanzen wird die Differenz der einzelnen Bilanzposten gebildet. Dadurch erhält man die sogenannte </w:t>
      </w:r>
      <w:proofErr w:type="spellStart"/>
      <w:r w:rsidRPr="00316000">
        <w:t>Beständedifferenzenbilanz</w:t>
      </w:r>
      <w:proofErr w:type="spellEnd"/>
      <w:r w:rsidRPr="00316000">
        <w:t>:</w:t>
      </w:r>
      <w:r w:rsidR="00AF3707" w:rsidRPr="00316000">
        <w:t xml:space="preserve"> </w:t>
      </w:r>
    </w:p>
    <w:p w14:paraId="00D91D5F" w14:textId="7C01D473" w:rsidR="00AF3707" w:rsidRPr="00316000" w:rsidRDefault="00AF3707">
      <w:r w:rsidRPr="00316000">
        <w:lastRenderedPageBreak/>
        <w:t xml:space="preserve">Veränderungen Aktivposten Veränderungen Passivposten Erhöhung der Aktivposten (+) Erhöhung der Passivposten (+) Minderung der Aktivposten (-) Minderung der Passivposten (-) Abb. 11.3: Grundaufbau der </w:t>
      </w:r>
      <w:proofErr w:type="spellStart"/>
      <w:r w:rsidRPr="00316000">
        <w:t>Beständedifferenzenbilanz</w:t>
      </w:r>
      <w:proofErr w:type="spellEnd"/>
      <w:r w:rsidRPr="00316000">
        <w:t xml:space="preserve"> 11.3 Die Bewegungsbilanz als Sonderform der </w:t>
      </w:r>
      <w:proofErr w:type="gramStart"/>
      <w:r w:rsidRPr="00316000">
        <w:t>Kapitalflussrechnung</w:t>
      </w:r>
      <w:proofErr w:type="gramEnd"/>
      <w:r w:rsidRPr="00316000">
        <w:t xml:space="preserve"> Wenn man die </w:t>
      </w:r>
      <w:proofErr w:type="spellStart"/>
      <w:r w:rsidRPr="00316000">
        <w:t>Beständedifferenzenbilanz</w:t>
      </w:r>
      <w:proofErr w:type="spellEnd"/>
      <w:r w:rsidRPr="00316000">
        <w:t xml:space="preserve"> umstellt, erhält man die Bewegungsbilanz. Sie zeigt, aus welchen Quellen des Unternehmens Mittel zugeflossen sind (Mittelherkunft) und wofür diese verwendet wurden (Mittelverwendung). Die Bewegungsbilanz kann sowohl in Kontenform als auch in Staffelform dargestellt werden. Ist letzteres der Fall, spricht man von einer Kapitalflussrechnung. 11.3.1 Darstellung in Kontenform Der folgende Grundaufbau ergibt sich bei einer Darstellung der Bewegungsbilanz in Kontenform: Bewegungsbilanz Mittelverwendung Mittelherkunft Erhöhung der Aktivposten (+) • Erhöhung Anlagevermögen • Erhöhung Umlaufvermögen = Investition Erhöhung der Passivposten (+) • Eigenkapitalmehrungen • Fremdkapitalmehrungen = Finanzierung Minderung der Passivposten (-) • Eigenkapitalminderungen • Fremdkapitalminderungen = </w:t>
      </w:r>
      <w:proofErr w:type="spellStart"/>
      <w:r w:rsidRPr="00316000">
        <w:t>Definanzierung</w:t>
      </w:r>
      <w:proofErr w:type="spellEnd"/>
      <w:r w:rsidRPr="00316000">
        <w:t xml:space="preserve"> Minderung von Aktivposten (-) • Minderung Anlagevermögen • Minderung Umlaufvermögen = Desinvestition Wohin sind Mittel geflossen? Woher stammen die Mittel? Abb. 11.4: Grundaufbau der Bewegungsbilanz Die Mittelherkunft setzt sich aus der Zunahme der Passiva und der Abnahme von Aktiva zusammen. Eine Zunahme der Passiva kann durch Erhöhung von Schulden erfolgen, d. h. z. B. Aufnahme von Fremdkapital, oder durch Zuführung von Eigenkapital. Eine Minderung der Aktiva kann erfolgen durch die Veräußerung von Anlagen oder Beteiligungen, Abschreibungen, Reduzierung der Vorräte, Forderungen und Kasse. Die Abschreibung der Produktionsanlage verringert den Wert der Produktionsanlage und führt zu einer Freisetzung finanzieller Mittel. Auch die Verringerung der Bestände an Fertigerzeugnissen erhöht die verfügbaren finanziellen Mittel. Die Mittelverwendung wird aus der Abnahme von Passiva und der Zunahme von Aktiva abgebildet. Eine Minderung der Passiva resultiert aus der Verringerung der Verbindlichkeiten, z. B. durch die Tilgung eines Kredits oder einer Gewinnausschüttung bzw. einer Kapitalentnahme. Die Zu </w:t>
      </w:r>
      <w:proofErr w:type="spellStart"/>
      <w:r w:rsidRPr="00316000">
        <w:t>nahme</w:t>
      </w:r>
      <w:proofErr w:type="spellEnd"/>
      <w:r w:rsidRPr="00316000">
        <w:t xml:space="preserve"> von Aktiva ergibt sich durch Investitionen in das Anlagevermögen (z. B. den Kauf einer Produktionsanlage) oder in Vorräte bzw. Erhöhung der Forderungen </w:t>
      </w:r>
      <w:proofErr w:type="spellStart"/>
      <w:r w:rsidRPr="00316000">
        <w:t>aLuL</w:t>
      </w:r>
      <w:proofErr w:type="spellEnd"/>
      <w:r w:rsidRPr="00316000">
        <w:t xml:space="preserve">. Die Bewegungsbilanz ist eine zeitraumbezogene Rechnung. Durch die nicht mehr statische, sondern dynamische Interpretation der Veränderungen wird hier ein Übergang zur stromgrößenorientierten Finanzierungsrechnung gebildet. 11.3.2 Kritikpunkte bei der Bewegungsbilanz Das </w:t>
      </w:r>
      <w:r w:rsidRPr="00316000">
        <w:lastRenderedPageBreak/>
        <w:t xml:space="preserve">Problem der Bewegungsbilanz besteht darin, dass aufgrund von Informationsmängeln, welche buchhaltungstechnisch bedingt sind, keine Trennung von liquiditätswirksamen und liquiditätsunwirksamen Bewegungen möglich ist. Bei der Bewegungsbilanz handelt es sich lediglich um eine Rechnung, die aus zwei Stichtagsbilanzen abgeleitet wird, die jedoch keine Informationen über die eigentliche Finanzlage eines Unternehmens liefert. Daher sind Bewegungsbilanzen nicht gut als Finanzierungsrechnungen geeignet. Die alleinige Aussage der Bewegungsbilanz ist, dass Veränderungen von Bilanzposten dargestellt werden. Bewegungsbilanzen sind deshalb nur als Vorstufe zur aufschlussreicheren Kapitalflussrechnung anzusehen.146 Die Informationen aus der Bewegungsbilanz können mithilfe der Kapitalflussrechnung genauer analysiert werden. 11.4 Grundlagen der Kapitalflussrechnung Die Kapitalflussrechnung stellt die Quelle, aus denen der Finanzmittelfonds gespeist wurde, und die Verwendung der Finanzmittel in den unterschiedlichen Bereichen des Unternehmens bzw. des Konzerns dar. Sie verfolgt das Ziel, Transparenz über den Zahlungsmittelstrom eines Unternehmens herzustellen. Sie ist eine liquiditätsbezogene Zeitraumrechnung und stellt alle in einer Periode angefallenen, Ein- und Auszahlungen gegenüber. Die Kapitalflussrechnung wird in eine Ursachen- und eine Fondsveränderungsrechnung untergliedert. Die folgende Abbildung zeigt die Bestandteile der Kapitalflussrechnung: Ursachenrechnung Cashflow aus laufender Geschäftstätigkeit (a) Cashflow aus Investitionstätigkeit (b) Cashflow aus Finanzierungstätigkeit (c) Fondsveränderungsrechnung Anfangsbestand an Zahlungsmitteln und Zahlungsmitteläquivalenten147 Veränderung der Zahlungsmittel (a + b + c) Endbestand an Zahlungsmitteln und Zahlungsmitteläquivalenten Abb. 11.5: Bestandteile der Kapitalflussrechnung 11.4.1 Ursachenrechnung Die drei Teilbereiche der Ursachenrechnung setzen sich aus der laufenden Geschäftstätigkeit, Investitionstätigkeit und Finanzierungstätigkeit zusammen. Die Sachverhalte bezüglich der Zu </w:t>
      </w:r>
      <w:proofErr w:type="spellStart"/>
      <w:r w:rsidRPr="00316000">
        <w:t>ordnung</w:t>
      </w:r>
      <w:proofErr w:type="spellEnd"/>
      <w:r w:rsidRPr="00316000">
        <w:t xml:space="preserve"> der Zahlungsströme sind im DRS 21 geregelt. Jedoch gibt es auch Geschäftsvorfälle, bei denen sich die Ein- und Auszahlungen nicht überschneidungsfrei einem der drei Tätigkeitsbereiche der Ursachenrechnung zuordnen lassen. Die Unternehmen haben dann die Möglichkeit, sie sachgemäß nach ihrem Verständnis aufzuteilen. Die Aufgabe der Ursachenrechnung ist es die Quellen zu visualisieren, aus denen der Finanzmittelfond gespeist wird. Zudem </w:t>
      </w:r>
      <w:proofErr w:type="gramStart"/>
      <w:r w:rsidRPr="00316000">
        <w:t>wird</w:t>
      </w:r>
      <w:proofErr w:type="gramEnd"/>
      <w:r w:rsidRPr="00316000">
        <w:t xml:space="preserve"> die Herkunft und Verwendung der Finanzmittel in den unterschiedlichen Tätigkeitsbereichen aufgezeigt. Hinsichtlich der Datendarstellung kann zwischen der </w:t>
      </w:r>
      <w:r w:rsidRPr="00316000">
        <w:lastRenderedPageBreak/>
        <w:t>Brutto- und Nettomethode unterschieden werden. Bei der direkten bzw. Bruttomethode ergibt sich der Cashflow aus der Differenz aller zahlungswirksamen Erträge (Bruttoeinzahlungen) und aller zahlungswirksamen Aufwendungen (Bruttoauszahlungen). Die indirekte bzw. Nettomethode ist nur zur Berechnung des Cashflows aus der laufenden Geschäftstätigkeit erlaubt. Bei der indirekten Methode werden vom Periodenergebnis (Jahresüberschuss oder -</w:t>
      </w:r>
      <w:proofErr w:type="spellStart"/>
      <w:r w:rsidRPr="00316000">
        <w:t>fehlbetrag</w:t>
      </w:r>
      <w:proofErr w:type="spellEnd"/>
      <w:r w:rsidRPr="00316000">
        <w:t xml:space="preserve">) alle nicht zahlungswirksamen Erträge subtrahiert, während alle nicht zahlungswirksamen Aufwendungen addiert werden. In der Praxis wird die indirekte Methode häufiger verwendet, obwohl die direkte Methode eine genauere Aufstellung der Zahlungsströme liefert und somit aussagekräftiger ist.148 11.4.2 Fondsveränderungsrechnung Der zweite Bestandteil der Kapitalflussrechnung ist die Fondsveränderungsrechnung. Unter einem Fonds verschmelzen bestimmte Bilanzposten zu einer buchhalterischen Einheit. Der Finanzmittelfond soll über das Liquiditätspotenzial eines Unternehmens Aufschluss geben und setzt sich aus Zahlungsmitteln und Zahlungsmitteläquivalenten zusammen. Die Zahlungsmittel umfassen die Barmittel und die täglich fälligen Sichteinlagen. Zu den Zahlungsmitteläquivalenten gehören kurzfristige, besonders liquide Finanzmittel, die zu jedem Zeitpunkt in Zahlungsmittel umgewandelt werden können und geringen Wertschwankungsrisiken ausgesetzt sind. Die Restlaufzeit zum Zeitpunkt des Erwerbs sollte dabei drei Monate nicht überschreiten, um in den Fonds einbezogen zu werden. Die Summe der Cashflows aus den Teilbereichen der Ursachenrechnung entspricht der Gesamtveränderung des Finanzmittelfonds. Dieser ist um wechselkurs-, konsolidierungskreis- und bewertungsbedingte Änderungen noch zu korrigieren und anschließend mit dem Anfangsbestand des Finanzmittelfonds zu addieren. Unter Konsolidierungskreis versteht man die in den Konzernabschluss einzubeziehenden Unternehmungen. Als Ergebnis der Fondsveränderungsrechnung erhält man den Endbestand der Finanzmittel wie aus der folgenden Abbildung ersichtlich ist.149 Zahlungswirksame Veränderungen des Finanzmittelfonds +/- Wechselkurs-, und bewertungsbedingte Änderungen des Finanzmittelfonds +/- Konsolidierungskreisbedingte Änderungen des Finanzmittelfonds + Finanzmittelfonds am Anfang der Periode = Finanzmittelfonds am Ende der Periode Abb. 11.6: Gliederung der Fondsveränderungsrechnung150 11.4.3 Cashflow aus der laufenden Geschäftstätigkeit Der Cashflow aus der laufenden Geschäftstätigkeit umfasst nach DRS 21.9 die Aktivitäten in Verbindung mit wesentlichen, auf Erlöserzielung </w:t>
      </w:r>
      <w:r w:rsidRPr="00316000">
        <w:lastRenderedPageBreak/>
        <w:t xml:space="preserve">ausgerichteten Tätigkeiten sowie sonstige Aktivitäten, die nicht unmittelbar der Investitions- oder Finanzierungstätigkeit zuzuordnen sind. Darunter fallen in der Regel Geschäftsvorfälle, die das Periodenergebnis als Ertrag oder Aufwand beeinflussen. Diese Zahlungsvorgänge treten üblicherweise im Zusammenhang mit der Erlöserzielung auf z. B. im Produktions-, Verkaufs- und Dienstleistungsbereich. In diesen Teilbereich der Ursachenrechnung fallen zudem die Ein- und Auszahlungen aus Ertragssteuern. Cashflows aus Sicherungsgeschäften, z. B. bei Zahlungen für die Absicherung von Umsatzeinzahlungen, können dem Cashflow </w:t>
      </w:r>
      <w:proofErr w:type="gramStart"/>
      <w:r w:rsidRPr="00316000">
        <w:t>aus laufender</w:t>
      </w:r>
      <w:proofErr w:type="gramEnd"/>
      <w:r w:rsidRPr="00316000">
        <w:t xml:space="preserve"> Geschäftstätigkeit zugeordnet werden. Die folgende Abbildung zeigt den Cashflow aus der laufenden Geschäftstätigkeit nach der direkten Methode gemäß DRS 21.39.151 Einzahlungen von Kunden für den Verkauf von Erzeugnissen, Waren und Dienstleistungen - Auszahlungen an Lieferanten und Beschäftigte + sonstige Einzahlungen, die nicht der Investitions- und Finanzierungstätigkeit zuzuordnen sind - sonstige Auszahlungen, die nicht der Investitions- und Finanzierungstätigkeit zuzuordnen sind + Einzahlungen aus außerordentlichen Posten - Auszahlungen für außerordentliche Posten +/- Ertragssteuerzahlungen = Cashflow aus der laufenden Geschäftstätigkeit Abb. 11.7: Ermittlung des Cashflows aus laufender Geschäftstätigkeit 11.4.4 Cashflow aus der Investitionstätigkeit Zum Cashflow aus der Investitionstätigkeit gehören die Aktivitäten, die mit den Zu- und Abgängen von Vermögensgegenständen des Anlagevermögens in Verbindung stehen. Dazu gehören der Kauf und Verkauf von langfristigen Vermögensgegenständen sowie die sonstigen Finanzinvestitionen, die nicht zu den Zahlungsmitteläquivalenten zählen. Des Weiteren sind Zahlungsströme im Zusammenhang mit der Veränderung des Konsolidierungskreises sowie erhaltene Zinsen und Dividenden zu berücksichtigen.152 Die folgende Tabelle zeigt die Mindestgliederung des Cashflows nach der direkten Methode aus der Investitionstätigkeit gemäß DRS 21.46. Einzahlungen aus Abgängen von Gegenständen des immateriellen Anlagevermögens - Auszahlungen für Investitionen in das immaterielle Anlagevermögen + Einzahlungen aus Abgängen von Gegenständen des Sachanlagevermögens - Auszahlungen für Investitionen in das Sachanlagevermögen + Einzahlungen aus Abgängen von Gegenständen des Finanzanlagevermögens - Auszahlungen für Investitionen in das Finanzanlagevermögen + Einzahlungen aus Abgängen aus dem Konsolidierungskreis - Auszahlungen für Zugänge zum Konsolidierungskreis + Einzahlungen aufgrund von Finanzmittelanlagen im Rahmen der </w:t>
      </w:r>
      <w:proofErr w:type="spellStart"/>
      <w:r w:rsidRPr="00316000">
        <w:t>kurzfr</w:t>
      </w:r>
      <w:proofErr w:type="spellEnd"/>
      <w:r w:rsidRPr="00316000">
        <w:t xml:space="preserve">. Finanzdisposition - Auszahlungen </w:t>
      </w:r>
      <w:r w:rsidRPr="00316000">
        <w:lastRenderedPageBreak/>
        <w:t xml:space="preserve">aufgrund von Finanzmittelanlagen im Rahmen der </w:t>
      </w:r>
      <w:proofErr w:type="spellStart"/>
      <w:r w:rsidRPr="00316000">
        <w:t>kurzfr</w:t>
      </w:r>
      <w:proofErr w:type="spellEnd"/>
      <w:r w:rsidRPr="00316000">
        <w:t xml:space="preserve">. Finanzdisposition + Einzahlungen aus außerordentlichen </w:t>
      </w:r>
      <w:proofErr w:type="gramStart"/>
      <w:r w:rsidRPr="00316000">
        <w:t>Posten .</w:t>
      </w:r>
      <w:proofErr w:type="gramEnd"/>
    </w:p>
    <w:p w14:paraId="51907836" w14:textId="38CBC03C" w:rsidR="00AF3707" w:rsidRPr="00316000" w:rsidRDefault="00AF3707">
      <w:r w:rsidRPr="00316000">
        <w:t>- Auszahlungen aus außerordentlichen Posten + erhaltene Zinsen - erhaltene Dividenden = Cashflow aus der Investitionstätigkeit Abb. 11.8: Cashflow aus Investitionstätigkeit 11.4.5 Cashflow aus der Finanzierungstätigkeit Der Cashflow aus der Finanzierungstätigkeit umfasst alle Aktivitäten, die eine Auswirkung auf die Höhe und/oder Zusammensetzung der Eigenkapitalposten und/oder der Finanzschulden haben. Beispielsweise gehören Einzahlungen aus der Ausgabe von Anteilen oder aus der Aufnahme von Darlehen ebenso wie Auszahlungen zum Erwerb von Aktien oder für die Tilgung von Darlehen zum Finanzierungsbereich. Zudem sind die gezahlten Zinsen und Dividenden zu erfassen.153 Einzahlungen aus Eigenkapitalzuführungen von Gesellschaftern des Mutterunternehmens - Einzahlungen aus Eigenkapitalzuführungen von anderen Gesellschaftern - Auszahlungen aus Eigenkapitalherabsetzungen an Gesellschafter des Mutterunternehmens - Auszahlungen aus Eigenkapitalherabsetzungen an andere Gesellschafter + Einzahlungen aus der Begebung von Anleihen und der Aufnahme von (Finanz-)Krediten - Auszahlungen aus der Tilgung von Anleihen und (Finanz-) Krediten + Einzahlungen aus erhaltenen Zuschüssen/Zuwendungen + Einzahlungen aus außerordentlichen Posten - Auszahlungen aus außerordentlichen Posten - gezahlte Zinsen - gezahlte Dividenden an Gesellschafter des Mutterunternehmens - gezahlte Dividenden an andere Gesellschafter = Cashflow aus der Finanzierungstätigkeit</w:t>
      </w:r>
    </w:p>
    <w:p w14:paraId="73E92332" w14:textId="3BC03CB5" w:rsidR="00AF3707" w:rsidRPr="00316000" w:rsidRDefault="00AF3707">
      <w:r w:rsidRPr="00316000">
        <w:t xml:space="preserve">Die Kapitalflussrechnung verfolgt das Ziel, Transparenz über den Zahlungsmittelstrom eines Unternehmens herzustellen. Die Kapitalflussrechnung zeigt, ob ein Unternehmen in der Lage ist: </w:t>
      </w:r>
      <w:r w:rsidRPr="00316000">
        <w:t xml:space="preserve"> künftig finanzielle Überschüsse zu erwirtschaften, </w:t>
      </w:r>
      <w:r w:rsidRPr="00316000">
        <w:t xml:space="preserve"> seine Zahlungsverpflichtungen zu erfüllen, und </w:t>
      </w:r>
      <w:r w:rsidRPr="00316000">
        <w:t xml:space="preserve"> Ausschüttungen an die Anteilseigner zu leisten. 11.5 Aufbau der Kapitalflussrechnung Die Kapitalflussrechnung ist in Staffelform aufzustellen, unter Beachtung der durch den Standard DRS 21 vorgegebenen Mindestgliederungen. Sie ist in direkter oder indirekter Form aufzustellen, wobei meist die indirekte Methode angewandt wird. Gemäß den Empfehlungen des Deutschen </w:t>
      </w:r>
      <w:proofErr w:type="spellStart"/>
      <w:r w:rsidRPr="00316000">
        <w:t>Rechnungslegungs</w:t>
      </w:r>
      <w:proofErr w:type="spellEnd"/>
      <w:r w:rsidRPr="00316000">
        <w:t xml:space="preserve"> Standards </w:t>
      </w:r>
      <w:proofErr w:type="spellStart"/>
      <w:r w:rsidRPr="00316000">
        <w:t>Commitee</w:t>
      </w:r>
      <w:proofErr w:type="spellEnd"/>
      <w:r w:rsidRPr="00316000">
        <w:t xml:space="preserve"> e. V. Standardisierungsrats (DRSC) ist die indirekte Kapitalflussrechnung gemäß DRS 21 wie folgt aufgebaut.154 1. Periodenergebnis (Konzernjahresüberschuss/-</w:t>
      </w:r>
      <w:proofErr w:type="spellStart"/>
      <w:r w:rsidRPr="00316000">
        <w:t>fehlbetrag</w:t>
      </w:r>
      <w:proofErr w:type="spellEnd"/>
      <w:r w:rsidRPr="00316000">
        <w:t xml:space="preserve"> einschließlich Ergebnisanteilen anderer Gesellschafter) 2. +/- Abschreibungen/Zuschreibungen auf Gegenstände des Anlagevermögens 3. +/- </w:t>
      </w:r>
      <w:r w:rsidRPr="00316000">
        <w:lastRenderedPageBreak/>
        <w:t xml:space="preserve">Zunahme/Abnahme der Rückstellungen 4. +/- sonstige zahlungsunwirksame Aufwendungen/Erträge 5. -/+ Zunahme/Abnahme der Vorräte, der Forderungen aus Lieferungen und Leistungen sowie anderer Aktiva, die nicht der Investitions- oder Finanzierungstätigkeit zuzuordnen sind 6. +/- Zunahme/Abnahme der Verbindlichkeiten aus Lieferungen und Leistungen sowie anderer Passiva, die nicht der Investitions- oder Finanzierungstätigkeit zuzuordnen sind 7. -/+ Gewinn/Verlust aus Abgang von Gegenständen des Anlagevermögens 8. +/- Zinsaufwendungen/Zinserträge 9. - sonstige Beteiligungserträge 10. +/- Aufwendungen/Erträge aus außerordentlichen Posten 11. +/- Ertragssteueraufwand/-ertrag 12. + Einzahlungen aus außerordentlichen Posten 13. - Auszahlungen aus außerordentlichen Posten 14. -/+ </w:t>
      </w:r>
      <w:proofErr w:type="spellStart"/>
      <w:r w:rsidRPr="00316000">
        <w:t>Ertragsteuerzahlungen</w:t>
      </w:r>
      <w:proofErr w:type="spellEnd"/>
      <w:r w:rsidRPr="00316000">
        <w:t xml:space="preserve"> 15. = Cashflow aus laufender Geschäftstätigkeit (Summe aus 1 bis 14) 16. + Einzahlungen aus Abgängen von Gegenständen des immateriellen Anlagevermögens 17. - Auszahlungen für Investitionen in das immaterielle Anlagevermögen 18. + Einzahlungen aus Abgängen von Gegenständen des Sachanlagevermögens 19. - Auszahlungen für Investitionen in das Sachanlagevermögen 20. + Einzahlungen aus Abgängen von Gegenständen des Finanzanlagevermögens 21. - Auszahlungen für Investitionen in das Finanzanlagevermögen 22. + Einzahlungen aus dem Abgang aus dem Konsolidierungskreis 23. - Auszahlungen für Zugänge zum Konsolidierungskreis 24. + Einzahlungen aufgrund von Finanzmittelanlagen im Rahmen der kurzfristigen Finanzdisposition 25. - Auszahlungen aufgrund von Finanzmittelanlagen im Rahmen der kurzfristigen Finanzdisposition 26. + Einzahlungen aus außerordentlichen Posten 27. - Auszahlungen aus außerordentlichen Posten 28. + erhaltene Zinsen 29. + erhaltene Dividenden 30. = Cashflow aus der Investitionstätigkeit (Summe aus 16 bis 29) 31. + Einzahlungen aus Eigenkapitalzuführungen von Gesellschaftern des Mutterunternehmens 32. + Einzahlungen aus Eigenkapitalzuführungen von anderen Gesellschaftern 33. - Auszahlungen aus Eigenkapitalherabsetzungen an Gesellschafter des Mutterunternehmens 34. - Auszahlungen aus Eigenkapitalherabsetzungen an andere Gesellschafter 35. + Einzahlung aus der Begebung von Anleihen und aus der Aufnahme von (Finanz-) Krediten 36. - Auszahlungen aus der Tilgung von Anleihen und (Finanz-)Krediten 37. + Einzahlungen aus erhaltenen Zuschüssen/Zuwendungen 38. + Einzahlungen aus außerordentlichen Posten 39. - Auszahlungen aus außerordentlichen Posten 40. - gezahlte Zinsen 41. - gezahlte Dividenden an Gesellschafter des Mutterunternehmens 42. - gezahlte </w:t>
      </w:r>
      <w:r w:rsidRPr="00316000">
        <w:lastRenderedPageBreak/>
        <w:t>Dividenden an andere Gesellschafter 43. = Cashflow aus der Finanzierungstätigkeit (Summe aus 31 bis 42) 44. zahlungswirksame Veränderungen des Finanzmittelfonds (Summe aus 15, 30, 43) 45. +/- wechselkurs- und bewertungsbedingte Änderungen des Finanzmittelfonds 46. +/- Konsolidierungskreisbedingte Änderungen des Finanzmittelfonds 47. + Finanzmittelfonds am Anfang der Periode 48. = Finanzmittelbestand am Ende der Periode (Summe aus 44 bis 47)</w:t>
      </w:r>
    </w:p>
    <w:p w14:paraId="0479D243" w14:textId="77777777" w:rsidR="00900979" w:rsidRPr="00316000" w:rsidRDefault="00AF3707">
      <w:r w:rsidRPr="00316000">
        <w:t xml:space="preserve">Die Kapitalflussrechnung ist eine Zeitraumrechnung, bei der Bestandsveränderungen und die ihnen zugrunde liegenden Finanzmittelbewegungen ausgewiesen werden. Merke Die Kapitalflussrechnung informiert über die Herkunft und die Verwendung der finanziellen Mittel eines Unternehmens. </w:t>
      </w:r>
    </w:p>
    <w:p w14:paraId="045C36CC" w14:textId="77777777" w:rsidR="00900979" w:rsidRPr="00316000" w:rsidRDefault="00900979"/>
    <w:p w14:paraId="722FE57C" w14:textId="77777777" w:rsidR="00900979" w:rsidRPr="00316000" w:rsidRDefault="00AF3707">
      <w:r w:rsidRPr="00316000">
        <w:t xml:space="preserve">11.6 Aussagegehalt der Kapitalflussrechnung </w:t>
      </w:r>
    </w:p>
    <w:p w14:paraId="01CEAA69" w14:textId="5083FA8D" w:rsidR="00AF3707" w:rsidRPr="00316000" w:rsidRDefault="00AF3707">
      <w:r w:rsidRPr="00316000">
        <w:t xml:space="preserve">In der Praxis findet die Kapitalflussrechnung immer mehr Zuspruch. Sowohl intern im Finanzwesen als auch für externe Analysten dient die Kapitalflussrechnung als wesentliche Entscheidungshilfe. Sie liefert darüber hinaus wichtige Informationen, um die Liquiditätssituation eines Unternehmens besser einschätzen zu können. Im Allgemeinen hat die Kapitalflussrechnung eine Steuerungs-, Dokumentations- und Kontrollfunktion. Sie zeigt, ob die Finanzierung der Investitionen aus dem Umsatzprozess heraus erfolgte, sprich aus der laufenden Geschäftstätigkeit155. Ebenso ist zu berücksichtigen, dass die Kapitalflussrechnung sowohl als Vergangenheitsrechnung als auch als Planungsrechnung verwendet werden kann. Hierbei spricht man dann von der retrospektiven oder von der prospektiven Kapitalflussrechnung. Wird sie als vergangenheitsorientierte Rechnung verwendet, gibt sie Informationen über Liquiditätsänderungen und die jeweiligen Ursachen. Dabei gilt als Informationsbasis der vorliegende Jahresabschluss. Als Planungsrechnung kann man hingegen untersuchen, ob sich, bei den vorhandenen Teilplänen, die Liquidität im Budgetjahr verbessert oder verschlechtert hat und wo mögliche Ursachen dieser Veränderungen liegen. Hierbei dienen als Informationsbasis eine Planbilanz bzw. Plan-Gewinn- und -Verlustrechnung. Weiterhin ist festzuhalten, dass die Kapitalflussrechnung vor allem dazu dient, einen besseren Einblick in den Jahresabschluss zu erhalten, da eine bessere Beurteilung der Finanz- und Kapitalsituation des Unternehmens möglich ist.156 Mithilfe der Kapitalflussrechnung kann die Zahlungsfähigkeit eines Unternehmens besser beurteilt werden, da sowohl </w:t>
      </w:r>
      <w:r w:rsidRPr="00316000">
        <w:lastRenderedPageBreak/>
        <w:t>Ein- und Auszahlungen als auch die Zahlungsströme innerhalb des Unternehmens analysiert werden.</w:t>
      </w:r>
    </w:p>
    <w:p w14:paraId="2ED7C12A" w14:textId="77777777" w:rsidR="00900979" w:rsidRPr="00316000" w:rsidRDefault="00900979"/>
    <w:p w14:paraId="2FAE6B0E" w14:textId="77777777" w:rsidR="00900979" w:rsidRPr="00316000" w:rsidRDefault="0051072F">
      <w:r w:rsidRPr="00316000">
        <w:t xml:space="preserve">2.2.3 Bildung einer Vergleichsgruppe </w:t>
      </w:r>
    </w:p>
    <w:p w14:paraId="53FCDD94" w14:textId="77777777" w:rsidR="00900979" w:rsidRPr="00316000" w:rsidRDefault="0051072F">
      <w:r w:rsidRPr="00316000">
        <w:t xml:space="preserve">Bei der Unternehmensbewertung mit einer Vergleichsgruppe ist die Bildung einer wirklich guten Peer Group immer die schwierigste Aufgabe, was auf eine Vielzahl von Problemen </w:t>
      </w:r>
      <w:proofErr w:type="spellStart"/>
      <w:r w:rsidRPr="00316000">
        <w:t>zuruckzufiihren</w:t>
      </w:r>
      <w:proofErr w:type="spellEnd"/>
      <w:r w:rsidRPr="00316000">
        <w:t xml:space="preserve"> ist: 1. In einem ersten Schritt gilt es, direkt mit der </w:t>
      </w:r>
      <w:proofErr w:type="gramStart"/>
      <w:r w:rsidRPr="00316000">
        <w:t>zu analysierenden Gesellschaft</w:t>
      </w:r>
      <w:proofErr w:type="gramEnd"/>
      <w:r w:rsidRPr="00316000">
        <w:t xml:space="preserve"> vergleichbare Unternehmen zu identifizieren. Viele Unternehmen </w:t>
      </w:r>
      <w:proofErr w:type="spellStart"/>
      <w:r w:rsidRPr="00316000">
        <w:t>verftigen</w:t>
      </w:r>
      <w:proofErr w:type="spellEnd"/>
      <w:r w:rsidRPr="00316000">
        <w:t xml:space="preserve"> aber </w:t>
      </w:r>
      <w:proofErr w:type="spellStart"/>
      <w:r w:rsidRPr="00316000">
        <w:t>tiber</w:t>
      </w:r>
      <w:proofErr w:type="spellEnd"/>
      <w:r w:rsidRPr="00316000">
        <w:t xml:space="preserve"> ein Produkt- bzw. Dienstleistungsportfolio, was in exakt dieser Zusammensetzung bei keinem Wettbewerber vorzufinden ist. Zudem kann die regionale Umsatz- bzw. Ertragsaufteilung teilweise deutlich </w:t>
      </w:r>
      <w:proofErr w:type="gramStart"/>
      <w:r w:rsidRPr="00316000">
        <w:t>von der vergleichbarer Unternehmen</w:t>
      </w:r>
      <w:proofErr w:type="gramEnd"/>
      <w:r w:rsidRPr="00316000">
        <w:t xml:space="preserve"> abweichen. Dies konnte entsprechend dazu </w:t>
      </w:r>
      <w:proofErr w:type="spellStart"/>
      <w:r w:rsidRPr="00316000">
        <w:t>fiihren</w:t>
      </w:r>
      <w:proofErr w:type="spellEnd"/>
      <w:r w:rsidRPr="00316000">
        <w:t xml:space="preserve">, dass bei einem </w:t>
      </w:r>
      <w:proofErr w:type="spellStart"/>
      <w:r w:rsidRPr="00316000">
        <w:t>ahnlichen</w:t>
      </w:r>
      <w:proofErr w:type="spellEnd"/>
      <w:r w:rsidRPr="00316000">
        <w:t xml:space="preserve"> Produktportfolio die Ertragsstrukturen von zwei auf den ersten Blick </w:t>
      </w:r>
      <w:proofErr w:type="spellStart"/>
      <w:r w:rsidRPr="00316000">
        <w:t>ahnlichen</w:t>
      </w:r>
      <w:proofErr w:type="spellEnd"/>
      <w:r w:rsidRPr="00316000">
        <w:t xml:space="preserve"> Gesellschaften trotzdem stark voneinander abweichen. Vor diesem Hintergrund ist es </w:t>
      </w:r>
      <w:proofErr w:type="spellStart"/>
      <w:r w:rsidRPr="00316000">
        <w:t>spater</w:t>
      </w:r>
      <w:proofErr w:type="spellEnd"/>
      <w:r w:rsidRPr="00316000">
        <w:t xml:space="preserve"> </w:t>
      </w:r>
      <w:proofErr w:type="spellStart"/>
      <w:r w:rsidRPr="00316000">
        <w:t>haufig</w:t>
      </w:r>
      <w:proofErr w:type="spellEnd"/>
      <w:r w:rsidRPr="00316000">
        <w:t xml:space="preserve"> sinnvoll, die Bewertung auch nicht nur auf einen einzigen Multiplikator abzustellen, sondern mehrere Vergleiche parallel </w:t>
      </w:r>
      <w:proofErr w:type="spellStart"/>
      <w:r w:rsidRPr="00316000">
        <w:t>durchzufiihren</w:t>
      </w:r>
      <w:proofErr w:type="spellEnd"/>
      <w:r w:rsidRPr="00316000">
        <w:t xml:space="preserve">. In der Praxis bedeutet dies, dass der faire Kurs einer Aktie auf "unterschiedlichen Ebenen" (z. B. Umsatz-, EBIT- und/ oder </w:t>
      </w:r>
      <w:proofErr w:type="spellStart"/>
      <w:r w:rsidRPr="00316000">
        <w:t>JahresuberschussBasis</w:t>
      </w:r>
      <w:proofErr w:type="spellEnd"/>
      <w:r w:rsidRPr="00316000">
        <w:t xml:space="preserve"> etc.) in der Gewinn- und Verlustrechnung ermittelt werden sollte. 2. In einem zweiten Schritt muss der Analyst versuchen, nationale und internationale Unternehmen zu identifizieren, die gewisse </w:t>
      </w:r>
      <w:proofErr w:type="spellStart"/>
      <w:r w:rsidRPr="00316000">
        <w:t>Ahnlichkeiten</w:t>
      </w:r>
      <w:proofErr w:type="spellEnd"/>
      <w:r w:rsidRPr="00316000">
        <w:t xml:space="preserve"> zu der </w:t>
      </w:r>
      <w:proofErr w:type="gramStart"/>
      <w:r w:rsidRPr="00316000">
        <w:t>zu analysierenden Gesellschaft</w:t>
      </w:r>
      <w:proofErr w:type="gramEnd"/>
      <w:r w:rsidRPr="00316000">
        <w:t xml:space="preserve"> haben. In der Praxis spricht man in diesem Zusammenhang von der Zusammenstellung der "</w:t>
      </w:r>
      <w:proofErr w:type="spellStart"/>
      <w:r w:rsidRPr="00316000">
        <w:t>Closest</w:t>
      </w:r>
      <w:proofErr w:type="spellEnd"/>
      <w:r w:rsidRPr="00316000">
        <w:t xml:space="preserve"> </w:t>
      </w:r>
      <w:proofErr w:type="spellStart"/>
      <w:r w:rsidRPr="00316000">
        <w:t>Comparables</w:t>
      </w:r>
      <w:proofErr w:type="spellEnd"/>
      <w:r w:rsidRPr="00316000">
        <w:t xml:space="preserve">", also der Unternehmen, die der </w:t>
      </w:r>
      <w:proofErr w:type="gramStart"/>
      <w:r w:rsidRPr="00316000">
        <w:t>zu analysierenden Gesellschaft</w:t>
      </w:r>
      <w:proofErr w:type="gramEnd"/>
      <w:r w:rsidRPr="00316000">
        <w:t xml:space="preserve"> am </w:t>
      </w:r>
      <w:proofErr w:type="spellStart"/>
      <w:r w:rsidRPr="00316000">
        <w:t>ahnlichsten</w:t>
      </w:r>
      <w:proofErr w:type="spellEnd"/>
      <w:r w:rsidRPr="00316000">
        <w:t xml:space="preserve"> sind. 3. Aus der Sicht des Kapitalmarktes ist es zudem erforderlich zu beachten, dass sich die Bewertungsniveaus der einzelnen Aktien teilweise deutlich voneinander unterscheiden. Ais Faustregel gilt, dass die DAX-Werte aus der gleichen Branche tendenziell </w:t>
      </w:r>
      <w:proofErr w:type="spellStart"/>
      <w:r w:rsidRPr="00316000">
        <w:t>uber</w:t>
      </w:r>
      <w:proofErr w:type="spellEnd"/>
      <w:r w:rsidRPr="00316000">
        <w:t xml:space="preserve"> </w:t>
      </w:r>
      <w:proofErr w:type="spellStart"/>
      <w:r w:rsidRPr="00316000">
        <w:t>hohere</w:t>
      </w:r>
      <w:proofErr w:type="spellEnd"/>
      <w:r w:rsidRPr="00316000">
        <w:t xml:space="preserve"> Multiplikatoren verfugen als die entsprechenden MDAX- oder SDAX-Werte dieser Branche. Dies ist sicherlich in gewissem </w:t>
      </w:r>
      <w:proofErr w:type="spellStart"/>
      <w:r w:rsidRPr="00316000">
        <w:t>MaBe</w:t>
      </w:r>
      <w:proofErr w:type="spellEnd"/>
      <w:r w:rsidRPr="00316000">
        <w:t xml:space="preserve"> auf die </w:t>
      </w:r>
      <w:proofErr w:type="spellStart"/>
      <w:r w:rsidRPr="00316000">
        <w:t>Borsenliquiditat</w:t>
      </w:r>
      <w:proofErr w:type="spellEnd"/>
      <w:r w:rsidRPr="00316000">
        <w:t xml:space="preserve"> </w:t>
      </w:r>
      <w:proofErr w:type="spellStart"/>
      <w:r w:rsidRPr="00316000">
        <w:t>zuruckzufiihren</w:t>
      </w:r>
      <w:proofErr w:type="spellEnd"/>
      <w:r w:rsidRPr="00316000">
        <w:t xml:space="preserve">, da die Investoren bei liquideren Titeln tendenziell bereit sind, im Gegenzug </w:t>
      </w:r>
      <w:proofErr w:type="spellStart"/>
      <w:r w:rsidRPr="00316000">
        <w:t>hOhere</w:t>
      </w:r>
      <w:proofErr w:type="spellEnd"/>
      <w:r w:rsidRPr="00316000">
        <w:t xml:space="preserve"> </w:t>
      </w:r>
      <w:proofErr w:type="spellStart"/>
      <w:r w:rsidRPr="00316000">
        <w:t>Risikopramien</w:t>
      </w:r>
      <w:proofErr w:type="spellEnd"/>
      <w:r w:rsidRPr="00316000">
        <w:t xml:space="preserve">, d. h. z. B. ein </w:t>
      </w:r>
      <w:proofErr w:type="spellStart"/>
      <w:r w:rsidRPr="00316000">
        <w:t>hoheres</w:t>
      </w:r>
      <w:proofErr w:type="spellEnd"/>
      <w:r w:rsidRPr="00316000">
        <w:t xml:space="preserve"> KGV zu akzeptieren. Zudem gibt es </w:t>
      </w:r>
      <w:proofErr w:type="spellStart"/>
      <w:r w:rsidRPr="00316000">
        <w:t>natiirlich</w:t>
      </w:r>
      <w:proofErr w:type="spellEnd"/>
      <w:r w:rsidRPr="00316000">
        <w:t xml:space="preserve"> auch branchen- bzw. </w:t>
      </w:r>
      <w:proofErr w:type="spellStart"/>
      <w:r w:rsidRPr="00316000">
        <w:t>landerspezifische</w:t>
      </w:r>
      <w:proofErr w:type="spellEnd"/>
      <w:r w:rsidRPr="00316000">
        <w:t xml:space="preserve"> Multiplikatoren, die einen Vergleich der Gesellschaften zweifelsohne erschweren. Da </w:t>
      </w:r>
      <w:proofErr w:type="spellStart"/>
      <w:r w:rsidRPr="00316000">
        <w:t>haufig</w:t>
      </w:r>
      <w:proofErr w:type="spellEnd"/>
      <w:r w:rsidRPr="00316000">
        <w:t xml:space="preserve"> jedoch unter Portfolioaspekten nicht nur die Frage im Mittelpunkt steht, jetzt in </w:t>
      </w:r>
      <w:r w:rsidRPr="00316000">
        <w:lastRenderedPageBreak/>
        <w:t xml:space="preserve">bestimmte Branchen zu investieren, sondern in </w:t>
      </w:r>
      <w:proofErr w:type="spellStart"/>
      <w:r w:rsidRPr="00316000">
        <w:t>mittelstandische</w:t>
      </w:r>
      <w:proofErr w:type="spellEnd"/>
      <w:r w:rsidRPr="00316000">
        <w:t xml:space="preserve"> Werte und nicht in Standardwerte, ist es gerechtfertigt, die entsprechende Bewertung des Marktsegmentes mit in der Analyse zu </w:t>
      </w:r>
      <w:proofErr w:type="spellStart"/>
      <w:r w:rsidRPr="00316000">
        <w:t>berticksichtigen</w:t>
      </w:r>
      <w:proofErr w:type="spellEnd"/>
      <w:r w:rsidRPr="00316000">
        <w:t xml:space="preserve">. 4. Bei der Gewichtung der einzelnen Gruppen zur Ermittlung des Gesamtergebnisses kann jedoch keine Faustregel angewendet werden. Ideal </w:t>
      </w:r>
      <w:proofErr w:type="spellStart"/>
      <w:r w:rsidRPr="00316000">
        <w:t>ware</w:t>
      </w:r>
      <w:proofErr w:type="spellEnd"/>
      <w:r w:rsidRPr="00316000">
        <w:t xml:space="preserve"> es, wenn es in jeder Gruppe die nahezu gleichen Ergebnisse gibt. Aber </w:t>
      </w:r>
      <w:proofErr w:type="spellStart"/>
      <w:r w:rsidRPr="00316000">
        <w:t>haufig</w:t>
      </w:r>
      <w:proofErr w:type="spellEnd"/>
      <w:r w:rsidRPr="00316000">
        <w:t xml:space="preserve"> zeigt die Praxis auch schon, dass sich bei der Eliminierung von </w:t>
      </w:r>
      <w:proofErr w:type="spellStart"/>
      <w:r w:rsidRPr="00316000">
        <w:t>AusreiBern</w:t>
      </w:r>
      <w:proofErr w:type="spellEnd"/>
      <w:r w:rsidRPr="00316000">
        <w:t xml:space="preserve"> die Werte </w:t>
      </w:r>
      <w:proofErr w:type="spellStart"/>
      <w:r w:rsidRPr="00316000">
        <w:t>tend</w:t>
      </w:r>
      <w:proofErr w:type="spellEnd"/>
      <w:r w:rsidRPr="00316000">
        <w:t xml:space="preserve"> </w:t>
      </w:r>
      <w:proofErr w:type="spellStart"/>
      <w:r w:rsidRPr="00316000">
        <w:t>ziell</w:t>
      </w:r>
      <w:proofErr w:type="spellEnd"/>
      <w:r w:rsidRPr="00316000">
        <w:t xml:space="preserve"> angleichen. Solche Extremwerte </w:t>
      </w:r>
      <w:proofErr w:type="spellStart"/>
      <w:r w:rsidRPr="00316000">
        <w:t>konnen</w:t>
      </w:r>
      <w:proofErr w:type="spellEnd"/>
      <w:r w:rsidRPr="00316000">
        <w:t xml:space="preserve"> z. B. dadurch entstehen, dass die Gesellschaft nach dem Turn-</w:t>
      </w:r>
      <w:proofErr w:type="spellStart"/>
      <w:r w:rsidRPr="00316000">
        <w:t>around</w:t>
      </w:r>
      <w:proofErr w:type="spellEnd"/>
      <w:r w:rsidRPr="00316000">
        <w:t xml:space="preserve"> gerade wieder in die Gewinnzone </w:t>
      </w:r>
      <w:proofErr w:type="spellStart"/>
      <w:r w:rsidRPr="00316000">
        <w:t>zuruckgekehrt</w:t>
      </w:r>
      <w:proofErr w:type="spellEnd"/>
      <w:r w:rsidRPr="00316000">
        <w:t xml:space="preserve"> ist, der Kurs jedoch mit Blick auf eine sehr positive Zukunft schon wieder deutlich angezogen hat, sodass sich aus diesem Zusammenhang ein nicht wirklich </w:t>
      </w:r>
      <w:proofErr w:type="spellStart"/>
      <w:r w:rsidRPr="00316000">
        <w:t>reprasentativer</w:t>
      </w:r>
      <w:proofErr w:type="spellEnd"/>
      <w:r w:rsidRPr="00316000">
        <w:t xml:space="preserve"> Multiplikator errechnet. 5. Der </w:t>
      </w:r>
      <w:proofErr w:type="spellStart"/>
      <w:r w:rsidRPr="00316000">
        <w:t>Schliissel</w:t>
      </w:r>
      <w:proofErr w:type="spellEnd"/>
      <w:r w:rsidRPr="00316000">
        <w:t xml:space="preserve"> </w:t>
      </w:r>
      <w:proofErr w:type="spellStart"/>
      <w:r w:rsidRPr="00316000">
        <w:t>fur</w:t>
      </w:r>
      <w:proofErr w:type="spellEnd"/>
      <w:r w:rsidRPr="00316000">
        <w:t xml:space="preserve"> die wirklich gute Zusammenstellung einer Peer Group liegt insgesamt jedoch darin, nur auf </w:t>
      </w:r>
      <w:proofErr w:type="spellStart"/>
      <w:r w:rsidRPr="00316000">
        <w:t>verlassliche</w:t>
      </w:r>
      <w:proofErr w:type="spellEnd"/>
      <w:r w:rsidRPr="00316000">
        <w:t xml:space="preserve"> Daten </w:t>
      </w:r>
      <w:proofErr w:type="spellStart"/>
      <w:r w:rsidRPr="00316000">
        <w:t>zuruckzugreifen</w:t>
      </w:r>
      <w:proofErr w:type="spellEnd"/>
      <w:r w:rsidRPr="00316000">
        <w:t>. Ein Blick auf die Consensus-</w:t>
      </w:r>
      <w:proofErr w:type="spellStart"/>
      <w:r w:rsidRPr="00316000">
        <w:t>Schatzungen</w:t>
      </w:r>
      <w:proofErr w:type="spellEnd"/>
      <w:r w:rsidRPr="00316000">
        <w:t xml:space="preserve"> zeigt, dass es vor allem bei den Nicht-Standardwerten auf dem Kurszettel </w:t>
      </w:r>
      <w:proofErr w:type="spellStart"/>
      <w:r w:rsidRPr="00316000">
        <w:t>haufig</w:t>
      </w:r>
      <w:proofErr w:type="spellEnd"/>
      <w:r w:rsidRPr="00316000">
        <w:t xml:space="preserve"> veraltete Schatzungen und damit dann auch verzerrte Ergebnisse gibt, gerade weil sich heute deutlich weniger Analysten </w:t>
      </w:r>
      <w:proofErr w:type="spellStart"/>
      <w:r w:rsidRPr="00316000">
        <w:t>urn</w:t>
      </w:r>
      <w:proofErr w:type="spellEnd"/>
      <w:r w:rsidRPr="00316000">
        <w:t xml:space="preserve"> die Aktien auf5erhalb des DAX </w:t>
      </w:r>
      <w:proofErr w:type="spellStart"/>
      <w:r w:rsidRPr="00316000">
        <w:t>kummern</w:t>
      </w:r>
      <w:proofErr w:type="spellEnd"/>
      <w:r w:rsidRPr="00316000">
        <w:t xml:space="preserve"> und auch die Zeitnahe bei der Aktualisierung </w:t>
      </w:r>
      <w:proofErr w:type="spellStart"/>
      <w:r w:rsidRPr="00316000">
        <w:t>haufig</w:t>
      </w:r>
      <w:proofErr w:type="spellEnd"/>
      <w:r w:rsidRPr="00316000">
        <w:t xml:space="preserve"> nicht gegeben ist. Eine Faustregel, welche Daten </w:t>
      </w:r>
      <w:proofErr w:type="spellStart"/>
      <w:r w:rsidRPr="00316000">
        <w:t>moglicherweise</w:t>
      </w:r>
      <w:proofErr w:type="spellEnd"/>
      <w:r w:rsidRPr="00316000">
        <w:t xml:space="preserve"> zu eliminieren sind und welche nicht, gibt es aber auch hier nicht. In der Praxis ist es jedoch sinnvoll, sich die Unternehmensnachrichten anzuschauen, </w:t>
      </w:r>
      <w:proofErr w:type="spellStart"/>
      <w:r w:rsidRPr="00316000">
        <w:t>urn</w:t>
      </w:r>
      <w:proofErr w:type="spellEnd"/>
      <w:r w:rsidRPr="00316000">
        <w:t xml:space="preserve"> dann eventuell nur die Daten zu nehmen, die nach einer </w:t>
      </w:r>
      <w:proofErr w:type="spellStart"/>
      <w:r w:rsidRPr="00316000">
        <w:t>veranderten</w:t>
      </w:r>
      <w:proofErr w:type="spellEnd"/>
      <w:r w:rsidRPr="00316000">
        <w:t xml:space="preserve"> </w:t>
      </w:r>
      <w:proofErr w:type="spellStart"/>
      <w:r w:rsidRPr="00316000">
        <w:t>Guidance</w:t>
      </w:r>
      <w:proofErr w:type="spellEnd"/>
      <w:r w:rsidRPr="00316000">
        <w:t xml:space="preserve"> des Managements zum Umsatz oder Ertrag in den jeweiligen </w:t>
      </w:r>
      <w:proofErr w:type="spellStart"/>
      <w:r w:rsidRPr="00316000">
        <w:t>Borseninformationssystemen</w:t>
      </w:r>
      <w:proofErr w:type="spellEnd"/>
      <w:r w:rsidRPr="00316000">
        <w:t xml:space="preserve"> eingestellt worden sind. </w:t>
      </w:r>
      <w:proofErr w:type="spellStart"/>
      <w:r w:rsidRPr="00316000">
        <w:t>Urn</w:t>
      </w:r>
      <w:proofErr w:type="spellEnd"/>
      <w:r w:rsidRPr="00316000">
        <w:t xml:space="preserve"> auch auf einen breiteren Datenkranz </w:t>
      </w:r>
      <w:proofErr w:type="spellStart"/>
      <w:r w:rsidRPr="00316000">
        <w:t>zuruckgreifen</w:t>
      </w:r>
      <w:proofErr w:type="spellEnd"/>
      <w:r w:rsidRPr="00316000">
        <w:t xml:space="preserve"> zu </w:t>
      </w:r>
      <w:proofErr w:type="spellStart"/>
      <w:r w:rsidRPr="00316000">
        <w:t>konnen</w:t>
      </w:r>
      <w:proofErr w:type="spellEnd"/>
      <w:r w:rsidRPr="00316000">
        <w:t xml:space="preserve"> ist es sinnvoll, die Analyse mindestens auf der Basis der erwarteten Werte </w:t>
      </w:r>
      <w:proofErr w:type="spellStart"/>
      <w:r w:rsidRPr="00316000">
        <w:t>fUr</w:t>
      </w:r>
      <w:proofErr w:type="spellEnd"/>
      <w:r w:rsidRPr="00316000">
        <w:t xml:space="preserve"> die </w:t>
      </w:r>
      <w:proofErr w:type="spellStart"/>
      <w:r w:rsidRPr="00316000">
        <w:t>nachsten</w:t>
      </w:r>
      <w:proofErr w:type="spellEnd"/>
      <w:r w:rsidRPr="00316000">
        <w:t xml:space="preserve"> zwei Perioden durchzufuhren. Das Gesamtergebnis dieses Vergleichs wird je nach den Bewertungsanforderungen aus der Praxis meist als Mittelwert oder Median der einzelnen Ergebnisse ermittelt. Wichtig und damit entscheidend </w:t>
      </w:r>
      <w:proofErr w:type="spellStart"/>
      <w:r w:rsidRPr="00316000">
        <w:t>fur</w:t>
      </w:r>
      <w:proofErr w:type="spellEnd"/>
      <w:r w:rsidRPr="00316000">
        <w:t xml:space="preserve"> die </w:t>
      </w:r>
      <w:proofErr w:type="spellStart"/>
      <w:r w:rsidRPr="00316000">
        <w:t>Qualitat</w:t>
      </w:r>
      <w:proofErr w:type="spellEnd"/>
      <w:r w:rsidRPr="00316000">
        <w:t xml:space="preserve"> des Gesamtergebnisses sind hier die Zusammenstellung der Vergleichsunternehmen und nicht zuletzt die </w:t>
      </w:r>
      <w:proofErr w:type="spellStart"/>
      <w:r w:rsidRPr="00316000">
        <w:t>Qualitat</w:t>
      </w:r>
      <w:proofErr w:type="spellEnd"/>
      <w:r w:rsidRPr="00316000">
        <w:t xml:space="preserve"> bzw. </w:t>
      </w:r>
      <w:proofErr w:type="spellStart"/>
      <w:r w:rsidRPr="00316000">
        <w:t>Verlasslichkeit</w:t>
      </w:r>
      <w:proofErr w:type="spellEnd"/>
      <w:r w:rsidRPr="00316000">
        <w:t xml:space="preserve"> der </w:t>
      </w:r>
      <w:proofErr w:type="spellStart"/>
      <w:r w:rsidRPr="00316000">
        <w:t>DatenjPrognosen</w:t>
      </w:r>
      <w:proofErr w:type="spellEnd"/>
      <w:r w:rsidRPr="00316000">
        <w:t xml:space="preserve">, die in das Zahlenwerk einflief5en. Ein wichtiger Punkt dieser Wertpapieranalyse muss jedoch immer beachtet werden: die Bewertung beinhaltet immer einen relativen Ansatz, d. h. wurden alle Unternehmen doppelt so hoch notieren, dann musste auch das analysierte Unternehmen doppelt so hoch notieren, obwohl die Gesellschaft sich </w:t>
      </w:r>
      <w:proofErr w:type="spellStart"/>
      <w:r w:rsidRPr="00316000">
        <w:t>unverandert</w:t>
      </w:r>
      <w:proofErr w:type="spellEnd"/>
      <w:r w:rsidRPr="00316000">
        <w:t xml:space="preserve"> darstellen wurde. </w:t>
      </w:r>
    </w:p>
    <w:p w14:paraId="2EC7EE67" w14:textId="77777777" w:rsidR="00900979" w:rsidRPr="00316000" w:rsidRDefault="0051072F">
      <w:r w:rsidRPr="00316000">
        <w:lastRenderedPageBreak/>
        <w:t xml:space="preserve">2.2.4 Weitere Verfahren Alternative Modelle </w:t>
      </w:r>
    </w:p>
    <w:p w14:paraId="5BB134A1" w14:textId="26CD5879" w:rsidR="00FF54E4" w:rsidRPr="00316000" w:rsidRDefault="0051072F">
      <w:pPr>
        <w:rPr>
          <w:lang w:val="en-GB"/>
        </w:rPr>
      </w:pPr>
      <w:r w:rsidRPr="00316000">
        <w:t xml:space="preserve">In der Literatur und in der Praxis (hauptsachlich der Praxis der Unternehmensberatung) werden seit einigen Jahren alternative Bewertungsmodelle diskutiert. Die wohl bekanntesten sind das CFROI-Modell, das von der Unternehmensberatung Holt Value Associates entwickelt </w:t>
      </w:r>
      <w:proofErr w:type="gramStart"/>
      <w:r w:rsidRPr="00316000">
        <w:t>wurde</w:t>
      </w:r>
      <w:proofErr w:type="gramEnd"/>
      <w:r w:rsidRPr="00316000">
        <w:t xml:space="preserve"> sowie das EVA-Modell der Unternehmens </w:t>
      </w:r>
      <w:proofErr w:type="spellStart"/>
      <w:r w:rsidRPr="00316000">
        <w:t>beratung</w:t>
      </w:r>
      <w:proofErr w:type="spellEnd"/>
      <w:r w:rsidRPr="00316000">
        <w:t xml:space="preserve"> Stern Stewart &amp; Co., auf die im </w:t>
      </w:r>
      <w:proofErr w:type="spellStart"/>
      <w:proofErr w:type="gramStart"/>
      <w:r w:rsidRPr="00316000">
        <w:t>folgenden</w:t>
      </w:r>
      <w:proofErr w:type="spellEnd"/>
      <w:proofErr w:type="gramEnd"/>
      <w:r w:rsidRPr="00316000">
        <w:t xml:space="preserve"> aus </w:t>
      </w:r>
      <w:proofErr w:type="spellStart"/>
      <w:r w:rsidRPr="00316000">
        <w:t>Komplexitatsgriinden</w:t>
      </w:r>
      <w:proofErr w:type="spellEnd"/>
      <w:r w:rsidRPr="00316000">
        <w:t xml:space="preserve"> jedoch nur sehr kurz eingegangen werden </w:t>
      </w:r>
      <w:proofErr w:type="spellStart"/>
      <w:r w:rsidRPr="00316000">
        <w:t>solI</w:t>
      </w:r>
      <w:proofErr w:type="spellEnd"/>
      <w:r w:rsidRPr="00316000">
        <w:t xml:space="preserve">, da sie im Bereich der Aktienanalyse bisher erst sehr gering angewandt werden. Cashflow Return on Investment (CFROI)-Modell Der CFROI-Ansatz zielt insbesondere auf eine vergangenheitsbezogene Performanceanalyse </w:t>
      </w:r>
      <w:proofErr w:type="spellStart"/>
      <w:r w:rsidRPr="00316000">
        <w:t>borsennotierter</w:t>
      </w:r>
      <w:proofErr w:type="spellEnd"/>
      <w:r w:rsidRPr="00316000">
        <w:t xml:space="preserve"> Unternehmen </w:t>
      </w:r>
      <w:proofErr w:type="spellStart"/>
      <w:r w:rsidRPr="00316000">
        <w:t>abo</w:t>
      </w:r>
      <w:proofErr w:type="spellEnd"/>
      <w:r w:rsidRPr="00316000">
        <w:t xml:space="preserve"> Bei dem CFROI handelt es sich </w:t>
      </w:r>
      <w:proofErr w:type="spellStart"/>
      <w:r w:rsidRPr="00316000">
        <w:t>urn</w:t>
      </w:r>
      <w:proofErr w:type="spellEnd"/>
      <w:r w:rsidRPr="00316000">
        <w:t xml:space="preserve"> einen internen </w:t>
      </w:r>
      <w:proofErr w:type="spellStart"/>
      <w:r w:rsidRPr="00316000">
        <w:t>ZinsfuB</w:t>
      </w:r>
      <w:proofErr w:type="spellEnd"/>
      <w:r w:rsidRPr="00316000">
        <w:t xml:space="preserve">, der als eine Nachkalkulation der Investitionsprojekte aus der Vergangenheit eines Unternehmens betrachtet werden kann. Mithilfe des Free-Cash-Flow-/Konvergenz-Verfahrens werden jedoch die </w:t>
      </w:r>
      <w:proofErr w:type="spellStart"/>
      <w:r w:rsidRPr="00316000">
        <w:t>zukiinftigen</w:t>
      </w:r>
      <w:proofErr w:type="spellEnd"/>
      <w:r w:rsidRPr="00316000">
        <w:t xml:space="preserve"> Brutto </w:t>
      </w:r>
      <w:proofErr w:type="gramStart"/>
      <w:r w:rsidRPr="00316000">
        <w:t>Cash Flows</w:t>
      </w:r>
      <w:proofErr w:type="gramEnd"/>
      <w:r w:rsidRPr="00316000">
        <w:t xml:space="preserve"> prognostiziert, die nach der </w:t>
      </w:r>
      <w:proofErr w:type="spellStart"/>
      <w:r w:rsidRPr="00316000">
        <w:t>fUr</w:t>
      </w:r>
      <w:proofErr w:type="spellEnd"/>
      <w:r w:rsidRPr="00316000">
        <w:t xml:space="preserve"> den CFROI </w:t>
      </w:r>
      <w:proofErr w:type="spellStart"/>
      <w:r w:rsidRPr="00316000">
        <w:t>giiltigen</w:t>
      </w:r>
      <w:proofErr w:type="spellEnd"/>
      <w:r w:rsidRPr="00316000">
        <w:t xml:space="preserve"> Definition aus Gewinn nach Steuern, Zinsaufwand und Abschreibungen bestehen. Das Free-Cash-Flow-Konvergenz-Verfahren basiert auf der Grundannahme, dass sowohl der CFROI als auch die Wachstumsrate der Investitionen eines Unternehmens </w:t>
      </w:r>
      <w:proofErr w:type="spellStart"/>
      <w:r w:rsidRPr="00316000">
        <w:t>iiber</w:t>
      </w:r>
      <w:proofErr w:type="spellEnd"/>
      <w:r w:rsidRPr="00316000">
        <w:t xml:space="preserve"> einen bestimmten Zeitraum (Konvergenzzeitraum) sich einem gesamtwirtschaftlichen oder Branchendurchschnitt </w:t>
      </w:r>
      <w:proofErr w:type="spellStart"/>
      <w:r w:rsidRPr="00316000">
        <w:t>nahern</w:t>
      </w:r>
      <w:proofErr w:type="spellEnd"/>
      <w:r w:rsidRPr="00316000">
        <w:t xml:space="preserve">. Die </w:t>
      </w:r>
      <w:proofErr w:type="spellStart"/>
      <w:r w:rsidRPr="00316000">
        <w:t>urn</w:t>
      </w:r>
      <w:proofErr w:type="spellEnd"/>
      <w:r w:rsidRPr="00316000">
        <w:t xml:space="preserve"> die Investitionen der jeweiligen Periode </w:t>
      </w:r>
      <w:proofErr w:type="spellStart"/>
      <w:r w:rsidRPr="00316000">
        <w:t>gekiirzten</w:t>
      </w:r>
      <w:proofErr w:type="spellEnd"/>
      <w:r w:rsidRPr="00316000">
        <w:t xml:space="preserve"> Brutto </w:t>
      </w:r>
      <w:proofErr w:type="gramStart"/>
      <w:r w:rsidRPr="00316000">
        <w:t>Cash Flows</w:t>
      </w:r>
      <w:proofErr w:type="gramEnd"/>
      <w:r w:rsidRPr="00316000">
        <w:t xml:space="preserve"> (freie </w:t>
      </w:r>
      <w:proofErr w:type="gramStart"/>
      <w:r w:rsidRPr="00316000">
        <w:t>Cash Flows</w:t>
      </w:r>
      <w:proofErr w:type="gramEnd"/>
      <w:r w:rsidRPr="00316000">
        <w:t xml:space="preserve">) sind </w:t>
      </w:r>
      <w:proofErr w:type="spellStart"/>
      <w:r w:rsidRPr="00316000">
        <w:t>anschlieBend</w:t>
      </w:r>
      <w:proofErr w:type="spellEnd"/>
      <w:r w:rsidRPr="00316000">
        <w:t xml:space="preserve"> bei der Ermittlung des Unternehmenswerts auf den Bewertungszeitpunkt zu diskontieren. Dabei wird der Kapitalisierungszins aus den Marktwerten und den mittels des Free-Cashflow-Konvergenz-Verfahrens prognostizierten freien Cashflows ermittelt. </w:t>
      </w:r>
      <w:proofErr w:type="spellStart"/>
      <w:r w:rsidRPr="00316000">
        <w:t>Economic</w:t>
      </w:r>
      <w:proofErr w:type="spellEnd"/>
      <w:r w:rsidRPr="00316000">
        <w:t>-Value- bzw. Market-Value-</w:t>
      </w:r>
      <w:proofErr w:type="spellStart"/>
      <w:r w:rsidRPr="00316000">
        <w:t>Added</w:t>
      </w:r>
      <w:proofErr w:type="spellEnd"/>
      <w:r w:rsidRPr="00316000">
        <w:t xml:space="preserve">-Konzept (EVA- bzw. MVA-Konzept) 1m Gegensatz zu den DCF-Modellen und dem CFROI basiert das EVA-Konzept (sowie </w:t>
      </w:r>
      <w:proofErr w:type="spellStart"/>
      <w:r w:rsidRPr="00316000">
        <w:t>aIle</w:t>
      </w:r>
      <w:proofErr w:type="spellEnd"/>
      <w:r w:rsidRPr="00316000">
        <w:t xml:space="preserve"> weiteren, </w:t>
      </w:r>
      <w:proofErr w:type="spellStart"/>
      <w:r w:rsidRPr="00316000">
        <w:t>ahnlichen</w:t>
      </w:r>
      <w:proofErr w:type="spellEnd"/>
      <w:r w:rsidRPr="00316000">
        <w:t xml:space="preserve"> </w:t>
      </w:r>
      <w:proofErr w:type="spellStart"/>
      <w:r w:rsidRPr="00316000">
        <w:t>Added</w:t>
      </w:r>
      <w:proofErr w:type="spellEnd"/>
      <w:r w:rsidRPr="00316000">
        <w:t xml:space="preserve">-Value-Konzepte) nicht auf Cashflows. </w:t>
      </w:r>
      <w:proofErr w:type="spellStart"/>
      <w:r w:rsidRPr="00316000">
        <w:t>Grundsatzlich</w:t>
      </w:r>
      <w:proofErr w:type="spellEnd"/>
      <w:r w:rsidRPr="00316000">
        <w:t xml:space="preserve"> wird beim </w:t>
      </w:r>
      <w:proofErr w:type="spellStart"/>
      <w:r w:rsidRPr="00316000">
        <w:t>Added</w:t>
      </w:r>
      <w:proofErr w:type="spellEnd"/>
      <w:r w:rsidRPr="00316000">
        <w:t xml:space="preserve">-Value </w:t>
      </w:r>
      <w:proofErr w:type="spellStart"/>
      <w:r w:rsidRPr="00316000">
        <w:t>zunachst</w:t>
      </w:r>
      <w:proofErr w:type="spellEnd"/>
      <w:r w:rsidRPr="00316000">
        <w:t xml:space="preserve"> eine </w:t>
      </w:r>
      <w:proofErr w:type="spellStart"/>
      <w:r w:rsidRPr="00316000">
        <w:t>ErfolgsgroBe</w:t>
      </w:r>
      <w:proofErr w:type="spellEnd"/>
      <w:r w:rsidRPr="00316000">
        <w:t xml:space="preserve"> ermittelt, die vom operativen Ergebnis ausgeht. Von dieser werden dann die Nutzungskosten des eingesetzten Kapitals, die so genannte "Capital Charge" abgezogen. Bei dem EVA handelt es sich </w:t>
      </w:r>
      <w:proofErr w:type="spellStart"/>
      <w:r w:rsidRPr="00316000">
        <w:t>urn</w:t>
      </w:r>
      <w:proofErr w:type="spellEnd"/>
      <w:r w:rsidRPr="00316000">
        <w:t xml:space="preserve"> eine </w:t>
      </w:r>
      <w:proofErr w:type="spellStart"/>
      <w:r w:rsidRPr="00316000">
        <w:t>PeriodenerfolgsgroBe</w:t>
      </w:r>
      <w:proofErr w:type="spellEnd"/>
      <w:r w:rsidRPr="00316000">
        <w:t xml:space="preserve">, auch Residualeinkommensgro15e, die, sofern positiv, anzeigt, welcher Unternehmenswert in der betreffenden Periode geschaffen wurde. </w:t>
      </w:r>
      <w:proofErr w:type="spellStart"/>
      <w:r w:rsidRPr="00316000">
        <w:t>Fiir</w:t>
      </w:r>
      <w:proofErr w:type="spellEnd"/>
      <w:r w:rsidRPr="00316000">
        <w:t xml:space="preserve"> die Berechnung des EVA werden als Ausgangsbasis die Kapitalrendite (Rate </w:t>
      </w:r>
      <w:proofErr w:type="spellStart"/>
      <w:r w:rsidRPr="00316000">
        <w:t>of</w:t>
      </w:r>
      <w:proofErr w:type="spellEnd"/>
      <w:r w:rsidRPr="00316000">
        <w:t xml:space="preserve"> Return), der Kapitalkostensatz (</w:t>
      </w:r>
      <w:proofErr w:type="spellStart"/>
      <w:r w:rsidRPr="00316000">
        <w:t>Cost</w:t>
      </w:r>
      <w:proofErr w:type="spellEnd"/>
      <w:r w:rsidRPr="00316000">
        <w:t xml:space="preserve"> </w:t>
      </w:r>
      <w:proofErr w:type="spellStart"/>
      <w:r w:rsidRPr="00316000">
        <w:t>of</w:t>
      </w:r>
      <w:proofErr w:type="spellEnd"/>
      <w:r w:rsidRPr="00316000">
        <w:t xml:space="preserve"> Capital) sowie das Betriebskapital (Capital, auch EBV - </w:t>
      </w:r>
      <w:proofErr w:type="spellStart"/>
      <w:r w:rsidRPr="00316000">
        <w:t>Economic</w:t>
      </w:r>
      <w:proofErr w:type="spellEnd"/>
      <w:r w:rsidRPr="00316000">
        <w:t xml:space="preserve"> Book Value) </w:t>
      </w:r>
      <w:proofErr w:type="spellStart"/>
      <w:r w:rsidRPr="00316000">
        <w:t>benotigt</w:t>
      </w:r>
      <w:proofErr w:type="spellEnd"/>
      <w:r w:rsidRPr="00316000">
        <w:t xml:space="preserve">. </w:t>
      </w:r>
      <w:r w:rsidRPr="00316000">
        <w:rPr>
          <w:lang w:val="en-GB"/>
        </w:rPr>
        <w:t xml:space="preserve">Das EVA </w:t>
      </w:r>
      <w:proofErr w:type="spellStart"/>
      <w:r w:rsidRPr="00316000">
        <w:rPr>
          <w:lang w:val="en-GB"/>
        </w:rPr>
        <w:t>errechnet</w:t>
      </w:r>
      <w:proofErr w:type="spellEnd"/>
      <w:r w:rsidRPr="00316000">
        <w:rPr>
          <w:lang w:val="en-GB"/>
        </w:rPr>
        <w:t xml:space="preserve"> </w:t>
      </w:r>
      <w:proofErr w:type="spellStart"/>
      <w:r w:rsidRPr="00316000">
        <w:rPr>
          <w:lang w:val="en-GB"/>
        </w:rPr>
        <w:t>sich</w:t>
      </w:r>
      <w:proofErr w:type="spellEnd"/>
      <w:r w:rsidRPr="00316000">
        <w:rPr>
          <w:lang w:val="en-GB"/>
        </w:rPr>
        <w:t xml:space="preserve"> </w:t>
      </w:r>
      <w:proofErr w:type="spellStart"/>
      <w:r w:rsidRPr="00316000">
        <w:rPr>
          <w:lang w:val="en-GB"/>
        </w:rPr>
        <w:t>dann</w:t>
      </w:r>
      <w:proofErr w:type="spellEnd"/>
      <w:r w:rsidRPr="00316000">
        <w:rPr>
          <w:lang w:val="en-GB"/>
        </w:rPr>
        <w:t xml:space="preserve"> </w:t>
      </w:r>
      <w:proofErr w:type="spellStart"/>
      <w:r w:rsidRPr="00316000">
        <w:rPr>
          <w:lang w:val="en-GB"/>
        </w:rPr>
        <w:t>wie</w:t>
      </w:r>
      <w:proofErr w:type="spellEnd"/>
      <w:r w:rsidRPr="00316000">
        <w:rPr>
          <w:lang w:val="en-GB"/>
        </w:rPr>
        <w:t xml:space="preserve"> </w:t>
      </w:r>
      <w:proofErr w:type="spellStart"/>
      <w:r w:rsidRPr="00316000">
        <w:rPr>
          <w:lang w:val="en-GB"/>
        </w:rPr>
        <w:t>folgt</w:t>
      </w:r>
      <w:proofErr w:type="spellEnd"/>
      <w:r w:rsidRPr="00316000">
        <w:rPr>
          <w:lang w:val="en-GB"/>
        </w:rPr>
        <w:t xml:space="preserve">: EVA = (rate of </w:t>
      </w:r>
      <w:r w:rsidRPr="00316000">
        <w:rPr>
          <w:lang w:val="en-GB"/>
        </w:rPr>
        <w:lastRenderedPageBreak/>
        <w:t xml:space="preserve">return - cost of capital). capital Da cost of capital. capital die Capital Charge </w:t>
      </w:r>
      <w:proofErr w:type="spellStart"/>
      <w:r w:rsidRPr="00316000">
        <w:rPr>
          <w:lang w:val="en-GB"/>
        </w:rPr>
        <w:t>ergibt</w:t>
      </w:r>
      <w:proofErr w:type="spellEnd"/>
      <w:r w:rsidRPr="00316000">
        <w:rPr>
          <w:lang w:val="en-GB"/>
        </w:rPr>
        <w:t xml:space="preserve">, </w:t>
      </w:r>
      <w:proofErr w:type="spellStart"/>
      <w:r w:rsidRPr="00316000">
        <w:rPr>
          <w:lang w:val="en-GB"/>
        </w:rPr>
        <w:t>erhiilt</w:t>
      </w:r>
      <w:proofErr w:type="spellEnd"/>
      <w:r w:rsidRPr="00316000">
        <w:rPr>
          <w:lang w:val="en-GB"/>
        </w:rPr>
        <w:t xml:space="preserve"> man </w:t>
      </w:r>
      <w:proofErr w:type="spellStart"/>
      <w:r w:rsidRPr="00316000">
        <w:rPr>
          <w:lang w:val="en-GB"/>
        </w:rPr>
        <w:t>durch</w:t>
      </w:r>
      <w:proofErr w:type="spellEnd"/>
      <w:r w:rsidRPr="00316000">
        <w:rPr>
          <w:lang w:val="en-GB"/>
        </w:rPr>
        <w:t xml:space="preserve"> </w:t>
      </w:r>
      <w:proofErr w:type="spellStart"/>
      <w:r w:rsidRPr="00316000">
        <w:rPr>
          <w:lang w:val="en-GB"/>
        </w:rPr>
        <w:t>Ausmultiplizieren</w:t>
      </w:r>
      <w:proofErr w:type="spellEnd"/>
      <w:r w:rsidRPr="00316000">
        <w:rPr>
          <w:lang w:val="en-GB"/>
        </w:rPr>
        <w:t xml:space="preserve">: EVA = NOPAT - capital charge. </w:t>
      </w:r>
    </w:p>
    <w:p w14:paraId="011C74DC" w14:textId="5377F6E7" w:rsidR="0051072F" w:rsidRPr="00316000" w:rsidRDefault="0051072F">
      <w:r w:rsidRPr="00316000">
        <w:t xml:space="preserve">Hervorstechendes Merkmal des EVA ist dabei seine </w:t>
      </w:r>
      <w:proofErr w:type="spellStart"/>
      <w:r w:rsidRPr="00316000">
        <w:t>vollstandige</w:t>
      </w:r>
      <w:proofErr w:type="spellEnd"/>
      <w:r w:rsidRPr="00316000">
        <w:t xml:space="preserve"> Orientierung an den Daten des externen Rechnungswesens (jahresabschlussbasiert), wodurch es auch fi.ir externe Analysten errechenbar ist. </w:t>
      </w:r>
      <w:proofErr w:type="spellStart"/>
      <w:r w:rsidRPr="00316000">
        <w:t>Dariiber</w:t>
      </w:r>
      <w:proofErr w:type="spellEnd"/>
      <w:r w:rsidRPr="00316000">
        <w:t xml:space="preserve"> hinaus ist der EVA allerdings ex-post-orientiert und dient daher eher der Performance-Messung des Managements. Zur Berechnung eines Unternehmenswertes bzw. Marktwert des Eigenkapitals </w:t>
      </w:r>
      <w:proofErr w:type="spellStart"/>
      <w:r w:rsidRPr="00316000">
        <w:t>miissen</w:t>
      </w:r>
      <w:proofErr w:type="spellEnd"/>
      <w:r w:rsidRPr="00316000">
        <w:t xml:space="preserve"> auf der Grundlage von Plan-</w:t>
      </w:r>
      <w:proofErr w:type="spellStart"/>
      <w:r w:rsidRPr="00316000">
        <w:t>Jahresabschliissen</w:t>
      </w:r>
      <w:proofErr w:type="spellEnd"/>
      <w:r w:rsidRPr="00316000">
        <w:t xml:space="preserve"> Planwerte fi.ir NOPAT und Capital Charge bzw. EBV bestimmt werden. Der Kapitalwert, der sich auf Grundlage der abgezinsten EVA des Planungszeitraumes und der ewigen EVAs ergibt, wird als Market Value </w:t>
      </w:r>
      <w:proofErr w:type="spellStart"/>
      <w:r w:rsidRPr="00316000">
        <w:t>Added</w:t>
      </w:r>
      <w:proofErr w:type="spellEnd"/>
      <w:r w:rsidRPr="00316000">
        <w:t xml:space="preserve"> (MVA) bezeichnet. Der Marktwert des Eigenkapitals ergibt sich aus der Addition des MVA, des EBV sowie des Marktwertes des nicht betriebsnotwendigen </w:t>
      </w:r>
      <w:proofErr w:type="spellStart"/>
      <w:r w:rsidRPr="00316000">
        <w:t>Vermogens</w:t>
      </w:r>
      <w:proofErr w:type="spellEnd"/>
      <w:r w:rsidRPr="00316000">
        <w:t xml:space="preserve"> </w:t>
      </w:r>
      <w:proofErr w:type="spellStart"/>
      <w:r w:rsidRPr="00316000">
        <w:t>abziiglich</w:t>
      </w:r>
      <w:proofErr w:type="spellEnd"/>
      <w:r w:rsidRPr="00316000">
        <w:t xml:space="preserve"> des Marktwertes des verzinslichen Fremdkapitals.</w:t>
      </w:r>
    </w:p>
    <w:p w14:paraId="18B47BB2" w14:textId="77777777" w:rsidR="00EC2767" w:rsidRPr="00316000" w:rsidRDefault="00EC2767" w:rsidP="00EC2767">
      <w:pPr>
        <w:rPr>
          <w:b/>
          <w:bCs/>
        </w:rPr>
      </w:pPr>
    </w:p>
    <w:p w14:paraId="3A51A7AE" w14:textId="77777777" w:rsidR="00EC2767" w:rsidRPr="00316000" w:rsidRDefault="00EC2767" w:rsidP="00EC2767">
      <w:pPr>
        <w:rPr>
          <w:b/>
          <w:bCs/>
        </w:rPr>
      </w:pPr>
    </w:p>
    <w:p w14:paraId="6C54AA8C" w14:textId="77777777" w:rsidR="00EC2767" w:rsidRPr="00316000" w:rsidRDefault="00EC2767" w:rsidP="00EC2767">
      <w:pPr>
        <w:rPr>
          <w:b/>
          <w:bCs/>
        </w:rPr>
      </w:pPr>
    </w:p>
    <w:p w14:paraId="62D697E9" w14:textId="77777777" w:rsidR="00EC2767" w:rsidRPr="00316000" w:rsidRDefault="00EC2767" w:rsidP="00EC2767">
      <w:pPr>
        <w:rPr>
          <w:b/>
          <w:bCs/>
        </w:rPr>
      </w:pPr>
    </w:p>
    <w:p w14:paraId="4460C005" w14:textId="77777777" w:rsidR="00EC2767" w:rsidRPr="00316000" w:rsidRDefault="00EC2767" w:rsidP="00EC2767">
      <w:pPr>
        <w:rPr>
          <w:b/>
          <w:bCs/>
        </w:rPr>
      </w:pPr>
    </w:p>
    <w:p w14:paraId="511EB83B" w14:textId="77777777" w:rsidR="00EC2767" w:rsidRPr="00316000" w:rsidRDefault="00EC2767" w:rsidP="00EC2767">
      <w:pPr>
        <w:rPr>
          <w:b/>
          <w:bCs/>
        </w:rPr>
      </w:pPr>
    </w:p>
    <w:p w14:paraId="4FC244C9" w14:textId="77777777" w:rsidR="00EC2767" w:rsidRPr="00316000" w:rsidRDefault="00EC2767" w:rsidP="00EC2767">
      <w:pPr>
        <w:rPr>
          <w:b/>
          <w:bCs/>
        </w:rPr>
      </w:pPr>
    </w:p>
    <w:p w14:paraId="21722FD0" w14:textId="77777777" w:rsidR="00EC2767" w:rsidRPr="00316000" w:rsidRDefault="00EC2767" w:rsidP="00EC2767">
      <w:pPr>
        <w:rPr>
          <w:b/>
          <w:bCs/>
        </w:rPr>
      </w:pPr>
    </w:p>
    <w:p w14:paraId="202F9BC0" w14:textId="77777777" w:rsidR="00EC2767" w:rsidRPr="00316000" w:rsidRDefault="00EC2767" w:rsidP="00EC2767">
      <w:pPr>
        <w:rPr>
          <w:b/>
          <w:bCs/>
        </w:rPr>
      </w:pPr>
    </w:p>
    <w:p w14:paraId="35643745" w14:textId="77777777" w:rsidR="00EC2767" w:rsidRPr="00316000" w:rsidRDefault="00EC2767" w:rsidP="00EC2767">
      <w:pPr>
        <w:rPr>
          <w:b/>
          <w:bCs/>
        </w:rPr>
      </w:pPr>
    </w:p>
    <w:p w14:paraId="565F256F" w14:textId="77777777" w:rsidR="00EC2767" w:rsidRPr="00316000" w:rsidRDefault="00EC2767" w:rsidP="00EC2767">
      <w:pPr>
        <w:rPr>
          <w:b/>
          <w:bCs/>
        </w:rPr>
      </w:pPr>
    </w:p>
    <w:p w14:paraId="7FC5EF76" w14:textId="77777777" w:rsidR="00EC2767" w:rsidRPr="00316000" w:rsidRDefault="00EC2767" w:rsidP="00EC2767">
      <w:pPr>
        <w:rPr>
          <w:b/>
          <w:bCs/>
        </w:rPr>
      </w:pPr>
    </w:p>
    <w:p w14:paraId="45D757A2" w14:textId="77777777" w:rsidR="00EC2767" w:rsidRPr="00316000" w:rsidRDefault="00EC2767" w:rsidP="00EC2767">
      <w:pPr>
        <w:rPr>
          <w:b/>
          <w:bCs/>
        </w:rPr>
      </w:pPr>
    </w:p>
    <w:p w14:paraId="35FCD81A" w14:textId="77777777" w:rsidR="00EC2767" w:rsidRPr="00316000" w:rsidRDefault="00EC2767" w:rsidP="00EC2767">
      <w:pPr>
        <w:rPr>
          <w:b/>
          <w:bCs/>
        </w:rPr>
      </w:pPr>
    </w:p>
    <w:p w14:paraId="216E1540" w14:textId="77777777" w:rsidR="00EC2767" w:rsidRPr="00316000" w:rsidRDefault="00EC2767" w:rsidP="00EC2767">
      <w:pPr>
        <w:rPr>
          <w:b/>
          <w:bCs/>
        </w:rPr>
      </w:pPr>
    </w:p>
    <w:p w14:paraId="3BAF7F1E" w14:textId="3FFB2959" w:rsidR="00EC2767" w:rsidRPr="00EC2767" w:rsidRDefault="00EC2767" w:rsidP="00EC2767">
      <w:pPr>
        <w:rPr>
          <w:b/>
          <w:bCs/>
        </w:rPr>
      </w:pPr>
      <w:r w:rsidRPr="00EC2767">
        <w:rPr>
          <w:b/>
          <w:bCs/>
        </w:rPr>
        <w:lastRenderedPageBreak/>
        <w:t>Bilanzkennzahlen</w:t>
      </w:r>
    </w:p>
    <w:p w14:paraId="56AC773E" w14:textId="77777777" w:rsidR="00EC2767" w:rsidRPr="00EC2767" w:rsidRDefault="00EC2767" w:rsidP="00EC2767">
      <w:pPr>
        <w:rPr>
          <w:b/>
          <w:bCs/>
        </w:rPr>
      </w:pPr>
      <w:r w:rsidRPr="00EC2767">
        <w:rPr>
          <w:b/>
          <w:bCs/>
        </w:rPr>
        <w:t>Bilanzkennzahlen Definition</w:t>
      </w:r>
    </w:p>
    <w:p w14:paraId="31675B18" w14:textId="77777777" w:rsidR="00EC2767" w:rsidRPr="00EC2767" w:rsidRDefault="00EC2767" w:rsidP="00EC2767">
      <w:r w:rsidRPr="00EC2767">
        <w:rPr>
          <w:b/>
          <w:bCs/>
        </w:rPr>
        <w:t>Bilanzkennzahlen</w:t>
      </w:r>
      <w:r w:rsidRPr="00EC2767">
        <w:t> sollen im Rahmen der </w:t>
      </w:r>
      <w:r w:rsidRPr="00EC2767">
        <w:rPr>
          <w:b/>
          <w:bCs/>
        </w:rPr>
        <w:t>Bilanzanalyse</w:t>
      </w:r>
      <w:r w:rsidRPr="00EC2767">
        <w:t> einen Einblick in die Vermögens-, Finanz- und Ertragslage eines Unternehmens gewähren.</w:t>
      </w:r>
    </w:p>
    <w:p w14:paraId="651E6BD4" w14:textId="77777777" w:rsidR="00EC2767" w:rsidRPr="00EC2767" w:rsidRDefault="00EC2767" w:rsidP="00EC2767">
      <w:r w:rsidRPr="00EC2767">
        <w:t>Bilanzkennzahlen werden vom Unternehmen selbst, aber auch von Banken, Gläubigern, Investoren und Analysten berechnet und für Entscheidungen genutzt.</w:t>
      </w:r>
    </w:p>
    <w:p w14:paraId="5B1B8220" w14:textId="77777777" w:rsidR="00EC2767" w:rsidRPr="00EC2767" w:rsidRDefault="00EC2767" w:rsidP="00EC2767">
      <w:r w:rsidRPr="00EC2767">
        <w:t>In den folgenden Artikeln sollen die wichtigsten </w:t>
      </w:r>
      <w:r w:rsidRPr="00EC2767">
        <w:rPr>
          <w:b/>
          <w:bCs/>
        </w:rPr>
        <w:t>Bilanzkennzahlen</w:t>
      </w:r>
      <w:r w:rsidRPr="00EC2767">
        <w:t> jeweils inklusive </w:t>
      </w:r>
      <w:r w:rsidRPr="00EC2767">
        <w:rPr>
          <w:b/>
          <w:bCs/>
        </w:rPr>
        <w:t>Formeln</w:t>
      </w:r>
      <w:r w:rsidRPr="00EC2767">
        <w:t> und </w:t>
      </w:r>
      <w:r w:rsidRPr="00EC2767">
        <w:rPr>
          <w:b/>
          <w:bCs/>
        </w:rPr>
        <w:t>Interpretation</w:t>
      </w:r>
      <w:r w:rsidRPr="00EC2767">
        <w:t> erläutert werden.</w:t>
      </w:r>
    </w:p>
    <w:p w14:paraId="495BE4DC" w14:textId="77777777" w:rsidR="00EC2767" w:rsidRPr="00EC2767" w:rsidRDefault="00EC2767" w:rsidP="00EC2767">
      <w:pPr>
        <w:rPr>
          <w:b/>
          <w:bCs/>
        </w:rPr>
      </w:pPr>
      <w:r w:rsidRPr="00EC2767">
        <w:rPr>
          <w:b/>
          <w:bCs/>
        </w:rPr>
        <w:t>Bilanzkennzahlen — nur Bilanz?</w:t>
      </w:r>
    </w:p>
    <w:p w14:paraId="6567A097" w14:textId="77777777" w:rsidR="00EC2767" w:rsidRPr="00EC2767" w:rsidRDefault="00EC2767" w:rsidP="00EC2767">
      <w:r w:rsidRPr="00EC2767">
        <w:t>Der Begriff </w:t>
      </w:r>
      <w:r w:rsidRPr="00EC2767">
        <w:rPr>
          <w:b/>
          <w:bCs/>
        </w:rPr>
        <w:t>Bilanzkennzahlen</w:t>
      </w:r>
      <w:r w:rsidRPr="00EC2767">
        <w:t> wird nicht immer in dem Sinne trennscharf verwendet, als nur Kennzahlen auf Basis der Bilanz gemeint sind.</w:t>
      </w:r>
    </w:p>
    <w:p w14:paraId="5388A46F" w14:textId="77777777" w:rsidR="00EC2767" w:rsidRPr="00EC2767" w:rsidRDefault="00EC2767" w:rsidP="00EC2767">
      <w:r w:rsidRPr="00EC2767">
        <w:t>Vgl. in dem Zusammenhang auch </w:t>
      </w:r>
      <w:hyperlink r:id="rId5" w:history="1">
        <w:r w:rsidRPr="00EC2767">
          <w:rPr>
            <w:rStyle w:val="Hyperlink"/>
            <w:color w:val="auto"/>
          </w:rPr>
          <w:t>Kennzahlen der GuV</w:t>
        </w:r>
      </w:hyperlink>
      <w:r w:rsidRPr="00EC2767">
        <w:t> sowie </w:t>
      </w:r>
      <w:hyperlink r:id="rId6" w:history="1">
        <w:r w:rsidRPr="00EC2767">
          <w:rPr>
            <w:rStyle w:val="Hyperlink"/>
            <w:color w:val="auto"/>
          </w:rPr>
          <w:t>Rentabilität</w:t>
        </w:r>
      </w:hyperlink>
      <w:r w:rsidRPr="00EC2767">
        <w:t>.</w:t>
      </w:r>
    </w:p>
    <w:p w14:paraId="3C191F86" w14:textId="77777777" w:rsidR="00EC2767" w:rsidRPr="00EC2767" w:rsidRDefault="00EC2767" w:rsidP="00EC2767">
      <w:r w:rsidRPr="00EC2767">
        <w:t>ALTERNATIVE BEGRIFFE: Bilanzanalyse-Kennzahlen, Bilanzauswertung, Bilanzkennziffern, Bilanzkritik, Bilanzstrukturanalyse, Finanzkennzahlen, Kennzahlen Rechnungswesen.</w:t>
      </w:r>
    </w:p>
    <w:p w14:paraId="2ADB326B" w14:textId="77777777" w:rsidR="00EC2767" w:rsidRPr="00EC2767" w:rsidRDefault="00EC2767" w:rsidP="00EC2767">
      <w:pPr>
        <w:rPr>
          <w:b/>
          <w:bCs/>
        </w:rPr>
      </w:pPr>
      <w:r w:rsidRPr="00EC2767">
        <w:rPr>
          <w:b/>
          <w:bCs/>
        </w:rPr>
        <w:t>Zweck der Bilanzkennzahlen</w:t>
      </w:r>
    </w:p>
    <w:p w14:paraId="362A0B70" w14:textId="77777777" w:rsidR="00EC2767" w:rsidRPr="00EC2767" w:rsidRDefault="00EC2767" w:rsidP="00EC2767">
      <w:r w:rsidRPr="00EC2767">
        <w:t>Einzelne Bilanzposten (z.B.: Anlagevermögen in Höhe von 10 Mio. €) sind i.d.R. wenig aussagekräftig. Interessanter sind damit in Zusammenhang stehende Fragestellungen, z.B.</w:t>
      </w:r>
    </w:p>
    <w:p w14:paraId="060595FE" w14:textId="77777777" w:rsidR="00EC2767" w:rsidRPr="00EC2767" w:rsidRDefault="00EC2767" w:rsidP="00EC2767">
      <w:pPr>
        <w:numPr>
          <w:ilvl w:val="0"/>
          <w:numId w:val="1"/>
        </w:numPr>
      </w:pPr>
      <w:r w:rsidRPr="00EC2767">
        <w:rPr>
          <w:i/>
          <w:iCs/>
        </w:rPr>
        <w:t>wie viel macht das Anlagevermögen vom Gesamtvermögen aus?</w:t>
      </w:r>
      <w:r w:rsidRPr="00EC2767">
        <w:t> (Kennzahl: Anlagenintensität) oder</w:t>
      </w:r>
    </w:p>
    <w:p w14:paraId="1F57DDA2" w14:textId="77777777" w:rsidR="00EC2767" w:rsidRPr="00EC2767" w:rsidRDefault="00EC2767" w:rsidP="00EC2767">
      <w:pPr>
        <w:numPr>
          <w:ilvl w:val="0"/>
          <w:numId w:val="1"/>
        </w:numPr>
      </w:pPr>
      <w:r w:rsidRPr="00EC2767">
        <w:rPr>
          <w:i/>
          <w:iCs/>
        </w:rPr>
        <w:t>ist das Anlagevermögen auch entsprechend langfristig finanziert?</w:t>
      </w:r>
      <w:r w:rsidRPr="00EC2767">
        <w:t> (Kennzahl: Goldene Bilanzregel).</w:t>
      </w:r>
    </w:p>
    <w:p w14:paraId="08DE57B6" w14:textId="77777777" w:rsidR="00EC2767" w:rsidRPr="00EC2767" w:rsidRDefault="00EC2767" w:rsidP="00EC2767">
      <w:r w:rsidRPr="00EC2767">
        <w:t>Die </w:t>
      </w:r>
      <w:r w:rsidRPr="00EC2767">
        <w:rPr>
          <w:b/>
          <w:bCs/>
        </w:rPr>
        <w:t>Bilanzkennziffern</w:t>
      </w:r>
      <w:r w:rsidRPr="00EC2767">
        <w:t> setzen Posten der Bilanz in ein Verhältnis zueinander. Dies kann </w:t>
      </w:r>
      <w:r w:rsidRPr="00EC2767">
        <w:rPr>
          <w:b/>
          <w:bCs/>
        </w:rPr>
        <w:t>"vertikal"</w:t>
      </w:r>
      <w:r w:rsidRPr="00EC2767">
        <w:t xml:space="preserve"> (d.h. Posten der </w:t>
      </w:r>
      <w:proofErr w:type="spellStart"/>
      <w:r w:rsidRPr="00EC2767">
        <w:t>Aktivaseite</w:t>
      </w:r>
      <w:proofErr w:type="spellEnd"/>
      <w:r w:rsidRPr="00EC2767">
        <w:t xml:space="preserve"> der Bilanz werden in ein Verhältnis zueinander gesetzt; oder entsprechend Posten der </w:t>
      </w:r>
      <w:proofErr w:type="spellStart"/>
      <w:r w:rsidRPr="00EC2767">
        <w:t>Passivaseite</w:t>
      </w:r>
      <w:proofErr w:type="spellEnd"/>
      <w:r w:rsidRPr="00EC2767">
        <w:t>) oder </w:t>
      </w:r>
      <w:r w:rsidRPr="00EC2767">
        <w:rPr>
          <w:b/>
          <w:bCs/>
        </w:rPr>
        <w:t>"horizontal"</w:t>
      </w:r>
      <w:r w:rsidRPr="00EC2767">
        <w:t xml:space="preserve"> (Posten der </w:t>
      </w:r>
      <w:proofErr w:type="spellStart"/>
      <w:r w:rsidRPr="00EC2767">
        <w:t>Aktivaseite</w:t>
      </w:r>
      <w:proofErr w:type="spellEnd"/>
      <w:r w:rsidRPr="00EC2767">
        <w:t xml:space="preserve"> werden in Beziehung zu Posten der </w:t>
      </w:r>
      <w:proofErr w:type="spellStart"/>
      <w:r w:rsidRPr="00EC2767">
        <w:t>Passivaseite</w:t>
      </w:r>
      <w:proofErr w:type="spellEnd"/>
      <w:r w:rsidRPr="00EC2767">
        <w:t xml:space="preserve"> gesetzt) geschehen.</w:t>
      </w:r>
    </w:p>
    <w:p w14:paraId="54D79C03" w14:textId="77777777" w:rsidR="00EC2767" w:rsidRPr="00EC2767" w:rsidRDefault="00EC2767" w:rsidP="00EC2767">
      <w:r w:rsidRPr="00EC2767">
        <w:lastRenderedPageBreak/>
        <w:t>Daraus lassen sich Erkenntnisse über die </w:t>
      </w:r>
      <w:r w:rsidRPr="00EC2767">
        <w:rPr>
          <w:b/>
          <w:bCs/>
        </w:rPr>
        <w:t>Finanzierung</w:t>
      </w:r>
      <w:r w:rsidRPr="00EC2767">
        <w:t>, die </w:t>
      </w:r>
      <w:r w:rsidRPr="00EC2767">
        <w:rPr>
          <w:b/>
          <w:bCs/>
        </w:rPr>
        <w:t>Flexibilität</w:t>
      </w:r>
      <w:r w:rsidRPr="00EC2767">
        <w:t> (bei rückläufigem Geschäft), die </w:t>
      </w:r>
      <w:r w:rsidRPr="00EC2767">
        <w:rPr>
          <w:b/>
          <w:bCs/>
        </w:rPr>
        <w:t>Bonität</w:t>
      </w:r>
      <w:r w:rsidRPr="00EC2767">
        <w:t> (Kreditwürdigkeit) oder die </w:t>
      </w:r>
      <w:r w:rsidRPr="00EC2767">
        <w:rPr>
          <w:b/>
          <w:bCs/>
        </w:rPr>
        <w:t>finanzielle Stabilität</w:t>
      </w:r>
      <w:r w:rsidRPr="00EC2767">
        <w:t> eines Unternehmens gewinnen.</w:t>
      </w:r>
    </w:p>
    <w:p w14:paraId="6E88F016" w14:textId="77777777" w:rsidR="00EC2767" w:rsidRPr="00EC2767" w:rsidRDefault="00EC2767" w:rsidP="00EC2767">
      <w:pPr>
        <w:rPr>
          <w:b/>
          <w:bCs/>
        </w:rPr>
      </w:pPr>
      <w:r w:rsidRPr="00EC2767">
        <w:rPr>
          <w:b/>
          <w:bCs/>
        </w:rPr>
        <w:t>Bilanzkennzahlen Übersicht</w:t>
      </w:r>
    </w:p>
    <w:p w14:paraId="166F6365" w14:textId="77777777" w:rsidR="00EC2767" w:rsidRPr="00EC2767" w:rsidRDefault="00EC2767" w:rsidP="00EC2767">
      <w:r w:rsidRPr="00EC2767">
        <w:t>Die Bilanzkennzahlen stellen sich in der Übersicht und gegliedert nach Bilanzzusammenhängen wie folgt dar:</w:t>
      </w:r>
    </w:p>
    <w:p w14:paraId="4A44E6A4" w14:textId="77777777" w:rsidR="00EC2767" w:rsidRPr="00EC2767" w:rsidRDefault="00EC2767" w:rsidP="00EC2767">
      <w:pPr>
        <w:rPr>
          <w:b/>
          <w:bCs/>
        </w:rPr>
      </w:pPr>
      <w:r w:rsidRPr="00EC2767">
        <w:rPr>
          <w:b/>
          <w:bCs/>
        </w:rPr>
        <w:t>Bilanzanalyse-Kennzahlen in der Übersicht:</w:t>
      </w:r>
    </w:p>
    <w:p w14:paraId="50511052" w14:textId="77777777" w:rsidR="00EC2767" w:rsidRPr="00EC2767" w:rsidRDefault="00EC2767" w:rsidP="00EC2767">
      <w:pPr>
        <w:numPr>
          <w:ilvl w:val="0"/>
          <w:numId w:val="2"/>
        </w:numPr>
      </w:pPr>
      <w:r w:rsidRPr="00EC2767">
        <w:t>Vertikale Bilanzstruktur</w:t>
      </w:r>
    </w:p>
    <w:p w14:paraId="76014092" w14:textId="77777777" w:rsidR="00EC2767" w:rsidRPr="00316000" w:rsidRDefault="00EC2767" w:rsidP="00EC2767">
      <w:pPr>
        <w:pStyle w:val="Listenabsatz"/>
        <w:numPr>
          <w:ilvl w:val="0"/>
          <w:numId w:val="2"/>
        </w:numPr>
      </w:pPr>
      <w:r w:rsidRPr="00316000">
        <w:t>Vermögensstruktur</w:t>
      </w:r>
    </w:p>
    <w:p w14:paraId="2917224B" w14:textId="77777777" w:rsidR="00EC2767" w:rsidRPr="00316000" w:rsidRDefault="00EC2767" w:rsidP="00EC2767">
      <w:pPr>
        <w:pStyle w:val="Listenabsatz"/>
        <w:numPr>
          <w:ilvl w:val="1"/>
          <w:numId w:val="2"/>
        </w:numPr>
      </w:pPr>
      <w:r w:rsidRPr="00316000">
        <w:t>Anlagenintensität</w:t>
      </w:r>
    </w:p>
    <w:p w14:paraId="778B5775" w14:textId="77777777" w:rsidR="00EC2767" w:rsidRPr="00316000" w:rsidRDefault="00EC2767" w:rsidP="00EC2767">
      <w:pPr>
        <w:pStyle w:val="Listenabsatz"/>
        <w:numPr>
          <w:ilvl w:val="1"/>
          <w:numId w:val="2"/>
        </w:numPr>
      </w:pPr>
      <w:r w:rsidRPr="00316000">
        <w:t>Umlaufintensität</w:t>
      </w:r>
    </w:p>
    <w:p w14:paraId="37A716E5" w14:textId="77777777" w:rsidR="00EC2767" w:rsidRPr="00316000" w:rsidRDefault="00EC2767" w:rsidP="00EC2767">
      <w:pPr>
        <w:pStyle w:val="Listenabsatz"/>
        <w:numPr>
          <w:ilvl w:val="0"/>
          <w:numId w:val="2"/>
        </w:numPr>
      </w:pPr>
      <w:r w:rsidRPr="00316000">
        <w:t>Kapitalstruktur</w:t>
      </w:r>
    </w:p>
    <w:p w14:paraId="20261E8B" w14:textId="77777777" w:rsidR="00EC2767" w:rsidRPr="00316000" w:rsidRDefault="00EC2767" w:rsidP="00EC2767">
      <w:pPr>
        <w:pStyle w:val="Listenabsatz"/>
        <w:numPr>
          <w:ilvl w:val="1"/>
          <w:numId w:val="2"/>
        </w:numPr>
      </w:pPr>
      <w:r w:rsidRPr="00316000">
        <w:t>Eigenkapitalquote</w:t>
      </w:r>
    </w:p>
    <w:p w14:paraId="716E7BAE" w14:textId="77777777" w:rsidR="00EC2767" w:rsidRPr="00316000" w:rsidRDefault="00EC2767" w:rsidP="00EC2767">
      <w:pPr>
        <w:pStyle w:val="Listenabsatz"/>
        <w:numPr>
          <w:ilvl w:val="1"/>
          <w:numId w:val="2"/>
        </w:numPr>
      </w:pPr>
      <w:r w:rsidRPr="00316000">
        <w:t>Fremdkapitalquote</w:t>
      </w:r>
    </w:p>
    <w:p w14:paraId="368BC377" w14:textId="77777777" w:rsidR="00EC2767" w:rsidRPr="00316000" w:rsidRDefault="00EC2767" w:rsidP="00EC2767">
      <w:pPr>
        <w:pStyle w:val="Listenabsatz"/>
        <w:numPr>
          <w:ilvl w:val="1"/>
          <w:numId w:val="2"/>
        </w:numPr>
      </w:pPr>
      <w:r w:rsidRPr="00316000">
        <w:t>Verschuldungsgrad</w:t>
      </w:r>
    </w:p>
    <w:p w14:paraId="2AD66C72" w14:textId="77777777" w:rsidR="00EC2767" w:rsidRPr="00316000" w:rsidRDefault="00EC2767" w:rsidP="00EC2767">
      <w:pPr>
        <w:pStyle w:val="Listenabsatz"/>
        <w:numPr>
          <w:ilvl w:val="0"/>
          <w:numId w:val="2"/>
        </w:numPr>
      </w:pPr>
      <w:r w:rsidRPr="00316000">
        <w:t>Horizontale Bilanzstruktur</w:t>
      </w:r>
    </w:p>
    <w:p w14:paraId="7F0B1E70" w14:textId="77777777" w:rsidR="00EC2767" w:rsidRPr="00316000" w:rsidRDefault="00EC2767" w:rsidP="00EC2767">
      <w:pPr>
        <w:pStyle w:val="Listenabsatz"/>
        <w:numPr>
          <w:ilvl w:val="1"/>
          <w:numId w:val="2"/>
        </w:numPr>
      </w:pPr>
      <w:r w:rsidRPr="00316000">
        <w:t>Horizontale Finanzierungsregeln</w:t>
      </w:r>
    </w:p>
    <w:p w14:paraId="689BA466" w14:textId="77777777" w:rsidR="00EC2767" w:rsidRPr="00316000" w:rsidRDefault="00EC2767" w:rsidP="00EC2767">
      <w:pPr>
        <w:pStyle w:val="Listenabsatz"/>
        <w:numPr>
          <w:ilvl w:val="2"/>
          <w:numId w:val="2"/>
        </w:numPr>
      </w:pPr>
      <w:r w:rsidRPr="00316000">
        <w:t>Goldene Bilanzregel</w:t>
      </w:r>
    </w:p>
    <w:p w14:paraId="35FEC4AE" w14:textId="77777777" w:rsidR="00EC2767" w:rsidRPr="00316000" w:rsidRDefault="00EC2767" w:rsidP="00EC2767">
      <w:pPr>
        <w:pStyle w:val="Listenabsatz"/>
        <w:numPr>
          <w:ilvl w:val="2"/>
          <w:numId w:val="2"/>
        </w:numPr>
      </w:pPr>
      <w:r w:rsidRPr="00316000">
        <w:t>Goldene Finanzierungsregel</w:t>
      </w:r>
    </w:p>
    <w:p w14:paraId="09CC2912" w14:textId="77777777" w:rsidR="00EC2767" w:rsidRPr="00316000" w:rsidRDefault="00EC2767" w:rsidP="00EC2767">
      <w:pPr>
        <w:pStyle w:val="Listenabsatz"/>
        <w:numPr>
          <w:ilvl w:val="2"/>
          <w:numId w:val="2"/>
        </w:numPr>
      </w:pPr>
      <w:r w:rsidRPr="00316000">
        <w:t>Working Capital</w:t>
      </w:r>
    </w:p>
    <w:p w14:paraId="7850538E" w14:textId="77777777" w:rsidR="00EC2767" w:rsidRPr="00316000" w:rsidRDefault="00EC2767" w:rsidP="00EC2767">
      <w:pPr>
        <w:pStyle w:val="Listenabsatz"/>
        <w:numPr>
          <w:ilvl w:val="1"/>
          <w:numId w:val="2"/>
        </w:numPr>
      </w:pPr>
      <w:r w:rsidRPr="00316000">
        <w:t>Liquiditätsgrade</w:t>
      </w:r>
    </w:p>
    <w:p w14:paraId="31608239" w14:textId="446C2B05" w:rsidR="00EC2767" w:rsidRPr="00EC2767" w:rsidRDefault="00EC2767" w:rsidP="00EC2767">
      <w:r w:rsidRPr="00316000">
        <w:rPr>
          <w:noProof/>
        </w:rPr>
        <w:drawing>
          <wp:inline distT="0" distB="0" distL="0" distR="0" wp14:anchorId="27C495B1" wp14:editId="51A8665F">
            <wp:extent cx="7620" cy="7620"/>
            <wp:effectExtent l="0" t="0" r="0" b="0"/>
            <wp:docPr id="1529405828"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 cy="7620"/>
                    </a:xfrm>
                    <a:prstGeom prst="rect">
                      <a:avLst/>
                    </a:prstGeom>
                    <a:noFill/>
                    <a:ln>
                      <a:noFill/>
                    </a:ln>
                  </pic:spPr>
                </pic:pic>
              </a:graphicData>
            </a:graphic>
          </wp:inline>
        </w:drawing>
      </w:r>
    </w:p>
    <w:p w14:paraId="5A2A7EAD" w14:textId="77777777" w:rsidR="00EC2767" w:rsidRPr="00316000" w:rsidRDefault="00EC2767"/>
    <w:p w14:paraId="6773FD0E" w14:textId="77777777" w:rsidR="00EC2767" w:rsidRPr="00316000" w:rsidRDefault="00EC2767"/>
    <w:p w14:paraId="4AA8AA8B" w14:textId="77777777" w:rsidR="00F52378" w:rsidRPr="00316000" w:rsidRDefault="00F52378"/>
    <w:p w14:paraId="70E85B9A" w14:textId="77777777" w:rsidR="00F52378" w:rsidRPr="00316000" w:rsidRDefault="00F52378"/>
    <w:p w14:paraId="647A2BF4" w14:textId="77777777" w:rsidR="00F52378" w:rsidRPr="00316000" w:rsidRDefault="00F52378"/>
    <w:p w14:paraId="7DA757C6" w14:textId="77777777" w:rsidR="00F52378" w:rsidRPr="00316000" w:rsidRDefault="00F52378"/>
    <w:p w14:paraId="54296507" w14:textId="77777777" w:rsidR="00F52378" w:rsidRPr="00316000" w:rsidRDefault="00F52378"/>
    <w:p w14:paraId="6884233F" w14:textId="4176355C" w:rsidR="00F52378" w:rsidRPr="00F52378" w:rsidRDefault="00F52378" w:rsidP="00F52378">
      <w:pPr>
        <w:rPr>
          <w:b/>
          <w:bCs/>
          <w:sz w:val="32"/>
          <w:szCs w:val="28"/>
        </w:rPr>
      </w:pPr>
      <w:r w:rsidRPr="00F52378">
        <w:rPr>
          <w:b/>
          <w:bCs/>
          <w:sz w:val="32"/>
          <w:szCs w:val="28"/>
        </w:rPr>
        <w:lastRenderedPageBreak/>
        <w:t>Bilanzkennzahlen: Interpretation richtig gemacht</w:t>
      </w:r>
    </w:p>
    <w:p w14:paraId="304904E0" w14:textId="77777777" w:rsidR="00F52378" w:rsidRPr="00F52378" w:rsidRDefault="00F52378" w:rsidP="00F52378">
      <w:r w:rsidRPr="00F52378">
        <w:t>Die Analyse der </w:t>
      </w:r>
      <w:hyperlink r:id="rId8" w:tooltip="Bilanzkennzahlen" w:history="1">
        <w:r w:rsidRPr="00F52378">
          <w:rPr>
            <w:rStyle w:val="Hyperlink"/>
            <w:color w:val="auto"/>
          </w:rPr>
          <w:t>Bilanzkennzahlen</w:t>
        </w:r>
      </w:hyperlink>
      <w:r w:rsidRPr="00F52378">
        <w:t> befasst sich mit der Untersuchung der derzeitigen und zukünftigen wirtschaftlichen Lage von Unternehmen anhand des Jahresabschlusses.</w:t>
      </w:r>
    </w:p>
    <w:p w14:paraId="7C4CC8CF" w14:textId="77777777" w:rsidR="00F52378" w:rsidRPr="00F52378" w:rsidRDefault="00F52378" w:rsidP="00F52378">
      <w:r w:rsidRPr="00F52378">
        <w:t>Dieser ergibt sich aus der </w:t>
      </w:r>
      <w:hyperlink r:id="rId9" w:tooltip="Bilanz" w:history="1">
        <w:r w:rsidRPr="00F52378">
          <w:rPr>
            <w:rStyle w:val="Hyperlink"/>
            <w:color w:val="auto"/>
          </w:rPr>
          <w:t>Bilanz</w:t>
        </w:r>
      </w:hyperlink>
      <w:r w:rsidRPr="00F52378">
        <w:t>, der Gewinn- und Verlustrechnung sowie dem Anhang und eventuell einem Lagebericht. Diese Analyse kann intern, also vom Unternehmen selbst, oder extern, also von einem Analysten durchgeführt werden.</w:t>
      </w:r>
    </w:p>
    <w:p w14:paraId="28C09953" w14:textId="77777777" w:rsidR="00F52378" w:rsidRPr="00F52378" w:rsidRDefault="00F52378" w:rsidP="00F52378">
      <w:r w:rsidRPr="00F52378">
        <w:t>Mithilfe der Bilanzanalyse können außerdem einige Kennzahlen eines Unternehmens ermittelt werden, die auch über die Möglichkeiten zur Erfüllung externer Forderungen Auskunft geben können.</w:t>
      </w:r>
    </w:p>
    <w:p w14:paraId="7FC6BCD2" w14:textId="77777777" w:rsidR="00F52378" w:rsidRPr="00F52378" w:rsidRDefault="00F52378" w:rsidP="00F52378">
      <w:r w:rsidRPr="00F52378">
        <w:t>Bilanzkennzahlen: Was man bei der Interpretation beachten sollte</w:t>
      </w:r>
    </w:p>
    <w:p w14:paraId="0646C2EC" w14:textId="77777777" w:rsidR="00F52378" w:rsidRPr="00F52378" w:rsidRDefault="00F52378" w:rsidP="00F52378">
      <w:r w:rsidRPr="00F52378">
        <w:t>Bei der Interpretation von Bilanzkennzahlen kann es Probleme geben, denn betriebswirtschaftliche Kennzahlen sind nicht gesetzlich definiert.</w:t>
      </w:r>
    </w:p>
    <w:p w14:paraId="63B08A4F" w14:textId="77777777" w:rsidR="00F52378" w:rsidRPr="00F52378" w:rsidRDefault="00F52378" w:rsidP="00F52378">
      <w:r w:rsidRPr="00F52378">
        <w:t>Dadurch ist es möglich, dass beispielsweise ein Unternehmen die Umsatzrendite als </w:t>
      </w:r>
      <w:hyperlink r:id="rId10" w:tooltip="Gewinn" w:history="1">
        <w:r w:rsidRPr="00F52378">
          <w:rPr>
            <w:rStyle w:val="Hyperlink"/>
            <w:color w:val="auto"/>
          </w:rPr>
          <w:t>Gewinn</w:t>
        </w:r>
      </w:hyperlink>
      <w:r w:rsidRPr="00F52378">
        <w:t> anders bestimmt als ein anderes Unternehmen, das nicht den Gewinn, sondern den Gewinn vor Steuern (</w:t>
      </w:r>
      <w:proofErr w:type="spellStart"/>
      <w:r w:rsidRPr="00F52378">
        <w:t>Earnings</w:t>
      </w:r>
      <w:proofErr w:type="spellEnd"/>
      <w:r w:rsidRPr="00F52378">
        <w:t xml:space="preserve"> </w:t>
      </w:r>
      <w:proofErr w:type="spellStart"/>
      <w:r w:rsidRPr="00F52378">
        <w:t>Before</w:t>
      </w:r>
      <w:proofErr w:type="spellEnd"/>
      <w:r w:rsidRPr="00F52378">
        <w:t xml:space="preserve"> </w:t>
      </w:r>
      <w:proofErr w:type="spellStart"/>
      <w:r w:rsidRPr="00F52378">
        <w:t>Taxes</w:t>
      </w:r>
      <w:proofErr w:type="spellEnd"/>
      <w:r w:rsidRPr="00F52378">
        <w:t>, abgekürzt EBT) im Verhältnis zum Umsatz angibt.</w:t>
      </w:r>
    </w:p>
    <w:p w14:paraId="06B6E9D8" w14:textId="77777777" w:rsidR="00F52378" w:rsidRPr="00F52378" w:rsidRDefault="00F52378" w:rsidP="00F52378">
      <w:r w:rsidRPr="00F52378">
        <w:t>Außerdem können die Kennzahlen als absolute Größen (also den Gewinn in €) oder als Verhältniskennzahlen beziehungsweise relative Kennzahlen (also den Gewinn im Verhältnis zum Umsatz in Prozent ausgedrückt) angegeben werden. Das kann jedes Unternehmen für sich entscheiden.</w:t>
      </w:r>
    </w:p>
    <w:p w14:paraId="3235C196" w14:textId="77777777" w:rsidR="00F52378" w:rsidRPr="00F52378" w:rsidRDefault="00F52378" w:rsidP="00F52378">
      <w:r w:rsidRPr="00F52378">
        <w:t>Bei einem Unternehmensvergleich sollte also darauf geachtet werden, wie die Unternehmen die Bilanzkennzahlen bestimmt haben.</w:t>
      </w:r>
    </w:p>
    <w:p w14:paraId="53506139" w14:textId="77777777" w:rsidR="00F52378" w:rsidRPr="00F52378" w:rsidRDefault="00F52378" w:rsidP="00F52378">
      <w:r w:rsidRPr="00F52378">
        <w:t>Interpretation von Bilanzkennzahlen</w:t>
      </w:r>
    </w:p>
    <w:p w14:paraId="4DAE975B" w14:textId="77777777" w:rsidR="00F52378" w:rsidRPr="00F52378" w:rsidRDefault="00F52378" w:rsidP="00F52378">
      <w:r w:rsidRPr="00F52378">
        <w:t>Für eine Beurteilung der Unternehmenskennzahlen muss ein Maßstab vorliegen, mit dem die Bilanzkennzahlen verglichen werden können. Dafür gibt es 3 verschiedene Möglichkeiten:</w:t>
      </w:r>
    </w:p>
    <w:p w14:paraId="3DF15B1F" w14:textId="77777777" w:rsidR="00F52378" w:rsidRPr="00F52378" w:rsidRDefault="00F52378" w:rsidP="00F52378">
      <w:r w:rsidRPr="00F52378">
        <w:t>1. Die Vorjahresvergleiche: Vergleiche mit den vergangenen Jahren.</w:t>
      </w:r>
    </w:p>
    <w:p w14:paraId="6F417EAA" w14:textId="77777777" w:rsidR="00F52378" w:rsidRPr="00F52378" w:rsidRDefault="00F52378" w:rsidP="00F52378">
      <w:r w:rsidRPr="00F52378">
        <w:t>2. Soll-Ist-Vergleiche: Vergleiche mit Soll-, Budget- und Planwerten.</w:t>
      </w:r>
    </w:p>
    <w:p w14:paraId="3EA527C2" w14:textId="77777777" w:rsidR="00F52378" w:rsidRPr="00F52378" w:rsidRDefault="00F52378" w:rsidP="00F52378">
      <w:r w:rsidRPr="00F52378">
        <w:lastRenderedPageBreak/>
        <w:t>3. Branchenvergleiche: Vergleiche mit anderen Unternehmen derselben Branche.</w:t>
      </w:r>
    </w:p>
    <w:p w14:paraId="60F31BCF" w14:textId="77777777" w:rsidR="00F52378" w:rsidRPr="00F52378" w:rsidRDefault="00F52378" w:rsidP="00F52378">
      <w:r w:rsidRPr="00F52378">
        <w:rPr>
          <w:b/>
          <w:bCs/>
        </w:rPr>
        <w:t>Beispiel:</w:t>
      </w:r>
    </w:p>
    <w:p w14:paraId="697EC856" w14:textId="77777777" w:rsidR="00F52378" w:rsidRPr="00F52378" w:rsidRDefault="00F52378" w:rsidP="00F52378">
      <w:r w:rsidRPr="00F52378">
        <w:t>Nehmen wir an, ein Automobilhersteller stellt fest, dass sein Umsatz im Geschäftsjahr 2010 5% betragen hat. Diese Bilanzkennzahl sagt uns ohne einen Maßstab nicht besonders viel.</w:t>
      </w:r>
    </w:p>
    <w:p w14:paraId="3FD879E9" w14:textId="77777777" w:rsidR="00F52378" w:rsidRPr="00F52378" w:rsidRDefault="00F52378" w:rsidP="00F52378">
      <w:r w:rsidRPr="00F52378">
        <w:t>Wenn man aber weiß, dass der Umsatz im vorherigen Jahr, also 2009, 6% betragen hat, der Planumsatz bei 7% lag und ähnliche Unternehmen derselben Branche einen Umsatz von 9% erwirtschaftet haben, wird klar, dass der Automobilhersteller im Vergleich einen schlechten Umsatz erzielt hat.</w:t>
      </w:r>
    </w:p>
    <w:p w14:paraId="6EC9C458" w14:textId="77777777" w:rsidR="00F52378" w:rsidRPr="00F52378" w:rsidRDefault="00F52378" w:rsidP="00F52378">
      <w:r w:rsidRPr="00F52378">
        <w:t>Bilanzkennzahlen und ihre Aussagekraft</w:t>
      </w:r>
    </w:p>
    <w:p w14:paraId="4D7E68F7" w14:textId="77777777" w:rsidR="00F52378" w:rsidRPr="00F52378" w:rsidRDefault="00F52378" w:rsidP="00F52378">
      <w:r w:rsidRPr="00F52378">
        <w:t>Einzelne Bilanzkennzahlen sind in der Regel nur wenig aussagekräftig. Interessant wird es erst, sobald man sie mit anderen Unternehmen, Vorjahren oder Planwerten vergleicht.</w:t>
      </w:r>
    </w:p>
    <w:p w14:paraId="058DB575" w14:textId="77777777" w:rsidR="00F52378" w:rsidRPr="00F52378" w:rsidRDefault="00F52378" w:rsidP="00F52378">
      <w:r w:rsidRPr="00F52378">
        <w:t>Die Bilanzkennzahlen setzen Posten der Bilanz in ein Verhältnis zueinander und erhalten dadurch ihre Aussagekraft.</w:t>
      </w:r>
    </w:p>
    <w:p w14:paraId="2877084C" w14:textId="77777777" w:rsidR="00F52378" w:rsidRPr="00F52378" w:rsidRDefault="00F52378" w:rsidP="00F52378">
      <w:r w:rsidRPr="00F52378">
        <w:t>Es lassen sich so Erkenntnisse über die Finanzierung, die Flexibilität, die Bonität (Kreditwürdigkeit) oder die finanzielle Stabilität eines Unternehmens gewinnen.</w:t>
      </w:r>
    </w:p>
    <w:p w14:paraId="79860753" w14:textId="77777777" w:rsidR="00F52378" w:rsidRPr="00F52378" w:rsidRDefault="00F52378" w:rsidP="00F52378">
      <w:r w:rsidRPr="00F52378">
        <w:rPr>
          <w:b/>
          <w:bCs/>
        </w:rPr>
        <w:t>Fazit:</w:t>
      </w:r>
      <w:r w:rsidRPr="00F52378">
        <w:t> Insgesamt muss bei der Interpretation von Bilanzkennzahlen also einiges beachtet werden, aber ein Blick auf die Zahlen ist insbesondere vor einer Investition in ein Unternehmen sehr wichtig.</w:t>
      </w:r>
    </w:p>
    <w:p w14:paraId="25D3F271" w14:textId="77777777" w:rsidR="00F52378" w:rsidRPr="00316000" w:rsidRDefault="00F52378" w:rsidP="00F52378">
      <w:r w:rsidRPr="00F52378">
        <w:t>Denn so können genügend Informationen über die Wirtschaftslage eines Unternehmens sowie deren Kreditwürdigkeit ermittelt werden.</w:t>
      </w:r>
    </w:p>
    <w:p w14:paraId="1EFD8378" w14:textId="77777777" w:rsidR="00F52378" w:rsidRPr="00316000" w:rsidRDefault="00F52378" w:rsidP="00F52378"/>
    <w:p w14:paraId="42394C73" w14:textId="77777777" w:rsidR="00F52378" w:rsidRPr="00316000" w:rsidRDefault="00F52378" w:rsidP="00F52378"/>
    <w:p w14:paraId="6A20E4E6" w14:textId="77777777" w:rsidR="00F52378" w:rsidRPr="00316000" w:rsidRDefault="00F52378" w:rsidP="00F52378"/>
    <w:p w14:paraId="3CFFFCC1" w14:textId="77777777" w:rsidR="00F52378" w:rsidRPr="00316000" w:rsidRDefault="00F52378" w:rsidP="00F52378"/>
    <w:p w14:paraId="62B9838B" w14:textId="77777777" w:rsidR="00F52378" w:rsidRPr="00316000" w:rsidRDefault="00F52378" w:rsidP="00F52378"/>
    <w:p w14:paraId="6B025130" w14:textId="77777777" w:rsidR="00F52378" w:rsidRPr="00316000" w:rsidRDefault="00F52378" w:rsidP="00F52378"/>
    <w:p w14:paraId="7196B726" w14:textId="77777777" w:rsidR="00F52378" w:rsidRPr="00F52378" w:rsidRDefault="00F52378" w:rsidP="00F52378">
      <w:pPr>
        <w:rPr>
          <w:b/>
          <w:bCs/>
          <w:sz w:val="36"/>
          <w:szCs w:val="32"/>
        </w:rPr>
      </w:pPr>
      <w:r w:rsidRPr="00F52378">
        <w:rPr>
          <w:b/>
          <w:bCs/>
          <w:sz w:val="36"/>
          <w:szCs w:val="32"/>
        </w:rPr>
        <w:lastRenderedPageBreak/>
        <w:t>Bilanzkennzahlen</w:t>
      </w:r>
    </w:p>
    <w:p w14:paraId="3DFD316E" w14:textId="77777777" w:rsidR="00F52378" w:rsidRPr="00F52378" w:rsidRDefault="00F52378" w:rsidP="00F52378">
      <w:r w:rsidRPr="00F52378">
        <w:t>Enthält: Definition · Grafiken · Übungsfragen</w:t>
      </w:r>
    </w:p>
    <w:p w14:paraId="355E0FEB" w14:textId="77777777" w:rsidR="00F52378" w:rsidRPr="00F52378" w:rsidRDefault="00F52378" w:rsidP="00F52378">
      <w:r w:rsidRPr="00F52378">
        <w:t>Unter Bilanzkennzahlen versteht man </w:t>
      </w:r>
      <w:hyperlink r:id="rId11" w:history="1">
        <w:r w:rsidRPr="00F52378">
          <w:rPr>
            <w:rStyle w:val="Hyperlink"/>
            <w:color w:val="auto"/>
          </w:rPr>
          <w:t>Kennzahlen</w:t>
        </w:r>
      </w:hyperlink>
      <w:r w:rsidRPr="00F52378">
        <w:t>, mit deren Hilfe </w:t>
      </w:r>
      <w:hyperlink r:id="rId12" w:history="1">
        <w:r w:rsidRPr="00F52378">
          <w:rPr>
            <w:rStyle w:val="Hyperlink"/>
            <w:color w:val="auto"/>
          </w:rPr>
          <w:t>Unternehmen</w:t>
        </w:r>
      </w:hyperlink>
      <w:r w:rsidRPr="00F52378">
        <w:t> und sonstige Stakeholder die Lage des Unternehmens überprüfen können. Zudem helfen derartige Kennziffern dabei, Entscheidungen auf fundierter Datenbasis zu treffen. Insbesondere in der Bilanzanalyse kommen die Bilanzkennzahlen zum Einsatz.</w:t>
      </w:r>
    </w:p>
    <w:p w14:paraId="749584BB" w14:textId="77777777" w:rsidR="00F52378" w:rsidRPr="00F52378" w:rsidRDefault="00F52378" w:rsidP="00F52378">
      <w:r w:rsidRPr="00F52378">
        <w:t>In der folgenden Lektion erfährst du alles rund um das Thema Bilanzkennzahlen. Am Ende der Lektion kannst du mit Hilfe einiger Übungsaufgaben das gelernte Wissen wiederholen und vertiefen.</w:t>
      </w:r>
    </w:p>
    <w:p w14:paraId="2711FC63" w14:textId="77777777" w:rsidR="00F52378" w:rsidRPr="00F52378" w:rsidRDefault="00F52378" w:rsidP="00F52378">
      <w:pPr>
        <w:numPr>
          <w:ilvl w:val="0"/>
          <w:numId w:val="3"/>
        </w:numPr>
      </w:pPr>
      <w:r w:rsidRPr="00F52378">
        <w:rPr>
          <w:b/>
          <w:bCs/>
        </w:rPr>
        <w:t>Synonyme:</w:t>
      </w:r>
      <w:r w:rsidRPr="00F52378">
        <w:t> </w:t>
      </w:r>
      <w:r w:rsidRPr="00F52378">
        <w:rPr>
          <w:i/>
          <w:iCs/>
        </w:rPr>
        <w:t>Bilanzkennziffern</w:t>
      </w:r>
      <w:r w:rsidRPr="00F52378">
        <w:t> | </w:t>
      </w:r>
      <w:r w:rsidRPr="00F52378">
        <w:rPr>
          <w:i/>
          <w:iCs/>
        </w:rPr>
        <w:t>Bilanzanalyse-Kennzahlen</w:t>
      </w:r>
      <w:r w:rsidRPr="00F52378">
        <w:t> | </w:t>
      </w:r>
      <w:r w:rsidRPr="00F52378">
        <w:rPr>
          <w:i/>
          <w:iCs/>
        </w:rPr>
        <w:t>Finanzkennzahlen</w:t>
      </w:r>
    </w:p>
    <w:p w14:paraId="780C1E94" w14:textId="77777777" w:rsidR="00F52378" w:rsidRPr="00F52378" w:rsidRDefault="00F52378" w:rsidP="00F52378">
      <w:pPr>
        <w:numPr>
          <w:ilvl w:val="0"/>
          <w:numId w:val="3"/>
        </w:numPr>
      </w:pPr>
      <w:r w:rsidRPr="00F52378">
        <w:rPr>
          <w:b/>
          <w:bCs/>
        </w:rPr>
        <w:t>Englisch:</w:t>
      </w:r>
      <w:r w:rsidRPr="00F52378">
        <w:t> </w:t>
      </w:r>
      <w:proofErr w:type="spellStart"/>
      <w:r w:rsidRPr="00F52378">
        <w:rPr>
          <w:i/>
          <w:iCs/>
        </w:rPr>
        <w:fldChar w:fldCharType="begin"/>
      </w:r>
      <w:r w:rsidRPr="00F52378">
        <w:rPr>
          <w:i/>
          <w:iCs/>
        </w:rPr>
        <w:instrText>HYPERLINK "https://www.bwl-lexikon.de/wiki/balance-sheet/"</w:instrText>
      </w:r>
      <w:r w:rsidRPr="00F52378">
        <w:rPr>
          <w:i/>
          <w:iCs/>
        </w:rPr>
      </w:r>
      <w:r w:rsidRPr="00F52378">
        <w:rPr>
          <w:i/>
          <w:iCs/>
        </w:rPr>
        <w:fldChar w:fldCharType="separate"/>
      </w:r>
      <w:r w:rsidRPr="00F52378">
        <w:rPr>
          <w:rStyle w:val="Hyperlink"/>
          <w:i/>
          <w:iCs/>
          <w:color w:val="auto"/>
        </w:rPr>
        <w:t>balance</w:t>
      </w:r>
      <w:proofErr w:type="spellEnd"/>
      <w:r w:rsidRPr="00F52378">
        <w:rPr>
          <w:rStyle w:val="Hyperlink"/>
          <w:i/>
          <w:iCs/>
          <w:color w:val="auto"/>
        </w:rPr>
        <w:t xml:space="preserve"> </w:t>
      </w:r>
      <w:proofErr w:type="spellStart"/>
      <w:r w:rsidRPr="00F52378">
        <w:rPr>
          <w:rStyle w:val="Hyperlink"/>
          <w:i/>
          <w:iCs/>
          <w:color w:val="auto"/>
        </w:rPr>
        <w:t>sheet</w:t>
      </w:r>
      <w:proofErr w:type="spellEnd"/>
      <w:r w:rsidRPr="00F52378">
        <w:fldChar w:fldCharType="end"/>
      </w:r>
    </w:p>
    <w:p w14:paraId="03FE11F3" w14:textId="77777777" w:rsidR="00F52378" w:rsidRPr="00F52378" w:rsidRDefault="00F52378" w:rsidP="00F52378">
      <w:r w:rsidRPr="00F52378">
        <w:t>Inhalt dieser Lektion</w:t>
      </w:r>
    </w:p>
    <w:p w14:paraId="45034642" w14:textId="77777777" w:rsidR="00F52378" w:rsidRPr="00F52378" w:rsidRDefault="00F52378" w:rsidP="00F52378">
      <w:pPr>
        <w:numPr>
          <w:ilvl w:val="0"/>
          <w:numId w:val="4"/>
        </w:numPr>
      </w:pPr>
      <w:hyperlink r:id="rId13" w:anchor="warum-sind-bilanzkennzahlen-wichtig" w:tooltip="Warum sind Bilanzkennzahlen wichtig?" w:history="1">
        <w:r w:rsidRPr="00F52378">
          <w:rPr>
            <w:rStyle w:val="Hyperlink"/>
            <w:color w:val="auto"/>
          </w:rPr>
          <w:t>Warum sind Bilanzkennzahlen wichtig?</w:t>
        </w:r>
      </w:hyperlink>
    </w:p>
    <w:p w14:paraId="29AB278C" w14:textId="77777777" w:rsidR="00F52378" w:rsidRPr="00F52378" w:rsidRDefault="00F52378" w:rsidP="00F52378">
      <w:pPr>
        <w:numPr>
          <w:ilvl w:val="0"/>
          <w:numId w:val="4"/>
        </w:numPr>
      </w:pPr>
      <w:hyperlink r:id="rId14" w:anchor="die-bilanzkennzahlen" w:tooltip="Die Bilanzkennzahlen" w:history="1">
        <w:r w:rsidRPr="00F52378">
          <w:rPr>
            <w:rStyle w:val="Hyperlink"/>
            <w:color w:val="auto"/>
          </w:rPr>
          <w:t>Die Bilanzkennzahlen</w:t>
        </w:r>
      </w:hyperlink>
    </w:p>
    <w:p w14:paraId="2618E9F9" w14:textId="77777777" w:rsidR="00F52378" w:rsidRPr="00F52378" w:rsidRDefault="00F52378" w:rsidP="00F52378">
      <w:pPr>
        <w:numPr>
          <w:ilvl w:val="1"/>
          <w:numId w:val="4"/>
        </w:numPr>
      </w:pPr>
      <w:hyperlink r:id="rId15" w:anchor="sinn-und-zweck-der-bilanzkennzahlen" w:tooltip="Sinn und Zweck der Bilanzkennzahlen" w:history="1">
        <w:r w:rsidRPr="00F52378">
          <w:rPr>
            <w:rStyle w:val="Hyperlink"/>
            <w:color w:val="auto"/>
          </w:rPr>
          <w:t>Sinn und Zweck der Bilanzkennzahlen</w:t>
        </w:r>
      </w:hyperlink>
    </w:p>
    <w:p w14:paraId="24D4AD35" w14:textId="77777777" w:rsidR="00F52378" w:rsidRPr="00F52378" w:rsidRDefault="00F52378" w:rsidP="00F52378">
      <w:pPr>
        <w:numPr>
          <w:ilvl w:val="1"/>
          <w:numId w:val="4"/>
        </w:numPr>
      </w:pPr>
      <w:hyperlink r:id="rId16" w:anchor="unterschiedliche-bilanzkennzahlen" w:tooltip="Unterschiedliche Bilanzkennzahlen" w:history="1">
        <w:r w:rsidRPr="00F52378">
          <w:rPr>
            <w:rStyle w:val="Hyperlink"/>
            <w:color w:val="auto"/>
          </w:rPr>
          <w:t>Unterschiedliche Bilanzkennzahlen</w:t>
        </w:r>
      </w:hyperlink>
    </w:p>
    <w:p w14:paraId="0E058321" w14:textId="77777777" w:rsidR="00F52378" w:rsidRPr="00F52378" w:rsidRDefault="00F52378" w:rsidP="00F52378">
      <w:pPr>
        <w:numPr>
          <w:ilvl w:val="1"/>
          <w:numId w:val="4"/>
        </w:numPr>
      </w:pPr>
      <w:hyperlink r:id="rId17" w:anchor="aussagekraft-der-bilanzkennzahlen" w:tooltip="Aussagekraft der Bilanzkennzahlen" w:history="1">
        <w:r w:rsidRPr="00F52378">
          <w:rPr>
            <w:rStyle w:val="Hyperlink"/>
            <w:color w:val="auto"/>
          </w:rPr>
          <w:t>Aussagekraft der Bilanzkennzahlen</w:t>
        </w:r>
      </w:hyperlink>
    </w:p>
    <w:p w14:paraId="0484374C" w14:textId="77777777" w:rsidR="00F52378" w:rsidRPr="00F52378" w:rsidRDefault="00F52378" w:rsidP="00F52378">
      <w:pPr>
        <w:numPr>
          <w:ilvl w:val="0"/>
          <w:numId w:val="4"/>
        </w:numPr>
      </w:pPr>
      <w:hyperlink r:id="rId18" w:anchor="bilanzkennzahlen-%e2%80%93-vor-und-nachteile" w:tooltip="Bilanzkennzahlen – Vor und Nachteile" w:history="1">
        <w:r w:rsidRPr="00F52378">
          <w:rPr>
            <w:rStyle w:val="Hyperlink"/>
            <w:color w:val="auto"/>
          </w:rPr>
          <w:t>Bilanzkennzahlen – Vor und Nachteile</w:t>
        </w:r>
      </w:hyperlink>
    </w:p>
    <w:p w14:paraId="5F4A1BD3" w14:textId="77777777" w:rsidR="00F52378" w:rsidRPr="00F52378" w:rsidRDefault="00F52378" w:rsidP="00F52378">
      <w:pPr>
        <w:numPr>
          <w:ilvl w:val="1"/>
          <w:numId w:val="4"/>
        </w:numPr>
      </w:pPr>
      <w:hyperlink r:id="rId19" w:anchor="die-vorteile-der-verwendung-von-bilanzkennzahlen" w:tooltip="Die Vorteile der Verwendung von Bilanzkennzahlen" w:history="1">
        <w:r w:rsidRPr="00F52378">
          <w:rPr>
            <w:rStyle w:val="Hyperlink"/>
            <w:color w:val="auto"/>
          </w:rPr>
          <w:t>Die Vorteile der Verwendung von Bilanzkennzahlen</w:t>
        </w:r>
      </w:hyperlink>
    </w:p>
    <w:p w14:paraId="391A56DA" w14:textId="77777777" w:rsidR="00F52378" w:rsidRPr="00F52378" w:rsidRDefault="00F52378" w:rsidP="00F52378">
      <w:pPr>
        <w:numPr>
          <w:ilvl w:val="1"/>
          <w:numId w:val="4"/>
        </w:numPr>
      </w:pPr>
      <w:hyperlink r:id="rId20" w:anchor="die-nachteile-der-verwendung-von-bilanzkennzahlen" w:tooltip="Die Nachteile der Verwendung von Bilanzkennzahlen" w:history="1">
        <w:r w:rsidRPr="00F52378">
          <w:rPr>
            <w:rStyle w:val="Hyperlink"/>
            <w:color w:val="auto"/>
          </w:rPr>
          <w:t>Die Nachteile der Verwendung von Bilanzkennzahlen</w:t>
        </w:r>
      </w:hyperlink>
    </w:p>
    <w:p w14:paraId="4282C3EF" w14:textId="77777777" w:rsidR="00F52378" w:rsidRPr="00F52378" w:rsidRDefault="00F52378" w:rsidP="00F52378">
      <w:pPr>
        <w:numPr>
          <w:ilvl w:val="0"/>
          <w:numId w:val="4"/>
        </w:numPr>
      </w:pPr>
      <w:hyperlink r:id="rId21" w:anchor="uebungsfragen" w:tooltip="Übungsfragen" w:history="1">
        <w:r w:rsidRPr="00F52378">
          <w:rPr>
            <w:rStyle w:val="Hyperlink"/>
            <w:color w:val="auto"/>
          </w:rPr>
          <w:t>Übungsfragen</w:t>
        </w:r>
      </w:hyperlink>
    </w:p>
    <w:p w14:paraId="2DA38064" w14:textId="77777777" w:rsidR="00F52378" w:rsidRPr="00F52378" w:rsidRDefault="00F52378" w:rsidP="00F52378">
      <w:pPr>
        <w:numPr>
          <w:ilvl w:val="0"/>
          <w:numId w:val="4"/>
        </w:numPr>
      </w:pPr>
      <w:hyperlink r:id="rId22" w:anchor="results" w:tooltip="Results" w:history="1">
        <w:proofErr w:type="spellStart"/>
        <w:r w:rsidRPr="00F52378">
          <w:rPr>
            <w:rStyle w:val="Hyperlink"/>
            <w:color w:val="auto"/>
          </w:rPr>
          <w:t>Results</w:t>
        </w:r>
        <w:proofErr w:type="spellEnd"/>
      </w:hyperlink>
    </w:p>
    <w:p w14:paraId="74814AA0" w14:textId="77777777" w:rsidR="00F52378" w:rsidRPr="00F52378" w:rsidRDefault="00F52378" w:rsidP="00F52378">
      <w:r w:rsidRPr="00F52378">
        <w:t>Warum sind Bilanzkennzahlen wichtig?</w:t>
      </w:r>
    </w:p>
    <w:p w14:paraId="1F18D536" w14:textId="77777777" w:rsidR="00F52378" w:rsidRPr="00F52378" w:rsidRDefault="00F52378" w:rsidP="00F52378">
      <w:r w:rsidRPr="00F52378">
        <w:t>Die </w:t>
      </w:r>
      <w:hyperlink r:id="rId23" w:history="1">
        <w:r w:rsidRPr="00F52378">
          <w:rPr>
            <w:rStyle w:val="Hyperlink"/>
            <w:color w:val="auto"/>
          </w:rPr>
          <w:t>Bilanz</w:t>
        </w:r>
      </w:hyperlink>
      <w:r w:rsidRPr="00F52378">
        <w:t> ist für Unternehmen von enormer Bedeutung.</w:t>
      </w:r>
    </w:p>
    <w:p w14:paraId="16B8407A" w14:textId="77777777" w:rsidR="00F52378" w:rsidRPr="00F52378" w:rsidRDefault="00F52378" w:rsidP="00F52378">
      <w:r w:rsidRPr="00F52378">
        <w:rPr>
          <w:b/>
          <w:bCs/>
        </w:rPr>
        <w:t>Dabei fungiert die Bilanz zum Erreichen zweiter unterschiedlicher Zwecke</w:t>
      </w:r>
      <w:r w:rsidRPr="00F52378">
        <w:t>:</w:t>
      </w:r>
    </w:p>
    <w:p w14:paraId="358E4337" w14:textId="77777777" w:rsidR="00F52378" w:rsidRPr="00F52378" w:rsidRDefault="00F52378" w:rsidP="00F52378">
      <w:pPr>
        <w:numPr>
          <w:ilvl w:val="0"/>
          <w:numId w:val="5"/>
        </w:numPr>
      </w:pPr>
      <w:r w:rsidRPr="00F52378">
        <w:lastRenderedPageBreak/>
        <w:t>Einhaltung der handelsrechtlichen Vorschriften</w:t>
      </w:r>
    </w:p>
    <w:p w14:paraId="2DB565FB" w14:textId="77777777" w:rsidR="00F52378" w:rsidRPr="00F52378" w:rsidRDefault="00F52378" w:rsidP="00F52378">
      <w:pPr>
        <w:numPr>
          <w:ilvl w:val="0"/>
          <w:numId w:val="5"/>
        </w:numPr>
      </w:pPr>
      <w:r w:rsidRPr="00F52378">
        <w:t>Bewertung des Unternehmens</w:t>
      </w:r>
    </w:p>
    <w:p w14:paraId="23160F39" w14:textId="77777777" w:rsidR="00F52378" w:rsidRPr="00F52378" w:rsidRDefault="00F52378" w:rsidP="00F52378">
      <w:r w:rsidRPr="00F52378">
        <w:t>Allerdings ist eine Bilanz nur begrenzt geeignet, um aussagekräftige Bewertungen zu ermöglichen. Hier kommen die unterschiedlichen Bilanzkennzahlen zum Einsatz. Zum einen weisen diese Bilanzkennzahlen eine autonome Aussagekraft auf und ermöglichen darüber hinaus den Vergleich unterschiedlicher Unternehmen sowie des eigenen Unternehmens innerhalb einer fortschreitenden zeitlichen Periode.</w:t>
      </w:r>
    </w:p>
    <w:p w14:paraId="2052CAA9" w14:textId="77777777" w:rsidR="00F52378" w:rsidRPr="00F52378" w:rsidRDefault="00F52378" w:rsidP="00F52378">
      <w:r w:rsidRPr="00F52378">
        <w:t>Die Bilanzkennzahlen</w:t>
      </w:r>
    </w:p>
    <w:p w14:paraId="23357DC7" w14:textId="77777777" w:rsidR="00F52378" w:rsidRPr="00F52378" w:rsidRDefault="00F52378" w:rsidP="00F52378">
      <w:r w:rsidRPr="00F52378">
        <w:t>Bilanzkennzahlen ermöglichen eine definitive Aussage in Zeiten der umfassenden Informationen. Bilanzkennzahlen dienen dabei als wichtiges Instrument zur Bewertung der Bilanz und der grundsätzlichen Lageanalyse für das gesamte Unternehmen. Dabei unterscheiden sich die Bilanzkennzahlen in ihrer Ausprägung und Art.</w:t>
      </w:r>
    </w:p>
    <w:p w14:paraId="5627009A" w14:textId="77777777" w:rsidR="00F52378" w:rsidRPr="00F52378" w:rsidRDefault="00F52378" w:rsidP="00F52378">
      <w:r w:rsidRPr="00F52378">
        <w:t>Sinn und Zweck der Bilanzkennzahlen</w:t>
      </w:r>
    </w:p>
    <w:p w14:paraId="314EEE76" w14:textId="77777777" w:rsidR="00F52378" w:rsidRPr="00F52378" w:rsidRDefault="00F52378" w:rsidP="00F52378">
      <w:r w:rsidRPr="00F52378">
        <w:t>Einzelne Posten in der verpflichtenden Bilanz der Unternehmen weisen häufig eine geringe Aussagekraft auf. Demgegenüber helfen Bilanzkennzahlen dabei, die Aussagekraft zu erhöhen. Durch das Aufzeigen eines Verhältnisses von unterschiedlichen Posten der Bilanz ist es möglich, die Lage des Unternehmens zu bewerten.</w:t>
      </w:r>
    </w:p>
    <w:p w14:paraId="3C1EE887" w14:textId="77777777" w:rsidR="00F52378" w:rsidRPr="00F52378" w:rsidRDefault="00F52378" w:rsidP="00F52378">
      <w:r w:rsidRPr="00F52378">
        <w:t>Verantwortliche im Unternehmen oder unterschiedliche Stakeholder haben ein ureigenes Interesse daran, aufschlussreiche und aussagekräftige Daten zu gewinnen.</w:t>
      </w:r>
    </w:p>
    <w:p w14:paraId="08CB5DB6" w14:textId="77777777" w:rsidR="00F52378" w:rsidRPr="00F52378" w:rsidRDefault="00F52378" w:rsidP="00F52378">
      <w:r w:rsidRPr="00F52378">
        <w:rPr>
          <w:b/>
          <w:bCs/>
        </w:rPr>
        <w:t>Erkenntnisse über verschiedene Bereiche sind somit mit Bilanzkennzahlen möglich, woraus sich Sinn und Zweck dieser Nutzung ergibt</w:t>
      </w:r>
      <w:r w:rsidRPr="00F52378">
        <w:t>:</w:t>
      </w:r>
    </w:p>
    <w:p w14:paraId="7CD6BA59" w14:textId="77777777" w:rsidR="00F52378" w:rsidRPr="00F52378" w:rsidRDefault="00F52378" w:rsidP="00F52378">
      <w:pPr>
        <w:numPr>
          <w:ilvl w:val="0"/>
          <w:numId w:val="6"/>
        </w:numPr>
      </w:pPr>
      <w:r w:rsidRPr="00F52378">
        <w:t>Bonität des Unternehmens</w:t>
      </w:r>
    </w:p>
    <w:p w14:paraId="54B7E11E" w14:textId="77777777" w:rsidR="00F52378" w:rsidRPr="00F52378" w:rsidRDefault="00F52378" w:rsidP="00F52378">
      <w:pPr>
        <w:numPr>
          <w:ilvl w:val="0"/>
          <w:numId w:val="6"/>
        </w:numPr>
      </w:pPr>
      <w:r w:rsidRPr="00F52378">
        <w:t>finanzielle Stabilität des Unternehmens</w:t>
      </w:r>
    </w:p>
    <w:p w14:paraId="2D440E3F" w14:textId="77777777" w:rsidR="00F52378" w:rsidRPr="00F52378" w:rsidRDefault="00F52378" w:rsidP="00F52378">
      <w:pPr>
        <w:numPr>
          <w:ilvl w:val="0"/>
          <w:numId w:val="6"/>
        </w:numPr>
      </w:pPr>
      <w:r w:rsidRPr="00F52378">
        <w:t>Finanzierung des Unternehmens</w:t>
      </w:r>
    </w:p>
    <w:p w14:paraId="26E35244" w14:textId="77777777" w:rsidR="00F52378" w:rsidRPr="00F52378" w:rsidRDefault="00F52378" w:rsidP="00F52378">
      <w:r w:rsidRPr="00F52378">
        <w:t>Unterschiedliche Bilanzkennzahlen</w:t>
      </w:r>
    </w:p>
    <w:p w14:paraId="79D7CA33" w14:textId="77777777" w:rsidR="00F52378" w:rsidRPr="00F52378" w:rsidRDefault="00F52378" w:rsidP="00F52378">
      <w:r w:rsidRPr="00F52378">
        <w:t>Bilanzkennzahlen betreffen unterschiedliche Bereiche der Bilanz.</w:t>
      </w:r>
    </w:p>
    <w:p w14:paraId="6674FC03" w14:textId="77777777" w:rsidR="00F52378" w:rsidRPr="00F52378" w:rsidRDefault="00F52378" w:rsidP="00F52378">
      <w:r w:rsidRPr="00F52378">
        <w:rPr>
          <w:b/>
          <w:bCs/>
        </w:rPr>
        <w:t>Eine grundsätzliche Unterteilung erfolgt in</w:t>
      </w:r>
      <w:r w:rsidRPr="00F52378">
        <w:t>:</w:t>
      </w:r>
    </w:p>
    <w:p w14:paraId="30F4F81A" w14:textId="77777777" w:rsidR="00F52378" w:rsidRPr="00F52378" w:rsidRDefault="00F52378" w:rsidP="00F52378">
      <w:pPr>
        <w:numPr>
          <w:ilvl w:val="0"/>
          <w:numId w:val="7"/>
        </w:numPr>
      </w:pPr>
      <w:r w:rsidRPr="00F52378">
        <w:t>Kennzahlen der vertikalen Bilanzstruktur</w:t>
      </w:r>
    </w:p>
    <w:p w14:paraId="40DEBE55" w14:textId="77777777" w:rsidR="00F52378" w:rsidRPr="00F52378" w:rsidRDefault="00F52378" w:rsidP="00F52378">
      <w:pPr>
        <w:numPr>
          <w:ilvl w:val="0"/>
          <w:numId w:val="7"/>
        </w:numPr>
      </w:pPr>
      <w:r w:rsidRPr="00F52378">
        <w:lastRenderedPageBreak/>
        <w:t>Kennzahlen der horizontalen Bilanzstruktur</w:t>
      </w:r>
    </w:p>
    <w:p w14:paraId="3C38A842" w14:textId="77777777" w:rsidR="00F52378" w:rsidRPr="00F52378" w:rsidRDefault="00F52378" w:rsidP="00F52378">
      <w:r w:rsidRPr="00F52378">
        <w:t>Die Kennzahlen der vertikalen Bilanzstruktur betreffen sowohl die Struktur des Vermögens als auch des </w:t>
      </w:r>
      <w:hyperlink r:id="rId24" w:history="1">
        <w:r w:rsidRPr="00F52378">
          <w:rPr>
            <w:rStyle w:val="Hyperlink"/>
            <w:color w:val="auto"/>
          </w:rPr>
          <w:t>Kapitals</w:t>
        </w:r>
      </w:hyperlink>
      <w:r w:rsidRPr="00F52378">
        <w:t> eines Unternehmens.</w:t>
      </w:r>
    </w:p>
    <w:p w14:paraId="649BBC99" w14:textId="77777777" w:rsidR="00F52378" w:rsidRPr="00F52378" w:rsidRDefault="00F52378" w:rsidP="00F52378">
      <w:r w:rsidRPr="00F52378">
        <w:rPr>
          <w:b/>
          <w:bCs/>
        </w:rPr>
        <w:t>Insbesondere die folgenden Bilanzkennzahlen sind vertikaler Natur</w:t>
      </w:r>
      <w:r w:rsidRPr="00F52378">
        <w:t>:</w:t>
      </w:r>
    </w:p>
    <w:p w14:paraId="459F2481" w14:textId="77777777" w:rsidR="00F52378" w:rsidRPr="00F52378" w:rsidRDefault="00F52378" w:rsidP="00F52378">
      <w:pPr>
        <w:numPr>
          <w:ilvl w:val="0"/>
          <w:numId w:val="8"/>
        </w:numPr>
      </w:pPr>
      <w:hyperlink r:id="rId25" w:history="1">
        <w:r w:rsidRPr="00F52378">
          <w:rPr>
            <w:rStyle w:val="Hyperlink"/>
            <w:color w:val="auto"/>
          </w:rPr>
          <w:t>Anlagenintensität</w:t>
        </w:r>
      </w:hyperlink>
    </w:p>
    <w:p w14:paraId="05484A6C" w14:textId="77777777" w:rsidR="00F52378" w:rsidRPr="00F52378" w:rsidRDefault="00F52378" w:rsidP="00F52378">
      <w:pPr>
        <w:numPr>
          <w:ilvl w:val="0"/>
          <w:numId w:val="8"/>
        </w:numPr>
      </w:pPr>
      <w:hyperlink r:id="rId26" w:history="1">
        <w:r w:rsidRPr="00F52378">
          <w:rPr>
            <w:rStyle w:val="Hyperlink"/>
            <w:color w:val="auto"/>
          </w:rPr>
          <w:t>Umlaufintensität</w:t>
        </w:r>
      </w:hyperlink>
    </w:p>
    <w:p w14:paraId="415BD7BE" w14:textId="77777777" w:rsidR="00F52378" w:rsidRPr="00F52378" w:rsidRDefault="00F52378" w:rsidP="00F52378">
      <w:pPr>
        <w:numPr>
          <w:ilvl w:val="0"/>
          <w:numId w:val="8"/>
        </w:numPr>
      </w:pPr>
      <w:hyperlink r:id="rId27" w:history="1">
        <w:r w:rsidRPr="00F52378">
          <w:rPr>
            <w:rStyle w:val="Hyperlink"/>
            <w:color w:val="auto"/>
          </w:rPr>
          <w:t>Eigenkapitalquote</w:t>
        </w:r>
      </w:hyperlink>
    </w:p>
    <w:p w14:paraId="7B706AF0" w14:textId="77777777" w:rsidR="00F52378" w:rsidRPr="00F52378" w:rsidRDefault="00F52378" w:rsidP="00F52378">
      <w:pPr>
        <w:numPr>
          <w:ilvl w:val="0"/>
          <w:numId w:val="8"/>
        </w:numPr>
      </w:pPr>
      <w:hyperlink r:id="rId28" w:history="1">
        <w:r w:rsidRPr="00F52378">
          <w:rPr>
            <w:rStyle w:val="Hyperlink"/>
            <w:color w:val="auto"/>
          </w:rPr>
          <w:t>Fremdkapitalquote</w:t>
        </w:r>
      </w:hyperlink>
    </w:p>
    <w:p w14:paraId="22C36E01" w14:textId="77777777" w:rsidR="00F52378" w:rsidRPr="00F52378" w:rsidRDefault="00F52378" w:rsidP="00F52378">
      <w:r w:rsidRPr="00F52378">
        <w:t>Demgegenüber betreffen die Bilanzkennzahlen der horizontalen Natur insbesondere die Regeln der Finanzierung eines Unternehmens sowie die </w:t>
      </w:r>
      <w:hyperlink r:id="rId29" w:history="1">
        <w:r w:rsidRPr="00F52378">
          <w:rPr>
            <w:rStyle w:val="Hyperlink"/>
            <w:color w:val="auto"/>
          </w:rPr>
          <w:t>Liquidität</w:t>
        </w:r>
      </w:hyperlink>
      <w:r w:rsidRPr="00F52378">
        <w:t>.</w:t>
      </w:r>
    </w:p>
    <w:p w14:paraId="3E5FD6BC" w14:textId="3D5115FB" w:rsidR="00F52378" w:rsidRPr="00F52378" w:rsidRDefault="00F52378" w:rsidP="00F52378">
      <w:r w:rsidRPr="00316000">
        <w:rPr>
          <w:noProof/>
        </w:rPr>
        <w:drawing>
          <wp:inline distT="0" distB="0" distL="0" distR="0" wp14:anchorId="5CD4FA64" wp14:editId="403145D7">
            <wp:extent cx="5760720" cy="4020185"/>
            <wp:effectExtent l="0" t="0" r="0" b="0"/>
            <wp:docPr id="1633990567" name="Grafik 4" descr="Bilanzkennzahlen: Vertikale und horizontale Bilanzkennzahlen">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ilanzkennzahlen: Vertikale und horizontale Bilanzkennzahlen">
                      <a:hlinkClick r:id="rId30" tgtFrame="&quot;_blank&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4020185"/>
                    </a:xfrm>
                    <a:prstGeom prst="rect">
                      <a:avLst/>
                    </a:prstGeom>
                    <a:noFill/>
                    <a:ln>
                      <a:noFill/>
                    </a:ln>
                  </pic:spPr>
                </pic:pic>
              </a:graphicData>
            </a:graphic>
          </wp:inline>
        </w:drawing>
      </w:r>
      <w:r w:rsidRPr="00F52378">
        <w:t>Bilanzkennzahlen: Vertikale und horizontale Bilanzkennzahlen</w:t>
      </w:r>
    </w:p>
    <w:p w14:paraId="7DBDB0E0" w14:textId="77777777" w:rsidR="00F52378" w:rsidRPr="00F52378" w:rsidRDefault="00F52378" w:rsidP="00F52378">
      <w:r w:rsidRPr="00F52378">
        <w:t>Aussagekraft der Bilanzkennzahlen</w:t>
      </w:r>
    </w:p>
    <w:p w14:paraId="7137859F" w14:textId="77777777" w:rsidR="00F52378" w:rsidRPr="00F52378" w:rsidRDefault="00F52378" w:rsidP="00F52378">
      <w:r w:rsidRPr="00F52378">
        <w:t xml:space="preserve">Mithilfe der Bilanzkennzahlen können Unternehmen bewerten, ob das eigene Unternehmen wirtschaftlich gesund ist. Das unmittelbare Verhältnis der unterschiedlichen Posten einer Bilanz ermöglicht die Beleuchtung diverser Aspekte, </w:t>
      </w:r>
      <w:r w:rsidRPr="00F52378">
        <w:lastRenderedPageBreak/>
        <w:t>die letztendlich alle Verbesserungsbedarf identifizieren und Aussagen über die wirtschaftliche Leistungsfähigkeit des Unternehmens ermöglichen.</w:t>
      </w:r>
    </w:p>
    <w:p w14:paraId="7A0E1587" w14:textId="77777777" w:rsidR="00F52378" w:rsidRPr="00F52378" w:rsidRDefault="00F52378" w:rsidP="00F52378">
      <w:r w:rsidRPr="00F52378">
        <w:t>Bilanzkennzahlen – Vor und Nachteile</w:t>
      </w:r>
    </w:p>
    <w:p w14:paraId="095CC41F" w14:textId="77777777" w:rsidR="00F52378" w:rsidRPr="00F52378" w:rsidRDefault="00F52378" w:rsidP="00F52378">
      <w:r w:rsidRPr="00F52378">
        <w:t>Bilanzkennzahlen kommen in vielen Unternehmen zum Einsatz. Dabei gibt es sowohl Vor- als auch Nachteile bei der Verwendung von Bilanzkennzahlen für die betroffenen Akteure.</w:t>
      </w:r>
    </w:p>
    <w:p w14:paraId="46DC9847" w14:textId="77777777" w:rsidR="00F52378" w:rsidRPr="00F52378" w:rsidRDefault="00F52378" w:rsidP="00F52378">
      <w:r w:rsidRPr="00F52378">
        <w:t>Die Vorteile der Verwendung von Bilanzkennzahlen</w:t>
      </w:r>
    </w:p>
    <w:p w14:paraId="17CAAC6B" w14:textId="77777777" w:rsidR="00F52378" w:rsidRPr="00F52378" w:rsidRDefault="00F52378" w:rsidP="00F52378">
      <w:r w:rsidRPr="00F52378">
        <w:rPr>
          <w:b/>
          <w:bCs/>
        </w:rPr>
        <w:t>Durch die regelmäßige Nutzung von Bilanzkennzahlen für die Bewertung von Unternehmen profitieren diese von unterschiedlichen Vorteilen</w:t>
      </w:r>
      <w:r w:rsidRPr="00F52378">
        <w:t>:</w:t>
      </w:r>
    </w:p>
    <w:p w14:paraId="5545496E" w14:textId="77777777" w:rsidR="00F52378" w:rsidRPr="00F52378" w:rsidRDefault="00F52378" w:rsidP="00F52378">
      <w:pPr>
        <w:numPr>
          <w:ilvl w:val="0"/>
          <w:numId w:val="9"/>
        </w:numPr>
      </w:pPr>
      <w:r w:rsidRPr="00F52378">
        <w:t>Erkennung von Abweichungen beim Unternehmen</w:t>
      </w:r>
    </w:p>
    <w:p w14:paraId="5E1EE284" w14:textId="77777777" w:rsidR="00F52378" w:rsidRPr="00F52378" w:rsidRDefault="00F52378" w:rsidP="00F52378">
      <w:pPr>
        <w:numPr>
          <w:ilvl w:val="0"/>
          <w:numId w:val="9"/>
        </w:numPr>
      </w:pPr>
      <w:r w:rsidRPr="00F52378">
        <w:t>einfache Entwicklung von Zielgrößen für das Unternehmen</w:t>
      </w:r>
    </w:p>
    <w:p w14:paraId="61E4CED2" w14:textId="77777777" w:rsidR="00F52378" w:rsidRPr="00F52378" w:rsidRDefault="00F52378" w:rsidP="00F52378">
      <w:pPr>
        <w:numPr>
          <w:ilvl w:val="0"/>
          <w:numId w:val="9"/>
        </w:numPr>
      </w:pPr>
      <w:r w:rsidRPr="00F52378">
        <w:t>vereinfachte Unternehmenssteuerung</w:t>
      </w:r>
    </w:p>
    <w:p w14:paraId="21DF4B92" w14:textId="77777777" w:rsidR="00F52378" w:rsidRPr="00F52378" w:rsidRDefault="00F52378" w:rsidP="00F52378">
      <w:pPr>
        <w:numPr>
          <w:ilvl w:val="0"/>
          <w:numId w:val="9"/>
        </w:numPr>
      </w:pPr>
      <w:r w:rsidRPr="00F52378">
        <w:t>Identifizierung von Schwachstellen</w:t>
      </w:r>
    </w:p>
    <w:p w14:paraId="0E62EE7E" w14:textId="77777777" w:rsidR="00F52378" w:rsidRPr="00F52378" w:rsidRDefault="00F52378" w:rsidP="00F52378">
      <w:r w:rsidRPr="00F52378">
        <w:t>Die Nachteile der Verwendung von Bilanzkennzahlen</w:t>
      </w:r>
    </w:p>
    <w:p w14:paraId="04641212" w14:textId="77777777" w:rsidR="00F52378" w:rsidRPr="00F52378" w:rsidRDefault="00F52378" w:rsidP="00F52378">
      <w:r w:rsidRPr="00F52378">
        <w:t>Andererseits sind der Nutzung von Bilanzkennzahlen jedoch auch Nachteile inhärent.</w:t>
      </w:r>
    </w:p>
    <w:p w14:paraId="0E15FC28" w14:textId="77777777" w:rsidR="00F52378" w:rsidRPr="00F52378" w:rsidRDefault="00F52378" w:rsidP="00F52378">
      <w:r w:rsidRPr="00F52378">
        <w:rPr>
          <w:b/>
          <w:bCs/>
        </w:rPr>
        <w:t>Insbesondere die folgenden Aspekte der Nutzung werden als nachteilig bewertet</w:t>
      </w:r>
      <w:r w:rsidRPr="00F52378">
        <w:t>:</w:t>
      </w:r>
    </w:p>
    <w:p w14:paraId="7C77462C" w14:textId="77777777" w:rsidR="00F52378" w:rsidRPr="00F52378" w:rsidRDefault="00F52378" w:rsidP="00F52378">
      <w:pPr>
        <w:numPr>
          <w:ilvl w:val="0"/>
          <w:numId w:val="10"/>
        </w:numPr>
      </w:pPr>
      <w:r w:rsidRPr="00F52378">
        <w:t>beliebige Manipulation durch Wahl der Kennzahlen</w:t>
      </w:r>
    </w:p>
    <w:p w14:paraId="06CBF64E" w14:textId="77777777" w:rsidR="00F52378" w:rsidRPr="00F52378" w:rsidRDefault="00F52378" w:rsidP="00F52378">
      <w:pPr>
        <w:numPr>
          <w:ilvl w:val="0"/>
          <w:numId w:val="10"/>
        </w:numPr>
      </w:pPr>
      <w:r w:rsidRPr="00F52378">
        <w:t>Fokussierung auf kurzfristigen Erfolg und Vernachlässigung langfristiger Erfolge</w:t>
      </w:r>
    </w:p>
    <w:p w14:paraId="59B4CC9A" w14:textId="77777777" w:rsidR="00F52378" w:rsidRPr="00F52378" w:rsidRDefault="00F52378" w:rsidP="00F52378">
      <w:pPr>
        <w:numPr>
          <w:ilvl w:val="0"/>
          <w:numId w:val="10"/>
        </w:numPr>
      </w:pPr>
      <w:r w:rsidRPr="00F52378">
        <w:t>Risiko einer einseitigen Fokussierung</w:t>
      </w:r>
    </w:p>
    <w:p w14:paraId="30265C46" w14:textId="77777777" w:rsidR="00F52378" w:rsidRPr="00316000" w:rsidRDefault="00F52378" w:rsidP="00F52378"/>
    <w:p w14:paraId="15832ECA" w14:textId="77777777" w:rsidR="00F52378" w:rsidRPr="00316000" w:rsidRDefault="00F52378" w:rsidP="00F52378"/>
    <w:p w14:paraId="6C49802A" w14:textId="77777777" w:rsidR="00F52378" w:rsidRPr="00316000" w:rsidRDefault="00F52378" w:rsidP="00F52378"/>
    <w:p w14:paraId="16CEA72C" w14:textId="77777777" w:rsidR="00F52378" w:rsidRPr="00316000" w:rsidRDefault="00F52378" w:rsidP="00F52378"/>
    <w:p w14:paraId="62AEE8F1" w14:textId="77777777" w:rsidR="00F52378" w:rsidRPr="00316000" w:rsidRDefault="00F52378" w:rsidP="00F52378"/>
    <w:p w14:paraId="547D3748" w14:textId="77777777" w:rsidR="00F52378" w:rsidRPr="00316000" w:rsidRDefault="00F52378" w:rsidP="00F52378"/>
    <w:p w14:paraId="089A4231" w14:textId="0C04DE69" w:rsidR="00F52378" w:rsidRPr="00F52378" w:rsidRDefault="00F52378" w:rsidP="00F52378">
      <w:pPr>
        <w:rPr>
          <w:b/>
          <w:bCs/>
        </w:rPr>
      </w:pPr>
      <w:r w:rsidRPr="00F52378">
        <w:rPr>
          <w:b/>
          <w:bCs/>
        </w:rPr>
        <w:lastRenderedPageBreak/>
        <w:t>Welche Bilanzkennzahlen gibt es und welche sind wirklich wichtig?</w:t>
      </w:r>
    </w:p>
    <w:p w14:paraId="4EC7B038" w14:textId="564F4A92" w:rsidR="00F52378" w:rsidRPr="00F52378" w:rsidRDefault="00F52378" w:rsidP="00F52378">
      <w:r w:rsidRPr="00F52378">
        <w:t>In einem Jahresabschluss werden zahlreiche Informationen über ein Unternehmen vorgestellt. So enthält der Abschluss regelmäßig eine Bilanz und eine Gewinn- und Verlustrechnung. Je nach Unternehmen werden auch ein Anhang und ein Lagebericht veröffentlicht. In diesen Unterlagen finden sich zahlreiche Daten, Zahlen und Fakten über ein Unternehmen. Sowohl für das Unternehmen selbst als auch externe Stakeholder, wie beispielsweise Aktionäre oder Investoren, kann es von großem Interesse sein, </w:t>
      </w:r>
      <w:hyperlink r:id="rId32" w:history="1">
        <w:r w:rsidRPr="00F52378">
          <w:rPr>
            <w:rStyle w:val="Hyperlink"/>
            <w:color w:val="auto"/>
          </w:rPr>
          <w:t>eine Analyse vorzunehmen</w:t>
        </w:r>
      </w:hyperlink>
      <w:r w:rsidRPr="00F52378">
        <w:t> und noch mehr über das Unternehmen zu erfahren. </w:t>
      </w:r>
      <w:r w:rsidRPr="00F52378">
        <w:rPr>
          <w:b/>
          <w:bCs/>
        </w:rPr>
        <w:t>Bilanzkennzahlen</w:t>
      </w:r>
      <w:r w:rsidRPr="00F52378">
        <w:t> kommen hierbei regelmäßig zum Einsatz. Doch welche Kennzahlen sind besonders wichtig?</w:t>
      </w:r>
    </w:p>
    <w:p w14:paraId="5DC041D0" w14:textId="77777777" w:rsidR="00F52378" w:rsidRPr="00F52378" w:rsidRDefault="00F52378" w:rsidP="00F52378">
      <w:pPr>
        <w:rPr>
          <w:b/>
          <w:bCs/>
        </w:rPr>
      </w:pPr>
      <w:r w:rsidRPr="00F52378">
        <w:rPr>
          <w:b/>
          <w:bCs/>
        </w:rPr>
        <w:t>Bilanzkennzahlen: Definition</w:t>
      </w:r>
    </w:p>
    <w:p w14:paraId="33A9B0DD" w14:textId="77777777" w:rsidR="00F52378" w:rsidRPr="00F52378" w:rsidRDefault="00F52378" w:rsidP="00F52378">
      <w:r w:rsidRPr="00F52378">
        <w:t xml:space="preserve">In einem Jahresabschluss werden viele Positionen und Zahlen aufgelistet. Diese liefern bereits eine ganze Menge Informationen über ein Unternehmen. Doch mithilfe von Kennzahlen können häufig noch viel </w:t>
      </w:r>
      <w:proofErr w:type="spellStart"/>
      <w:r w:rsidRPr="00F52378">
        <w:t>tiefgehendere</w:t>
      </w:r>
      <w:proofErr w:type="spellEnd"/>
      <w:r w:rsidRPr="00F52378">
        <w:t xml:space="preserve"> Erkenntnisse gewonnen werden. Durch Bilanzkennzahlen werden also verschiedene Bilanzpositionen miteinander ins Verhältnis gesetzt. Das Ergebnis kann positive Entwicklungen des Unternehmens aufzeigen oder auch auf mögliche Probleme hinweisen. Deshalb sind Bilanzkennzahlen für das Controlling von großer Bedeutung. Sie werden regelmäßig ermittelt und im Idealfall über einen langen Zeitraum hinweg betrachtet und miteinander verglichen.</w:t>
      </w:r>
    </w:p>
    <w:p w14:paraId="0FF2E222" w14:textId="77777777" w:rsidR="00F52378" w:rsidRPr="00F52378" w:rsidRDefault="00F52378" w:rsidP="00F52378">
      <w:r w:rsidRPr="00F52378">
        <w:t xml:space="preserve">Hinweise auf Liquiditätsschwierigkeiten lassen sich so frühzeitig </w:t>
      </w:r>
      <w:proofErr w:type="spellStart"/>
      <w:r w:rsidRPr="00F52378">
        <w:t>identifzieren</w:t>
      </w:r>
      <w:proofErr w:type="spellEnd"/>
      <w:r w:rsidRPr="00F52378">
        <w:t>. Im Liquiditätsmanagement können so beispielsweise mögliche Probleme durch ein unzureichendes Working Capital Management erkannt und Maßnahmen ergriffen werden.</w:t>
      </w:r>
    </w:p>
    <w:p w14:paraId="73D9EFA4" w14:textId="77777777" w:rsidR="00F52378" w:rsidRPr="00F52378" w:rsidRDefault="00F52378" w:rsidP="00F52378">
      <w:r w:rsidRPr="00F52378">
        <w:t xml:space="preserve">In der Literatur wird häufig zwischen vertikalen und horizontalen Bilanzkennzahlen unterschieden. Bei den vertikalen Bilanzkennzahlen werden beispielsweise verschiedene Bilanzpositionen nur </w:t>
      </w:r>
      <w:proofErr w:type="gramStart"/>
      <w:r w:rsidRPr="00F52378">
        <w:t>von der Aktiva</w:t>
      </w:r>
      <w:proofErr w:type="gramEnd"/>
      <w:r w:rsidRPr="00F52378">
        <w:t xml:space="preserve"> oder nur </w:t>
      </w:r>
      <w:proofErr w:type="gramStart"/>
      <w:r w:rsidRPr="00F52378">
        <w:t>von der Passiva</w:t>
      </w:r>
      <w:proofErr w:type="gramEnd"/>
      <w:r w:rsidRPr="00F52378">
        <w:t xml:space="preserve"> miteinander in Beziehung gesetzt. Bei horizontalen Bilanzkennzahlen werden sowohl Positionen der Aktiva als auch Positionen der Passiva bei der Berechnung miteinbezogen.</w:t>
      </w:r>
    </w:p>
    <w:p w14:paraId="0ACB56C0" w14:textId="3AECAD37" w:rsidR="00F52378" w:rsidRPr="00F52378" w:rsidRDefault="00F52378" w:rsidP="00F52378"/>
    <w:p w14:paraId="35CBB414" w14:textId="77777777" w:rsidR="00F52378" w:rsidRPr="00F52378" w:rsidRDefault="00F52378" w:rsidP="00F52378">
      <w:pPr>
        <w:rPr>
          <w:b/>
          <w:bCs/>
        </w:rPr>
      </w:pPr>
      <w:r w:rsidRPr="00F52378">
        <w:rPr>
          <w:b/>
          <w:bCs/>
        </w:rPr>
        <w:t>Bilanzkennzahlen berechnen</w:t>
      </w:r>
    </w:p>
    <w:p w14:paraId="62C8432C" w14:textId="77777777" w:rsidR="00F52378" w:rsidRPr="00F52378" w:rsidRDefault="00F52378" w:rsidP="00F52378">
      <w:r w:rsidRPr="00F52378">
        <w:lastRenderedPageBreak/>
        <w:t>Bilanzkennzahlen werden insbesondere für eine Bilanzanalyse ermittelt. Die Kennzahlen werden durch verschiedene Bilanzpositionen ermittelt. Hinweis: Bei dem Begriff Bilanzanalyse könnte man nun meinen, dass ausschließlich die Daten der Bilanz untersucht werden. Doch tatsächlich wird der gesamte Jahresabschluss als Datenquelle herangezogen – und damit auch beispielsweise die Gewinn- und Verlustrechnung.</w:t>
      </w:r>
    </w:p>
    <w:p w14:paraId="37C5DC02" w14:textId="77777777" w:rsidR="00F52378" w:rsidRPr="00F52378" w:rsidRDefault="00F52378" w:rsidP="00F52378">
      <w:r w:rsidRPr="00F52378">
        <w:t>Die Berechnung erfolgt auf der Basis verschiedener Formeln. Nachfolgend werden beispielhaft einige wichtige Bilanzkennzahlen vorgestellt:</w:t>
      </w:r>
    </w:p>
    <w:p w14:paraId="3C95F738" w14:textId="77777777" w:rsidR="00F52378" w:rsidRPr="00F52378" w:rsidRDefault="00F52378" w:rsidP="00F52378">
      <w:pPr>
        <w:rPr>
          <w:b/>
          <w:bCs/>
        </w:rPr>
      </w:pPr>
      <w:r w:rsidRPr="00F52378">
        <w:rPr>
          <w:b/>
          <w:bCs/>
        </w:rPr>
        <w:t>Wichtige Bilanzkennzahlen: Übersicht</w:t>
      </w:r>
    </w:p>
    <w:p w14:paraId="6039E58D" w14:textId="77777777" w:rsidR="00F52378" w:rsidRPr="00F52378" w:rsidRDefault="00F52378" w:rsidP="00F52378">
      <w:r w:rsidRPr="00F52378">
        <w:t>Vorweg sei darauf hingewiesen: Es gibt zahlreiche Kennzahlen und damit auch verschiedene Möglichkeiten, welche Daten analysiert werden sollen. Welche Bilanzkennzahlen also konkret ermittelt werden, hängen individuell vom Unternehmen und dem Zweck der Kennzahlen ab.</w:t>
      </w:r>
    </w:p>
    <w:p w14:paraId="282833A2" w14:textId="77777777" w:rsidR="00F52378" w:rsidRPr="00F52378" w:rsidRDefault="00F52378" w:rsidP="00F52378">
      <w:r w:rsidRPr="00F52378">
        <w:t>So können beispielsweise konkrete Einzelfragen beantwortet werden, wie: Zu welchem Anteil ist das Unternehmensvermögen eigenkapitalfinanziert? Doch bei einer Bilanzanalyse wird eine umfangreichere Betrachtung vorgenommen. Sie zielt regelmäßig darauf ab, ein konkretes Bild über das Unternehmen als Ganzes zu bekommen. Es gibt deshalb keinen einheitlichen Standard, wie viele oder welche Kennzahlen ein Unternehmen genau berechnen sollte.</w:t>
      </w:r>
    </w:p>
    <w:p w14:paraId="2951866D" w14:textId="77777777" w:rsidR="00F52378" w:rsidRPr="00F52378" w:rsidRDefault="00F52378" w:rsidP="00F52378">
      <w:r w:rsidRPr="00F52378">
        <w:t>Es gibt jedoch einige Kennzahlen, die sich besonders bewährt haben in der Praxis und deshalb vergleichsweise häufig ermittelt werden. Hier ein kleiner Überblick zu einigen wichtigen Bilanzkennzahlen:</w:t>
      </w:r>
    </w:p>
    <w:p w14:paraId="379EBC65" w14:textId="77777777" w:rsidR="00F52378" w:rsidRPr="00F52378" w:rsidRDefault="00F52378" w:rsidP="00F52378">
      <w:pPr>
        <w:numPr>
          <w:ilvl w:val="0"/>
          <w:numId w:val="11"/>
        </w:numPr>
      </w:pPr>
      <w:r w:rsidRPr="00F52378">
        <w:t>Eigenkapitalquote</w:t>
      </w:r>
    </w:p>
    <w:p w14:paraId="5FAE3C64" w14:textId="77777777" w:rsidR="00F52378" w:rsidRPr="00F52378" w:rsidRDefault="00F52378" w:rsidP="00F52378">
      <w:pPr>
        <w:numPr>
          <w:ilvl w:val="0"/>
          <w:numId w:val="11"/>
        </w:numPr>
      </w:pPr>
      <w:r w:rsidRPr="00F52378">
        <w:t>Fremdkapitalquote</w:t>
      </w:r>
    </w:p>
    <w:p w14:paraId="3A4FB008" w14:textId="77777777" w:rsidR="00F52378" w:rsidRPr="00F52378" w:rsidRDefault="00F52378" w:rsidP="00F52378">
      <w:pPr>
        <w:numPr>
          <w:ilvl w:val="0"/>
          <w:numId w:val="11"/>
        </w:numPr>
      </w:pPr>
      <w:r w:rsidRPr="00F52378">
        <w:t>Verschuldungsgrad</w:t>
      </w:r>
    </w:p>
    <w:p w14:paraId="1E20E55F" w14:textId="77777777" w:rsidR="00F52378" w:rsidRPr="00F52378" w:rsidRDefault="00F52378" w:rsidP="00F52378">
      <w:pPr>
        <w:numPr>
          <w:ilvl w:val="0"/>
          <w:numId w:val="11"/>
        </w:numPr>
      </w:pPr>
      <w:r w:rsidRPr="00F52378">
        <w:t>Anlagendeckungsgrad</w:t>
      </w:r>
    </w:p>
    <w:p w14:paraId="6F0C2568" w14:textId="77777777" w:rsidR="00F52378" w:rsidRPr="00F52378" w:rsidRDefault="00F52378" w:rsidP="00F52378">
      <w:pPr>
        <w:numPr>
          <w:ilvl w:val="0"/>
          <w:numId w:val="11"/>
        </w:numPr>
      </w:pPr>
      <w:r w:rsidRPr="00F52378">
        <w:t>Liquidität 1. Grades</w:t>
      </w:r>
    </w:p>
    <w:p w14:paraId="4003F3F4" w14:textId="77777777" w:rsidR="00F52378" w:rsidRPr="00F52378" w:rsidRDefault="00F52378" w:rsidP="00F52378">
      <w:pPr>
        <w:numPr>
          <w:ilvl w:val="0"/>
          <w:numId w:val="11"/>
        </w:numPr>
      </w:pPr>
      <w:r w:rsidRPr="00F52378">
        <w:t>Liquidität 2. Grades</w:t>
      </w:r>
    </w:p>
    <w:p w14:paraId="72B2A424" w14:textId="77777777" w:rsidR="00F52378" w:rsidRPr="00F52378" w:rsidRDefault="00F52378" w:rsidP="00F52378">
      <w:pPr>
        <w:numPr>
          <w:ilvl w:val="0"/>
          <w:numId w:val="11"/>
        </w:numPr>
      </w:pPr>
      <w:r w:rsidRPr="00F52378">
        <w:t>Liquidität 3. Grades</w:t>
      </w:r>
    </w:p>
    <w:p w14:paraId="4A4FE460" w14:textId="77777777" w:rsidR="00F52378" w:rsidRPr="00F52378" w:rsidRDefault="00F52378" w:rsidP="00F52378">
      <w:pPr>
        <w:numPr>
          <w:ilvl w:val="0"/>
          <w:numId w:val="11"/>
        </w:numPr>
      </w:pPr>
      <w:r w:rsidRPr="00F52378">
        <w:lastRenderedPageBreak/>
        <w:t>Working Capital</w:t>
      </w:r>
    </w:p>
    <w:p w14:paraId="75F914E8" w14:textId="77777777" w:rsidR="00F52378" w:rsidRPr="00F52378" w:rsidRDefault="00F52378" w:rsidP="00F52378">
      <w:pPr>
        <w:numPr>
          <w:ilvl w:val="0"/>
          <w:numId w:val="11"/>
        </w:numPr>
      </w:pPr>
      <w:r w:rsidRPr="00F52378">
        <w:t>Anlagenintensität</w:t>
      </w:r>
    </w:p>
    <w:p w14:paraId="6FA406E8" w14:textId="77777777" w:rsidR="00F52378" w:rsidRPr="00F52378" w:rsidRDefault="00F52378" w:rsidP="00F52378">
      <w:pPr>
        <w:numPr>
          <w:ilvl w:val="0"/>
          <w:numId w:val="11"/>
        </w:numPr>
      </w:pPr>
      <w:r w:rsidRPr="00F52378">
        <w:t>Umlaufintensität</w:t>
      </w:r>
    </w:p>
    <w:p w14:paraId="02A9F197" w14:textId="77777777" w:rsidR="00F52378" w:rsidRPr="00F52378" w:rsidRDefault="00F52378" w:rsidP="00F52378">
      <w:pPr>
        <w:numPr>
          <w:ilvl w:val="0"/>
          <w:numId w:val="11"/>
        </w:numPr>
      </w:pPr>
      <w:r w:rsidRPr="00F52378">
        <w:t>Vorratsintensität</w:t>
      </w:r>
    </w:p>
    <w:p w14:paraId="4CA5D258" w14:textId="77777777" w:rsidR="00F52378" w:rsidRPr="00F52378" w:rsidRDefault="00F52378" w:rsidP="00F52378">
      <w:pPr>
        <w:rPr>
          <w:b/>
          <w:bCs/>
        </w:rPr>
      </w:pPr>
      <w:r w:rsidRPr="00F52378">
        <w:rPr>
          <w:b/>
          <w:bCs/>
        </w:rPr>
        <w:t>Bilanzkennzahlen: Formeln</w:t>
      </w:r>
    </w:p>
    <w:p w14:paraId="1083656C" w14:textId="77777777" w:rsidR="00F52378" w:rsidRPr="00F52378" w:rsidRDefault="00F52378" w:rsidP="00F52378">
      <w:r w:rsidRPr="00F52378">
        <w:t>Wichtige Formeln zu Bilanzkennzahlen sind beispielsweise:</w:t>
      </w:r>
    </w:p>
    <w:p w14:paraId="1BD6967C" w14:textId="77777777" w:rsidR="00F52378" w:rsidRPr="00F52378" w:rsidRDefault="00F52378" w:rsidP="00F52378">
      <w:pPr>
        <w:numPr>
          <w:ilvl w:val="0"/>
          <w:numId w:val="12"/>
        </w:numPr>
      </w:pPr>
      <w:r w:rsidRPr="00F52378">
        <w:t>Eigenkapitalquote = (Eigenkapital / Bilanzsumme) x 100</w:t>
      </w:r>
    </w:p>
    <w:p w14:paraId="1257DA02" w14:textId="77777777" w:rsidR="00F52378" w:rsidRPr="00F52378" w:rsidRDefault="00F52378" w:rsidP="00F52378">
      <w:pPr>
        <w:numPr>
          <w:ilvl w:val="0"/>
          <w:numId w:val="12"/>
        </w:numPr>
      </w:pPr>
      <w:r w:rsidRPr="00F52378">
        <w:t>Fremdkapitalquote = (Fremdkapital / Bilanzsumme) x 100</w:t>
      </w:r>
    </w:p>
    <w:p w14:paraId="4F5332BA" w14:textId="77777777" w:rsidR="00F52378" w:rsidRPr="00F52378" w:rsidRDefault="00F52378" w:rsidP="00F52378">
      <w:pPr>
        <w:numPr>
          <w:ilvl w:val="0"/>
          <w:numId w:val="12"/>
        </w:numPr>
      </w:pPr>
      <w:r w:rsidRPr="00F52378">
        <w:t>Verschuldungsgrad = Fremdkapital / Eigenkapital x 100</w:t>
      </w:r>
    </w:p>
    <w:p w14:paraId="45CDE5A8" w14:textId="77777777" w:rsidR="00F52378" w:rsidRPr="00F52378" w:rsidRDefault="00F52378" w:rsidP="00F52378">
      <w:pPr>
        <w:numPr>
          <w:ilvl w:val="0"/>
          <w:numId w:val="12"/>
        </w:numPr>
      </w:pPr>
      <w:r w:rsidRPr="00F52378">
        <w:t>Anlagenintensität = Anlagevermögen / Gesamtvermögen x 100</w:t>
      </w:r>
    </w:p>
    <w:p w14:paraId="06F040F1" w14:textId="77777777" w:rsidR="00F52378" w:rsidRPr="00F52378" w:rsidRDefault="00F52378" w:rsidP="00F52378">
      <w:pPr>
        <w:numPr>
          <w:ilvl w:val="0"/>
          <w:numId w:val="12"/>
        </w:numPr>
      </w:pPr>
      <w:r w:rsidRPr="00F52378">
        <w:t>Umlaufintensität = Umlaufvermögen / Gesamtvermögen * 100</w:t>
      </w:r>
    </w:p>
    <w:p w14:paraId="49F80809" w14:textId="77777777" w:rsidR="00F52378" w:rsidRPr="00F52378" w:rsidRDefault="00F52378" w:rsidP="00F52378">
      <w:r w:rsidRPr="00F52378">
        <w:t>Es gibt jedoch zahlreiche Kennzahlen und damit auch viele Formeln. Bei einer Bilanzanalyse kommt es darauf an, was genau betrachtet werden soll. So können beispielsweise Kennzahlen berechnet werden, die die Produktion des Unternehmens genauer unter die Lupe nehmen. Andere Kennzahlen betrachten das Personalwesen. Und bestimmte Kennzahlen können die finanzielle Situation des Unternehmens näher analysieren.</w:t>
      </w:r>
    </w:p>
    <w:p w14:paraId="4B591ABC" w14:textId="77777777" w:rsidR="00F52378" w:rsidRPr="00F52378" w:rsidRDefault="00F52378" w:rsidP="00F52378">
      <w:pPr>
        <w:rPr>
          <w:b/>
          <w:bCs/>
        </w:rPr>
      </w:pPr>
      <w:r w:rsidRPr="00F52378">
        <w:rPr>
          <w:b/>
          <w:bCs/>
        </w:rPr>
        <w:t>Bilanzkennzahlen zur Liquidität</w:t>
      </w:r>
    </w:p>
    <w:p w14:paraId="3463737E" w14:textId="77777777" w:rsidR="00F52378" w:rsidRPr="00F52378" w:rsidRDefault="00F52378" w:rsidP="00F52378">
      <w:r w:rsidRPr="00F52378">
        <w:t>Auch zur Liquiditätssituation eines Unternehmens können Kennzahlen interessante Informationen liefern. So gibt es beispielsweise die Kennzahlen:</w:t>
      </w:r>
    </w:p>
    <w:p w14:paraId="66527067" w14:textId="77777777" w:rsidR="00F52378" w:rsidRPr="00F52378" w:rsidRDefault="00F52378" w:rsidP="00F52378">
      <w:pPr>
        <w:numPr>
          <w:ilvl w:val="0"/>
          <w:numId w:val="13"/>
        </w:numPr>
      </w:pPr>
      <w:r w:rsidRPr="00F52378">
        <w:t>Liquidität 1. Grades</w:t>
      </w:r>
    </w:p>
    <w:p w14:paraId="03AF1223" w14:textId="77777777" w:rsidR="00F52378" w:rsidRPr="00F52378" w:rsidRDefault="00F52378" w:rsidP="00F52378">
      <w:pPr>
        <w:numPr>
          <w:ilvl w:val="0"/>
          <w:numId w:val="13"/>
        </w:numPr>
      </w:pPr>
      <w:r w:rsidRPr="00F52378">
        <w:t>Liquidität 2. Grades</w:t>
      </w:r>
    </w:p>
    <w:p w14:paraId="6E577FB6" w14:textId="77777777" w:rsidR="00F52378" w:rsidRPr="00F52378" w:rsidRDefault="00F52378" w:rsidP="00F52378">
      <w:pPr>
        <w:numPr>
          <w:ilvl w:val="0"/>
          <w:numId w:val="13"/>
        </w:numPr>
      </w:pPr>
      <w:r w:rsidRPr="00F52378">
        <w:t>Liquidität 3. Grades</w:t>
      </w:r>
    </w:p>
    <w:p w14:paraId="2DCB4F65" w14:textId="77777777" w:rsidR="00F52378" w:rsidRPr="00F52378" w:rsidRDefault="00F52378" w:rsidP="00F52378">
      <w:r w:rsidRPr="00F52378">
        <w:t xml:space="preserve">Mit der </w:t>
      </w:r>
      <w:proofErr w:type="spellStart"/>
      <w:r w:rsidRPr="00F52378">
        <w:t>Liquidtät</w:t>
      </w:r>
      <w:proofErr w:type="spellEnd"/>
      <w:r w:rsidRPr="00F52378">
        <w:t xml:space="preserve"> 1. Grades wird ermittelt, ob das Unternehmen seinen kurzfristigen Verbindlichkeiten mit den vorhandenen liquiden Mitteln nachkommen kann. Die Formel lautet:</w:t>
      </w:r>
    </w:p>
    <w:p w14:paraId="6BB1AD48" w14:textId="77777777" w:rsidR="00F52378" w:rsidRPr="00F52378" w:rsidRDefault="00F52378" w:rsidP="00F52378">
      <w:r w:rsidRPr="00F52378">
        <w:rPr>
          <w:i/>
          <w:iCs/>
        </w:rPr>
        <w:t>Liquide Mittel / kurzfristige Verbindlichkeiten × 100</w:t>
      </w:r>
    </w:p>
    <w:p w14:paraId="1A5189F6" w14:textId="77777777" w:rsidR="00F52378" w:rsidRPr="00F52378" w:rsidRDefault="00F52378" w:rsidP="00F52378">
      <w:r w:rsidRPr="00F52378">
        <w:lastRenderedPageBreak/>
        <w:t>Mit der Liquidität 2. Grades wird ermittelt, ob das Unternehmen seinen kurzfristigen Verbindlichkeiten mit den vorhandenen liquiden Mitteln zuzüglich der kurzfristigen Forderungen nachkommen kann. Die Formel lautet:</w:t>
      </w:r>
    </w:p>
    <w:p w14:paraId="45265DEF" w14:textId="77777777" w:rsidR="00F52378" w:rsidRPr="00F52378" w:rsidRDefault="00F52378" w:rsidP="00F52378">
      <w:r w:rsidRPr="00F52378">
        <w:rPr>
          <w:i/>
          <w:iCs/>
        </w:rPr>
        <w:t>(Liquide Mittel + kurzfristige Forderungen) / kurzfristige Verbindlichkeiten × 100</w:t>
      </w:r>
    </w:p>
    <w:p w14:paraId="6BEE832C" w14:textId="77777777" w:rsidR="00F52378" w:rsidRPr="00F52378" w:rsidRDefault="00F52378" w:rsidP="00F52378">
      <w:r w:rsidRPr="00F52378">
        <w:t>Mit der Liquidität 3. Grades wird ermittelt, inwiefern die kurzfristigen Verbindlichkeiten durch Mittel des Umlaufvermögens finanziert werden könnten. Die Formel lautet hier:</w:t>
      </w:r>
    </w:p>
    <w:p w14:paraId="382B17A9" w14:textId="77777777" w:rsidR="00F52378" w:rsidRPr="00F52378" w:rsidRDefault="00F52378" w:rsidP="00F52378">
      <w:r w:rsidRPr="00F52378">
        <w:rPr>
          <w:i/>
          <w:iCs/>
        </w:rPr>
        <w:t>Umlaufvermögen / kurzfristige Verbindlichkeiten x 100</w:t>
      </w:r>
    </w:p>
    <w:p w14:paraId="68377ECA" w14:textId="77777777" w:rsidR="00F52378" w:rsidRPr="00F52378" w:rsidRDefault="00F52378" w:rsidP="00F52378">
      <w:r w:rsidRPr="00F52378">
        <w:t>Diese Liquiditätskennzahlen können also mithilfe der Bilanz ermittelt werden. Sie sind sowohl für externe Stakeholder interessant, um beispielsweise die Kreditwürdigkeit eines Unternehmens zu beurteilen. Doch auch für interne Zwecke sind diese Daten relevant. Das </w:t>
      </w:r>
      <w:hyperlink r:id="rId33" w:history="1">
        <w:r w:rsidRPr="00F52378">
          <w:rPr>
            <w:rStyle w:val="Hyperlink"/>
            <w:color w:val="auto"/>
          </w:rPr>
          <w:t>Liquiditätsmanagement</w:t>
        </w:r>
      </w:hyperlink>
      <w:r w:rsidRPr="00F52378">
        <w:t> sollte immer sicherstellen, dass das Unternehmen seinen Verbindlichkeiten nachkommen kann und zahlungsfähig bleibt. Im Idealfall kann das Liquiditätsmanagement in Echtzeit verschiedene Kennzahlen im Blick behalten. Moderne Technologien ermöglichen dies bereits und beschleunigen das Controlling dadurch erheblich.</w:t>
      </w:r>
    </w:p>
    <w:p w14:paraId="340807C4" w14:textId="77777777" w:rsidR="00F52378" w:rsidRPr="00F52378" w:rsidRDefault="00F52378" w:rsidP="00F52378">
      <w:pPr>
        <w:rPr>
          <w:b/>
          <w:bCs/>
        </w:rPr>
      </w:pPr>
      <w:r w:rsidRPr="00F52378">
        <w:rPr>
          <w:b/>
          <w:bCs/>
        </w:rPr>
        <w:t>Interpretation der Bilanzkennzahlen</w:t>
      </w:r>
    </w:p>
    <w:p w14:paraId="331EB1C3" w14:textId="77777777" w:rsidR="00F52378" w:rsidRPr="00F52378" w:rsidRDefault="00F52378" w:rsidP="00F52378">
      <w:r w:rsidRPr="00F52378">
        <w:t>Bei der Interpretation von Bilanzkennzahlen ist Fingerspitzengefühl erforderlich. Eine Kennzahl allein lässt noch kein Urteil darüber zu, ob ein Unternehmen sich positiv entwickelt oder möglicherweise krisengefährdet ist. Wichtig ist, einen Gesamteindruck zu erhalten. Und dazu sollten verschiedene Aspekte betrachtet werden.</w:t>
      </w:r>
    </w:p>
    <w:p w14:paraId="3B964B39" w14:textId="77777777" w:rsidR="00F52378" w:rsidRPr="00F52378" w:rsidRDefault="00F52378" w:rsidP="00F52378">
      <w:r w:rsidRPr="00F52378">
        <w:t>Zudem spielt der Betrachtungszeitraum eine große Rolle. Wenn beispielsweise bestimmte Kennzahlen über einen längeren Zeitraum ermittelt und analysiert werden, lassen sich bestimmte Trends besser abzeichnen. Wenn hingegen lediglich ein Quartal betrachtet wird, ist das für sich nicht unbedingt repräsentativ für die Gesamtentwicklung eines Unternehmens.</w:t>
      </w:r>
    </w:p>
    <w:p w14:paraId="0FD0AB31" w14:textId="77777777" w:rsidR="00F52378" w:rsidRPr="00F52378" w:rsidRDefault="00F52378" w:rsidP="00F52378">
      <w:r w:rsidRPr="00F52378">
        <w:t>Bilanzkennzahlen können auch danach beurteilt werden, ob bestimmte Richtwerte erreicht oder unterschritten werden. Das ist beispielsweise insbesondere bei der Kapitalstruktur des Unternehmens interessant. Branchenspezifische Unterschiede müssen hierbei beachtet werden.</w:t>
      </w:r>
    </w:p>
    <w:p w14:paraId="53443657" w14:textId="77777777" w:rsidR="00F52378" w:rsidRPr="00F52378" w:rsidRDefault="00F52378" w:rsidP="00F52378">
      <w:r w:rsidRPr="00F52378">
        <w:t>Nimmt man beispielsweise die </w:t>
      </w:r>
      <w:hyperlink r:id="rId34" w:history="1">
        <w:r w:rsidRPr="00F52378">
          <w:rPr>
            <w:rStyle w:val="Hyperlink"/>
            <w:color w:val="auto"/>
          </w:rPr>
          <w:t>Fremdkapitalquote</w:t>
        </w:r>
      </w:hyperlink>
      <w:r w:rsidRPr="00F52378">
        <w:t xml:space="preserve">, so wird regelmäßig als Richtwert eine Quote von max. 60-70 % empfohlen. Doch in manchen Branchen ist die </w:t>
      </w:r>
      <w:r w:rsidRPr="00F52378">
        <w:lastRenderedPageBreak/>
        <w:t>Fremdverschuldung regelmäßig höher als in anderen. Das sollte bei der Beurteilung daher miteinbezogen werden.</w:t>
      </w:r>
    </w:p>
    <w:p w14:paraId="7AE582A4" w14:textId="77777777" w:rsidR="00F52378" w:rsidRPr="00F52378" w:rsidRDefault="00F52378" w:rsidP="00F52378">
      <w:r w:rsidRPr="00F52378">
        <w:t>Wichtig: Bilanzkennzahlen werden beispielsweise insbesondere von Banken analysiert. Sie sind bei Kreditwürdigkeitsprüfungen eine wichtige Informationsquelle. Doch auch Investoren und Aktionäre interessieren sich häufig für Bilanzkennzahlen, um Investitionsrisiken besser einschätzen zu können. Für Unternehmen ist es deshalb wichtig, die Bilanzkennzahlen im Blick zu halten und ggf. Maßnahmen zu ergreifen, um diese zu optimieren. Denn das kann sich erheblich auf die Finanzierung des Unternehmens auswirken.</w:t>
      </w:r>
    </w:p>
    <w:p w14:paraId="51D1C204" w14:textId="77777777" w:rsidR="00F52378" w:rsidRPr="00F52378" w:rsidRDefault="00F52378" w:rsidP="00F52378">
      <w:pPr>
        <w:rPr>
          <w:b/>
          <w:bCs/>
        </w:rPr>
      </w:pPr>
      <w:r w:rsidRPr="00F52378">
        <w:rPr>
          <w:b/>
          <w:bCs/>
        </w:rPr>
        <w:t>Kritik an Bilanzkennzahlen</w:t>
      </w:r>
    </w:p>
    <w:p w14:paraId="770CF7C7" w14:textId="77777777" w:rsidR="00F52378" w:rsidRPr="00F52378" w:rsidRDefault="00F52378" w:rsidP="00F52378">
      <w:r w:rsidRPr="00F52378">
        <w:t>Bilanzkennzahlen können ohne Frage interessante Informationen liefern. Sie können dazu beitragen, dass Unternehmen sich messbare Ziele setzen und diese entsprechend verfolgen. Zudem tragen Kennzahlen zur Transparenz bei und liefern Informationen zur Entwicklung eines Unternehmens. Allerdings bringen Kennzahlen auch Schwächen mit sich, wenn sie fehlerhaft zur Anwendung kommen.</w:t>
      </w:r>
    </w:p>
    <w:p w14:paraId="478A95D0" w14:textId="77777777" w:rsidR="00F52378" w:rsidRPr="00F52378" w:rsidRDefault="00F52378" w:rsidP="00F52378">
      <w:r w:rsidRPr="00F52378">
        <w:t>Kennzahlen wirken sehr faktenbasiert und damit unerschütterlich. Doch im Umgang mit Kennzahlen wird ein Bewusstsein benötigt, wie diese ermittelt wurden. Entscheidend ist, dass die Bilanzkennzahlen nicht fehlinterpretiert werden. Auch bei Kennzahlenanalysen gibt es Grenzen! Wichtig ist zum Beispiel die Frage, welche Daten herangezogen werden.</w:t>
      </w:r>
    </w:p>
    <w:p w14:paraId="2AA2249B" w14:textId="77777777" w:rsidR="00F52378" w:rsidRPr="00316000" w:rsidRDefault="00F52378" w:rsidP="00F52378">
      <w:r w:rsidRPr="00F52378">
        <w:t>Wenn die </w:t>
      </w:r>
      <w:hyperlink r:id="rId35" w:history="1">
        <w:r w:rsidRPr="00F52378">
          <w:rPr>
            <w:rStyle w:val="Hyperlink"/>
            <w:color w:val="auto"/>
          </w:rPr>
          <w:t>Liquiditätssituation</w:t>
        </w:r>
      </w:hyperlink>
      <w:r w:rsidRPr="00F52378">
        <w:t> eines Unternehmens beurteilt werden soll, jedoch dafür die Daten des letzten Jahresabschlusses als Informationsquelle genutzt werden, dann kann die Realität diese Ergebnisse schon längst überholt haben. Die Kennzahlenanalyse kann dann zu einer Fehlinterpretation führen. Auf diese Weise lassen sich sogar Kennzahlen manipulativ einsetzen und ein wesentlich positiveres Bild eines Unternehmens zeichnen, als es der aktuellen Situation entspricht. Deshalb sollten auch Kennzahlen kritisch hinterfragt werden.</w:t>
      </w:r>
    </w:p>
    <w:p w14:paraId="224302B3" w14:textId="77777777" w:rsidR="00F52378" w:rsidRPr="00316000" w:rsidRDefault="00F52378" w:rsidP="00F52378"/>
    <w:p w14:paraId="06E225FE" w14:textId="77777777" w:rsidR="00F52378" w:rsidRPr="00316000" w:rsidRDefault="00F52378" w:rsidP="00F52378"/>
    <w:p w14:paraId="7D3EBFE7" w14:textId="77777777" w:rsidR="00F52378" w:rsidRPr="00316000" w:rsidRDefault="00F52378" w:rsidP="00F52378"/>
    <w:p w14:paraId="347DF203" w14:textId="77777777" w:rsidR="00F52378" w:rsidRPr="00316000" w:rsidRDefault="00F52378" w:rsidP="00F52378"/>
    <w:p w14:paraId="0345A4A4" w14:textId="77777777" w:rsidR="005D52FF" w:rsidRPr="005D52FF" w:rsidRDefault="005D52FF" w:rsidP="005D52FF">
      <w:pPr>
        <w:rPr>
          <w:b/>
          <w:bCs/>
        </w:rPr>
      </w:pPr>
      <w:r w:rsidRPr="005D52FF">
        <w:rPr>
          <w:b/>
          <w:bCs/>
        </w:rPr>
        <w:lastRenderedPageBreak/>
        <w:t>Bilanzkennzahlen</w:t>
      </w:r>
    </w:p>
    <w:p w14:paraId="1D91103A" w14:textId="77777777" w:rsidR="005D52FF" w:rsidRPr="005D52FF" w:rsidRDefault="005D52FF" w:rsidP="005D52FF">
      <w:r w:rsidRPr="005D52FF">
        <w:t>Bilanzkennzahlen sind die Grundlage des Controllings! Hier bekommst du eine Übersicht der wichtigsten Kennzahlen und die grundlegendsten Formeln erklärt.</w:t>
      </w:r>
    </w:p>
    <w:p w14:paraId="61285104" w14:textId="77777777" w:rsidR="005D52FF" w:rsidRPr="005D52FF" w:rsidRDefault="005D52FF" w:rsidP="005D52FF">
      <w:r w:rsidRPr="005D52FF">
        <w:t>Du möchtest alles audiovisuell zusammengefasst bekommen? Dann schau dir unser </w:t>
      </w:r>
      <w:hyperlink r:id="rId36" w:history="1">
        <w:r w:rsidRPr="005D52FF">
          <w:rPr>
            <w:rStyle w:val="Hyperlink"/>
            <w:b/>
            <w:bCs/>
            <w:color w:val="auto"/>
          </w:rPr>
          <w:t>Video </w:t>
        </w:r>
      </w:hyperlink>
      <w:r w:rsidRPr="005D52FF">
        <w:t> dazu an.</w:t>
      </w:r>
    </w:p>
    <w:p w14:paraId="69AEAF62" w14:textId="151BCFE4" w:rsidR="005D52FF" w:rsidRPr="005D52FF" w:rsidRDefault="005D52FF" w:rsidP="005D52FF">
      <w:r w:rsidRPr="005D52FF">
        <w:t>Inhaltsübersicht</w:t>
      </w:r>
    </w:p>
    <w:p w14:paraId="33C7DF6E" w14:textId="7AFDF78A" w:rsidR="005D52FF" w:rsidRPr="005D52FF" w:rsidRDefault="005D52FF" w:rsidP="005D52FF">
      <w:pPr>
        <w:rPr>
          <w:b/>
          <w:bCs/>
        </w:rPr>
      </w:pPr>
      <w:r w:rsidRPr="005D52FF">
        <w:rPr>
          <w:b/>
          <w:bCs/>
        </w:rPr>
        <w:t>Bilanzkennzahlen Übersicht</w:t>
      </w:r>
    </w:p>
    <w:p w14:paraId="15D34219" w14:textId="77777777" w:rsidR="005D52FF" w:rsidRPr="005D52FF" w:rsidRDefault="005D52FF" w:rsidP="005D52FF">
      <w:r w:rsidRPr="005D52FF">
        <w:t>Bilanzkennzahlen gehören zu den betriebswirtschaftlichen</w:t>
      </w:r>
      <w:hyperlink r:id="rId37" w:history="1">
        <w:r w:rsidRPr="005D52FF">
          <w:rPr>
            <w:rStyle w:val="Hyperlink"/>
            <w:b/>
            <w:bCs/>
            <w:color w:val="auto"/>
          </w:rPr>
          <w:t> Kennzahlen </w:t>
        </w:r>
      </w:hyperlink>
      <w:r w:rsidRPr="005D52FF">
        <w:t>. Sie fassen die wichtigsten Zahlen aus der Bilanz zusammen und stellen diese ins Verhältnis. Dadurch lässt sich die wirtschaftliche Lage des Unternehmens darstellen und mit Konkurrenten aus der gleichen Branche vergleichen. </w:t>
      </w:r>
    </w:p>
    <w:p w14:paraId="649B8954" w14:textId="77777777" w:rsidR="005D52FF" w:rsidRPr="005D52FF" w:rsidRDefault="005D52FF" w:rsidP="005D52FF">
      <w:r w:rsidRPr="005D52FF">
        <w:t xml:space="preserve">Bilanzkennzahlen sind zu unterschiedlichen Zwecken von Bedeutung:  Sie lassen sich zur internen Erfolgsmessung verwenden, um Unternehmenstätigkeiten zu vorherigen Jahren in Vergleich zu setzen. Bilanzkennzahlen besitzen außerdem eine </w:t>
      </w:r>
      <w:proofErr w:type="spellStart"/>
      <w:r w:rsidRPr="005D52FF">
        <w:t>Controllingfunktion</w:t>
      </w:r>
      <w:proofErr w:type="spellEnd"/>
      <w:r w:rsidRPr="005D52FF">
        <w:t xml:space="preserve"> und dienen im Rahmen von Soll – Ist – Vergleichen dem Zweck einer internen Unternehmenssteuerung. Darüber hinaus lassen sich mit ihrer Hilfe auch die wirtschaftliche Lage von Unternehmen extern bewerten. Hier ist eine Übersicht über die wichtigsten Kennzahlen, die die Aussagekraft der Bilanz steigern und übersichtlich zusammenfassen: </w:t>
      </w:r>
    </w:p>
    <w:p w14:paraId="37711C9A" w14:textId="77777777" w:rsidR="005D52FF" w:rsidRPr="005D52FF" w:rsidRDefault="005D52FF" w:rsidP="005D52FF">
      <w:r w:rsidRPr="005D52FF">
        <w:t>Neben den Bilanzkennzahlen spielen in der Analyse der </w:t>
      </w:r>
      <w:hyperlink r:id="rId38" w:history="1">
        <w:r w:rsidRPr="005D52FF">
          <w:rPr>
            <w:rStyle w:val="Hyperlink"/>
            <w:b/>
            <w:bCs/>
            <w:color w:val="auto"/>
          </w:rPr>
          <w:t>Wirtschaftlichkeit </w:t>
        </w:r>
      </w:hyperlink>
      <w:r w:rsidRPr="005D52FF">
        <w:t>von Unternehmen auch </w:t>
      </w:r>
      <w:hyperlink r:id="rId39" w:anchor="playlist-erfolgs-und-bilanzkennzahlen-166" w:history="1">
        <w:r w:rsidRPr="005D52FF">
          <w:rPr>
            <w:rStyle w:val="Hyperlink"/>
            <w:b/>
            <w:bCs/>
            <w:color w:val="auto"/>
          </w:rPr>
          <w:t>Erfolgskennzahlen</w:t>
        </w:r>
      </w:hyperlink>
      <w:r w:rsidRPr="005D52FF">
        <w:t>, </w:t>
      </w:r>
      <w:hyperlink r:id="rId40" w:anchor="playlist-finanzkennzahlen-293" w:history="1">
        <w:r w:rsidRPr="005D52FF">
          <w:rPr>
            <w:rStyle w:val="Hyperlink"/>
            <w:b/>
            <w:bCs/>
            <w:color w:val="auto"/>
          </w:rPr>
          <w:t>Finanzkennzahlen</w:t>
        </w:r>
      </w:hyperlink>
      <w:r w:rsidRPr="005D52FF">
        <w:rPr>
          <w:b/>
          <w:bCs/>
        </w:rPr>
        <w:t> </w:t>
      </w:r>
      <w:r w:rsidRPr="005D52FF">
        <w:t>und </w:t>
      </w:r>
      <w:hyperlink r:id="rId41" w:anchor="playlist-rentabilitatskennzahlen-287" w:history="1">
        <w:r w:rsidRPr="005D52FF">
          <w:rPr>
            <w:rStyle w:val="Hyperlink"/>
            <w:b/>
            <w:bCs/>
            <w:color w:val="auto"/>
          </w:rPr>
          <w:t>Rentabilitätskennzahlen</w:t>
        </w:r>
      </w:hyperlink>
      <w:r w:rsidRPr="005D52FF">
        <w:rPr>
          <w:b/>
          <w:bCs/>
        </w:rPr>
        <w:t> </w:t>
      </w:r>
      <w:r w:rsidRPr="005D52FF">
        <w:t>eine wichtige Rolle. Vor allem die Rentabilitätskennzahlen werden unter Umständen zu den Bilanzkennzahlen gezählt. Zu ihnen gehören die </w:t>
      </w:r>
      <w:hyperlink r:id="rId42" w:history="1">
        <w:r w:rsidRPr="005D52FF">
          <w:rPr>
            <w:rStyle w:val="Hyperlink"/>
            <w:b/>
            <w:bCs/>
            <w:color w:val="auto"/>
          </w:rPr>
          <w:t>Eigenkapitalrentabilität </w:t>
        </w:r>
      </w:hyperlink>
      <w:r w:rsidRPr="005D52FF">
        <w:t>, die </w:t>
      </w:r>
      <w:hyperlink r:id="rId43" w:history="1">
        <w:r w:rsidRPr="005D52FF">
          <w:rPr>
            <w:rStyle w:val="Hyperlink"/>
            <w:b/>
            <w:bCs/>
            <w:color w:val="auto"/>
          </w:rPr>
          <w:t>Fremdkapitalrentabilität, </w:t>
        </w:r>
      </w:hyperlink>
      <w:r w:rsidRPr="005D52FF">
        <w:t> die </w:t>
      </w:r>
      <w:hyperlink r:id="rId44" w:history="1">
        <w:r w:rsidRPr="005D52FF">
          <w:rPr>
            <w:rStyle w:val="Hyperlink"/>
            <w:b/>
            <w:bCs/>
            <w:color w:val="auto"/>
          </w:rPr>
          <w:t>Gesamtkapitalrentabilität </w:t>
        </w:r>
      </w:hyperlink>
      <w:r w:rsidRPr="005D52FF">
        <w:t>und die </w:t>
      </w:r>
      <w:hyperlink r:id="rId45" w:history="1">
        <w:r w:rsidRPr="005D52FF">
          <w:rPr>
            <w:rStyle w:val="Hyperlink"/>
            <w:b/>
            <w:bCs/>
            <w:color w:val="auto"/>
          </w:rPr>
          <w:t>Umsatzrentabilität.</w:t>
        </w:r>
      </w:hyperlink>
    </w:p>
    <w:p w14:paraId="09631B49" w14:textId="77777777" w:rsidR="005D52FF" w:rsidRPr="005D52FF" w:rsidRDefault="005D52FF" w:rsidP="005D52FF">
      <w:r w:rsidRPr="005D52FF">
        <w:t xml:space="preserve">Wiedergabe starten oder </w:t>
      </w:r>
      <w:proofErr w:type="spellStart"/>
      <w:r w:rsidRPr="005D52FF">
        <w:t>stoppenWebseite</w:t>
      </w:r>
      <w:proofErr w:type="spellEnd"/>
      <w:r w:rsidRPr="005D52FF">
        <w:t xml:space="preserve"> öffnen</w:t>
      </w:r>
    </w:p>
    <w:p w14:paraId="146A3D74" w14:textId="77777777" w:rsidR="005D52FF" w:rsidRPr="00316000" w:rsidRDefault="005D52FF" w:rsidP="005D52FF">
      <w:pPr>
        <w:rPr>
          <w:b/>
          <w:bCs/>
        </w:rPr>
      </w:pPr>
    </w:p>
    <w:p w14:paraId="688E6372" w14:textId="77777777" w:rsidR="005D52FF" w:rsidRPr="00316000" w:rsidRDefault="005D52FF" w:rsidP="005D52FF">
      <w:pPr>
        <w:rPr>
          <w:b/>
          <w:bCs/>
        </w:rPr>
      </w:pPr>
    </w:p>
    <w:p w14:paraId="7AA95967" w14:textId="77777777" w:rsidR="005D52FF" w:rsidRPr="00316000" w:rsidRDefault="005D52FF" w:rsidP="005D52FF">
      <w:pPr>
        <w:rPr>
          <w:b/>
          <w:bCs/>
        </w:rPr>
      </w:pPr>
    </w:p>
    <w:p w14:paraId="26247681" w14:textId="3989E880" w:rsidR="005D52FF" w:rsidRPr="00316000" w:rsidRDefault="005D52FF" w:rsidP="005D52FF">
      <w:r w:rsidRPr="005D52FF">
        <w:rPr>
          <w:b/>
          <w:bCs/>
        </w:rPr>
        <w:lastRenderedPageBreak/>
        <w:t>Bilanzkennzahlen Formel</w:t>
      </w:r>
    </w:p>
    <w:p w14:paraId="0CA5AA38" w14:textId="505ED4D1" w:rsidR="005D52FF" w:rsidRPr="005D52FF" w:rsidRDefault="005D52FF" w:rsidP="005D52FF"/>
    <w:p w14:paraId="4A7FDFF7" w14:textId="77777777" w:rsidR="005D52FF" w:rsidRPr="005D52FF" w:rsidRDefault="005D52FF" w:rsidP="005D52FF">
      <w:r w:rsidRPr="005D52FF">
        <w:t xml:space="preserve">Im Folgenden schauen wir uns die Berechnung und Formeln der wichtigsten Bilanzkennzahlen am Beispiel einer Bilanz an. Stell dir vor, du machst ein Praktikum bei der </w:t>
      </w:r>
      <w:proofErr w:type="spellStart"/>
      <w:r w:rsidRPr="005D52FF">
        <w:t>Büroflix</w:t>
      </w:r>
      <w:proofErr w:type="spellEnd"/>
      <w:r w:rsidRPr="005D52FF">
        <w:t xml:space="preserve"> GmbH und wurdest gebeten die wirtschaftliche Situation des Unternehmens übersichtlich zusammenzufassen. Da fällt dir ein, dass Bilanzkennzahlen wichtige Zusammenhänge aus der Bilanz hervorheben. Du beschließt deshalb die wichtigsten Bilanzkennzahlen zu berechnen. Dabei liegt dir folgende Bilanz des letzten Jahres vor.   </w:t>
      </w:r>
    </w:p>
    <w:tbl>
      <w:tblPr>
        <w:tblW w:w="9900" w:type="dxa"/>
        <w:tblCellMar>
          <w:top w:w="15" w:type="dxa"/>
          <w:left w:w="15" w:type="dxa"/>
          <w:bottom w:w="15" w:type="dxa"/>
          <w:right w:w="15" w:type="dxa"/>
        </w:tblCellMar>
        <w:tblLook w:val="04A0" w:firstRow="1" w:lastRow="0" w:firstColumn="1" w:lastColumn="0" w:noHBand="0" w:noVBand="1"/>
      </w:tblPr>
      <w:tblGrid>
        <w:gridCol w:w="4810"/>
        <w:gridCol w:w="5090"/>
      </w:tblGrid>
      <w:tr w:rsidR="00316000" w:rsidRPr="005D52FF" w14:paraId="1B603D55" w14:textId="77777777" w:rsidTr="005D52FF">
        <w:trPr>
          <w:tblHeader/>
        </w:trPr>
        <w:tc>
          <w:tcPr>
            <w:tcW w:w="0" w:type="auto"/>
            <w:tcBorders>
              <w:top w:val="single" w:sz="6" w:space="0" w:color="ACACAA"/>
              <w:bottom w:val="single" w:sz="12" w:space="0" w:color="ACACAA"/>
            </w:tcBorders>
            <w:vAlign w:val="bottom"/>
            <w:hideMark/>
          </w:tcPr>
          <w:p w14:paraId="26BFD45C" w14:textId="77777777" w:rsidR="005D52FF" w:rsidRPr="005D52FF" w:rsidRDefault="005D52FF" w:rsidP="005D52FF">
            <w:pPr>
              <w:rPr>
                <w:b/>
                <w:bCs/>
              </w:rPr>
            </w:pPr>
            <w:r w:rsidRPr="005D52FF">
              <w:rPr>
                <w:b/>
                <w:bCs/>
              </w:rPr>
              <w:t>Aktiva</w:t>
            </w:r>
          </w:p>
        </w:tc>
        <w:tc>
          <w:tcPr>
            <w:tcW w:w="0" w:type="auto"/>
            <w:tcBorders>
              <w:top w:val="single" w:sz="6" w:space="0" w:color="ACACAA"/>
              <w:bottom w:val="single" w:sz="12" w:space="0" w:color="ACACAA"/>
            </w:tcBorders>
            <w:vAlign w:val="bottom"/>
            <w:hideMark/>
          </w:tcPr>
          <w:p w14:paraId="284287CB" w14:textId="77777777" w:rsidR="005D52FF" w:rsidRPr="005D52FF" w:rsidRDefault="005D52FF" w:rsidP="005D52FF">
            <w:pPr>
              <w:rPr>
                <w:b/>
                <w:bCs/>
              </w:rPr>
            </w:pPr>
            <w:r w:rsidRPr="005D52FF">
              <w:rPr>
                <w:b/>
                <w:bCs/>
              </w:rPr>
              <w:t>Passiva</w:t>
            </w:r>
          </w:p>
        </w:tc>
      </w:tr>
      <w:tr w:rsidR="00316000" w:rsidRPr="005D52FF" w14:paraId="42097A6B" w14:textId="77777777" w:rsidTr="005D52FF">
        <w:tc>
          <w:tcPr>
            <w:tcW w:w="0" w:type="auto"/>
            <w:tcBorders>
              <w:top w:val="single" w:sz="6" w:space="0" w:color="ACACAA"/>
            </w:tcBorders>
            <w:hideMark/>
          </w:tcPr>
          <w:p w14:paraId="561D9D66" w14:textId="77777777" w:rsidR="005D52FF" w:rsidRPr="005D52FF" w:rsidRDefault="005D52FF" w:rsidP="005D52FF">
            <w:r w:rsidRPr="005D52FF">
              <w:t>Anlagevermögen: 500.000</w:t>
            </w:r>
          </w:p>
        </w:tc>
        <w:tc>
          <w:tcPr>
            <w:tcW w:w="0" w:type="auto"/>
            <w:tcBorders>
              <w:top w:val="single" w:sz="6" w:space="0" w:color="ACACAA"/>
            </w:tcBorders>
            <w:hideMark/>
          </w:tcPr>
          <w:p w14:paraId="492C42BF" w14:textId="77777777" w:rsidR="005D52FF" w:rsidRPr="005D52FF" w:rsidRDefault="005D52FF" w:rsidP="005D52FF">
            <w:r w:rsidRPr="005D52FF">
              <w:t>Eigenkapital: 300.000</w:t>
            </w:r>
          </w:p>
        </w:tc>
      </w:tr>
      <w:tr w:rsidR="00316000" w:rsidRPr="005D52FF" w14:paraId="6FCDDF32" w14:textId="77777777" w:rsidTr="005D52FF">
        <w:tc>
          <w:tcPr>
            <w:tcW w:w="0" w:type="auto"/>
            <w:tcBorders>
              <w:top w:val="single" w:sz="6" w:space="0" w:color="ACACAA"/>
            </w:tcBorders>
            <w:hideMark/>
          </w:tcPr>
          <w:p w14:paraId="00AA3D55" w14:textId="77777777" w:rsidR="005D52FF" w:rsidRPr="005D52FF" w:rsidRDefault="005D52FF" w:rsidP="005D52FF">
            <w:r w:rsidRPr="005D52FF">
              <w:t>davon Maschinen 500.000</w:t>
            </w:r>
          </w:p>
        </w:tc>
        <w:tc>
          <w:tcPr>
            <w:tcW w:w="0" w:type="auto"/>
            <w:tcBorders>
              <w:top w:val="single" w:sz="6" w:space="0" w:color="ACACAA"/>
            </w:tcBorders>
            <w:hideMark/>
          </w:tcPr>
          <w:p w14:paraId="1DFF8CEB" w14:textId="77777777" w:rsidR="005D52FF" w:rsidRPr="005D52FF" w:rsidRDefault="005D52FF" w:rsidP="005D52FF"/>
        </w:tc>
      </w:tr>
      <w:tr w:rsidR="00316000" w:rsidRPr="005D52FF" w14:paraId="288545C3" w14:textId="77777777" w:rsidTr="005D52FF">
        <w:tc>
          <w:tcPr>
            <w:tcW w:w="0" w:type="auto"/>
            <w:tcBorders>
              <w:top w:val="single" w:sz="6" w:space="0" w:color="ACACAA"/>
            </w:tcBorders>
            <w:hideMark/>
          </w:tcPr>
          <w:p w14:paraId="47F885F9" w14:textId="77777777" w:rsidR="005D52FF" w:rsidRPr="005D52FF" w:rsidRDefault="005D52FF" w:rsidP="005D52FF">
            <w:r w:rsidRPr="005D52FF">
              <w:t>Umlaufvermögen: 200.000</w:t>
            </w:r>
          </w:p>
        </w:tc>
        <w:tc>
          <w:tcPr>
            <w:tcW w:w="0" w:type="auto"/>
            <w:tcBorders>
              <w:top w:val="single" w:sz="6" w:space="0" w:color="ACACAA"/>
            </w:tcBorders>
            <w:hideMark/>
          </w:tcPr>
          <w:p w14:paraId="24388CFB" w14:textId="77777777" w:rsidR="005D52FF" w:rsidRPr="005D52FF" w:rsidRDefault="005D52FF" w:rsidP="005D52FF">
            <w:r w:rsidRPr="005D52FF">
              <w:t>Fremdkapital: 400.000</w:t>
            </w:r>
          </w:p>
        </w:tc>
      </w:tr>
      <w:tr w:rsidR="00316000" w:rsidRPr="005D52FF" w14:paraId="37D316D4" w14:textId="77777777" w:rsidTr="005D52FF">
        <w:tc>
          <w:tcPr>
            <w:tcW w:w="0" w:type="auto"/>
            <w:tcBorders>
              <w:top w:val="single" w:sz="6" w:space="0" w:color="ACACAA"/>
            </w:tcBorders>
            <w:hideMark/>
          </w:tcPr>
          <w:p w14:paraId="1BD215BF" w14:textId="77777777" w:rsidR="005D52FF" w:rsidRPr="005D52FF" w:rsidRDefault="005D52FF" w:rsidP="005D52FF">
            <w:r w:rsidRPr="005D52FF">
              <w:t>davon Flüssige Mittel 150.000</w:t>
            </w:r>
          </w:p>
        </w:tc>
        <w:tc>
          <w:tcPr>
            <w:tcW w:w="0" w:type="auto"/>
            <w:tcBorders>
              <w:top w:val="single" w:sz="6" w:space="0" w:color="ACACAA"/>
            </w:tcBorders>
            <w:hideMark/>
          </w:tcPr>
          <w:p w14:paraId="6598F3EF" w14:textId="77777777" w:rsidR="005D52FF" w:rsidRPr="005D52FF" w:rsidRDefault="005D52FF" w:rsidP="005D52FF">
            <w:r w:rsidRPr="005D52FF">
              <w:t>davon kurzfristige Bankkredite 150.000</w:t>
            </w:r>
          </w:p>
        </w:tc>
      </w:tr>
      <w:tr w:rsidR="00316000" w:rsidRPr="005D52FF" w14:paraId="4512287E" w14:textId="77777777" w:rsidTr="005D52FF">
        <w:tc>
          <w:tcPr>
            <w:tcW w:w="0" w:type="auto"/>
            <w:tcBorders>
              <w:top w:val="single" w:sz="6" w:space="0" w:color="ACACAA"/>
            </w:tcBorders>
            <w:hideMark/>
          </w:tcPr>
          <w:p w14:paraId="381F9849" w14:textId="77777777" w:rsidR="005D52FF" w:rsidRPr="005D52FF" w:rsidRDefault="005D52FF" w:rsidP="005D52FF">
            <w:r w:rsidRPr="005D52FF">
              <w:t>davon kurzfristige Forderungen 50.000</w:t>
            </w:r>
          </w:p>
        </w:tc>
        <w:tc>
          <w:tcPr>
            <w:tcW w:w="0" w:type="auto"/>
            <w:tcBorders>
              <w:top w:val="single" w:sz="6" w:space="0" w:color="ACACAA"/>
            </w:tcBorders>
            <w:hideMark/>
          </w:tcPr>
          <w:p w14:paraId="2F21F71F" w14:textId="77777777" w:rsidR="005D52FF" w:rsidRPr="005D52FF" w:rsidRDefault="005D52FF" w:rsidP="005D52FF">
            <w:r w:rsidRPr="005D52FF">
              <w:t>davon langfristige Bankdarlehen 250.000</w:t>
            </w:r>
          </w:p>
        </w:tc>
      </w:tr>
      <w:tr w:rsidR="00316000" w:rsidRPr="005D52FF" w14:paraId="014D0E76" w14:textId="77777777" w:rsidTr="005D52FF">
        <w:tc>
          <w:tcPr>
            <w:tcW w:w="0" w:type="auto"/>
            <w:tcBorders>
              <w:top w:val="single" w:sz="6" w:space="0" w:color="ACACAA"/>
            </w:tcBorders>
            <w:hideMark/>
          </w:tcPr>
          <w:p w14:paraId="64A84782" w14:textId="77777777" w:rsidR="005D52FF" w:rsidRPr="005D52FF" w:rsidRDefault="005D52FF" w:rsidP="005D52FF">
            <w:r w:rsidRPr="005D52FF">
              <w:t>Gesamtvermögen: 700.000</w:t>
            </w:r>
          </w:p>
        </w:tc>
        <w:tc>
          <w:tcPr>
            <w:tcW w:w="0" w:type="auto"/>
            <w:tcBorders>
              <w:top w:val="single" w:sz="6" w:space="0" w:color="ACACAA"/>
            </w:tcBorders>
            <w:hideMark/>
          </w:tcPr>
          <w:p w14:paraId="26CC28FC" w14:textId="77777777" w:rsidR="005D52FF" w:rsidRPr="005D52FF" w:rsidRDefault="005D52FF" w:rsidP="005D52FF">
            <w:r w:rsidRPr="005D52FF">
              <w:t>Gesamtvermögen: 700.000</w:t>
            </w:r>
          </w:p>
        </w:tc>
      </w:tr>
    </w:tbl>
    <w:p w14:paraId="04308037" w14:textId="77777777" w:rsidR="005D52FF" w:rsidRPr="005D52FF" w:rsidRDefault="005D52FF" w:rsidP="005D52FF">
      <w:r w:rsidRPr="005D52FF">
        <w:t>Dann gehen wir die Berechnung der Bilanzkennzahlen Stück für Stück durch. Fangen wir zuerst mit den vertikalen Bilanzkennzahlen zur Kapitalstruktur an. </w:t>
      </w:r>
    </w:p>
    <w:p w14:paraId="0421E4E1" w14:textId="77777777" w:rsidR="005D52FF" w:rsidRPr="00316000" w:rsidRDefault="005D52FF" w:rsidP="005D52FF">
      <w:pPr>
        <w:rPr>
          <w:b/>
          <w:bCs/>
        </w:rPr>
      </w:pPr>
      <w:r w:rsidRPr="005D52FF">
        <w:rPr>
          <w:b/>
          <w:bCs/>
        </w:rPr>
        <w:t>Eigenkapitalquote</w:t>
      </w:r>
    </w:p>
    <w:p w14:paraId="69A5C78A" w14:textId="4B909145" w:rsidR="005D52FF" w:rsidRPr="005D52FF" w:rsidRDefault="005D52FF" w:rsidP="005D52FF">
      <w:pPr>
        <w:rPr>
          <w:b/>
          <w:bCs/>
        </w:rPr>
      </w:pPr>
      <w:r w:rsidRPr="005D52FF">
        <w:t xml:space="preserve">Mit der Eigenkapitalquote bestimmst du den Anteil </w:t>
      </w:r>
      <w:proofErr w:type="gramStart"/>
      <w:r w:rsidRPr="005D52FF">
        <w:t>vom eigen Kapital</w:t>
      </w:r>
      <w:proofErr w:type="gramEnd"/>
      <w:r w:rsidRPr="005D52FF">
        <w:t xml:space="preserve"> am Gesamtkapital. Dazu teilst du das Eigenkapital durch das Gesamtkapital und nimmst die Zahl mal 100, um den Wert in Prozent zu erhalten. </w:t>
      </w:r>
    </w:p>
    <w:p w14:paraId="17E4F298" w14:textId="77777777" w:rsidR="005D52FF" w:rsidRPr="005D52FF" w:rsidRDefault="005D52FF" w:rsidP="005D52FF">
      <w:r w:rsidRPr="005D52FF">
        <w:t>Die Formel lautet:</w:t>
      </w:r>
    </w:p>
    <w:p w14:paraId="453B758E" w14:textId="73352919" w:rsidR="005D52FF" w:rsidRPr="005D52FF" w:rsidRDefault="005D52FF" w:rsidP="005D52FF">
      <w:r w:rsidRPr="00316000">
        <w:rPr>
          <w:noProof/>
        </w:rPr>
        <w:drawing>
          <wp:inline distT="0" distB="0" distL="0" distR="0" wp14:anchorId="051C08B4" wp14:editId="3860C367">
            <wp:extent cx="2788920" cy="259080"/>
            <wp:effectExtent l="0" t="0" r="0" b="7620"/>
            <wp:docPr id="1436593258" name="Grafik 32" descr="\text{Eigenkapitalquote} = \frac{\text{Eigenkapital}}{\text{Gesamtkapital}}\cdot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text{Eigenkapitalquote} = \frac{\text{Eigenkapital}}{\text{Gesamtkapital}}\cdot 10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788920" cy="259080"/>
                    </a:xfrm>
                    <a:prstGeom prst="rect">
                      <a:avLst/>
                    </a:prstGeom>
                    <a:noFill/>
                    <a:ln>
                      <a:noFill/>
                    </a:ln>
                  </pic:spPr>
                </pic:pic>
              </a:graphicData>
            </a:graphic>
          </wp:inline>
        </w:drawing>
      </w:r>
    </w:p>
    <w:p w14:paraId="1519953E" w14:textId="77777777" w:rsidR="005D52FF" w:rsidRPr="005D52FF" w:rsidRDefault="005D52FF" w:rsidP="005D52FF">
      <w:r w:rsidRPr="005D52FF">
        <w:t>In unserem Beispiel ergibt sich durch Einsetzen der Werte eine Eigenkapitalquote von 42,86%:</w:t>
      </w:r>
    </w:p>
    <w:p w14:paraId="117F1809" w14:textId="58BDA614" w:rsidR="005D52FF" w:rsidRPr="005D52FF" w:rsidRDefault="005D52FF" w:rsidP="005D52FF">
      <w:r w:rsidRPr="00316000">
        <w:rPr>
          <w:noProof/>
        </w:rPr>
        <w:drawing>
          <wp:inline distT="0" distB="0" distL="0" distR="0" wp14:anchorId="1F868895" wp14:editId="3C425B84">
            <wp:extent cx="3162300" cy="205740"/>
            <wp:effectExtent l="0" t="0" r="0" b="3810"/>
            <wp:docPr id="1711128132" name="Grafik 31" descr="\text{Eigenkapitalquote} = \frac{300.000}{700.000}\cdot 100 = 42,86\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ext{Eigenkapitalquote} = \frac{300.000}{700.000}\cdot 100 = 42,86\text{\%}"/>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162300" cy="205740"/>
                    </a:xfrm>
                    <a:prstGeom prst="rect">
                      <a:avLst/>
                    </a:prstGeom>
                    <a:noFill/>
                    <a:ln>
                      <a:noFill/>
                    </a:ln>
                  </pic:spPr>
                </pic:pic>
              </a:graphicData>
            </a:graphic>
          </wp:inline>
        </w:drawing>
      </w:r>
    </w:p>
    <w:p w14:paraId="53C9C0B3" w14:textId="77777777" w:rsidR="005D52FF" w:rsidRPr="005D52FF" w:rsidRDefault="005D52FF" w:rsidP="005D52FF">
      <w:r w:rsidRPr="005D52FF">
        <w:lastRenderedPageBreak/>
        <w:t xml:space="preserve">Die </w:t>
      </w:r>
      <w:proofErr w:type="spellStart"/>
      <w:r w:rsidRPr="005D52FF">
        <w:t>Büroflix</w:t>
      </w:r>
      <w:proofErr w:type="spellEnd"/>
      <w:r w:rsidRPr="005D52FF">
        <w:t xml:space="preserve"> GmbH ist mit 42,86 % Eigenkapitalquote solide aufgestellt, da sie viele Mittel aus dem firmeneigenen Anlagevermögen selbst besitzt.</w:t>
      </w:r>
    </w:p>
    <w:p w14:paraId="7D29AAC5" w14:textId="04E6AB29" w:rsidR="005D52FF" w:rsidRPr="005D52FF" w:rsidRDefault="005D52FF" w:rsidP="005D52FF">
      <w:pPr>
        <w:rPr>
          <w:b/>
          <w:bCs/>
        </w:rPr>
      </w:pPr>
      <w:r w:rsidRPr="005D52FF">
        <w:rPr>
          <w:b/>
          <w:bCs/>
        </w:rPr>
        <w:t>Fremdkapitalquote</w:t>
      </w:r>
    </w:p>
    <w:p w14:paraId="428936C3" w14:textId="77777777" w:rsidR="005D52FF" w:rsidRPr="005D52FF" w:rsidRDefault="005D52FF" w:rsidP="005D52FF">
      <w:r w:rsidRPr="005D52FF">
        <w:t>Die Fremdkapitalquote ist der Gegenpart zur Eigenkapitalquote und gibt den Anteil des Fremdkapitals am Gesamtvermögen wieder. Dabei teilst du das Fremdkapital durch das Gesamtkapital und multiplizierst das Ergebnis mit 100.</w:t>
      </w:r>
    </w:p>
    <w:p w14:paraId="25069F99" w14:textId="77777777" w:rsidR="005D52FF" w:rsidRPr="005D52FF" w:rsidRDefault="005D52FF" w:rsidP="005D52FF">
      <w:r w:rsidRPr="005D52FF">
        <w:t>Die Formel für die Fremdkapitalquote ist: </w:t>
      </w:r>
    </w:p>
    <w:p w14:paraId="0A25725F" w14:textId="510B5D7B" w:rsidR="005D52FF" w:rsidRPr="005D52FF" w:rsidRDefault="005D52FF" w:rsidP="005D52FF">
      <w:r w:rsidRPr="00316000">
        <w:rPr>
          <w:noProof/>
        </w:rPr>
        <w:drawing>
          <wp:inline distT="0" distB="0" distL="0" distR="0" wp14:anchorId="07326F89" wp14:editId="03FE623C">
            <wp:extent cx="2849880" cy="259080"/>
            <wp:effectExtent l="0" t="0" r="7620" b="7620"/>
            <wp:docPr id="1323735630" name="Grafik 30" descr="\text{Fremdkapitalquote} = \frac{\text{Fremdkapital}}{\text{Gesamtkapital}}\cdot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text{Fremdkapitalquote} = \frac{\text{Fremdkapital}}{\text{Gesamtkapital}}\cdot 10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849880" cy="259080"/>
                    </a:xfrm>
                    <a:prstGeom prst="rect">
                      <a:avLst/>
                    </a:prstGeom>
                    <a:noFill/>
                    <a:ln>
                      <a:noFill/>
                    </a:ln>
                  </pic:spPr>
                </pic:pic>
              </a:graphicData>
            </a:graphic>
          </wp:inline>
        </w:drawing>
      </w:r>
    </w:p>
    <w:p w14:paraId="59A16C6B" w14:textId="77777777" w:rsidR="005D52FF" w:rsidRPr="005D52FF" w:rsidRDefault="005D52FF" w:rsidP="005D52FF">
      <w:r w:rsidRPr="005D52FF">
        <w:t>In unserem Beispiel ergibt sich durch Einsetzen der Werte eine Fremdkapitalquote von 57,14%:</w:t>
      </w:r>
    </w:p>
    <w:p w14:paraId="20C930C5" w14:textId="6E265832" w:rsidR="005D52FF" w:rsidRPr="005D52FF" w:rsidRDefault="005D52FF" w:rsidP="005D52FF">
      <w:r w:rsidRPr="00316000">
        <w:rPr>
          <w:noProof/>
        </w:rPr>
        <w:drawing>
          <wp:inline distT="0" distB="0" distL="0" distR="0" wp14:anchorId="34ED7F1C" wp14:editId="6C3FFEFE">
            <wp:extent cx="3223260" cy="205740"/>
            <wp:effectExtent l="0" t="0" r="0" b="3810"/>
            <wp:docPr id="1186105318" name="Grafik 29" descr="\text{Fremdkapitalquote} = \frac{400.000}{700.000}\cdot 100 = 57,14\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text{Fremdkapitalquote} = \frac{400.000}{700.000}\cdot 100 = 57,14\tex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3223260" cy="205740"/>
                    </a:xfrm>
                    <a:prstGeom prst="rect">
                      <a:avLst/>
                    </a:prstGeom>
                    <a:noFill/>
                    <a:ln>
                      <a:noFill/>
                    </a:ln>
                  </pic:spPr>
                </pic:pic>
              </a:graphicData>
            </a:graphic>
          </wp:inline>
        </w:drawing>
      </w:r>
    </w:p>
    <w:p w14:paraId="6160BE9F" w14:textId="77777777" w:rsidR="005D52FF" w:rsidRPr="005D52FF" w:rsidRDefault="005D52FF" w:rsidP="005D52FF">
      <w:r w:rsidRPr="005D52FF">
        <w:t>Die Eigenkapitalquote und Fremdkapitalquote zusammen gerechnet muss stets 100% ergeben! Ein Unternehmen gilt in der Regel als „gesund</w:t>
      </w:r>
      <w:proofErr w:type="gramStart"/>
      <w:r w:rsidRPr="005D52FF">
        <w:t>“ ,</w:t>
      </w:r>
      <w:proofErr w:type="gramEnd"/>
      <w:r w:rsidRPr="005D52FF">
        <w:t xml:space="preserve"> wenn die Fremdkapitalquote nicht höher als 66% ist.</w:t>
      </w:r>
    </w:p>
    <w:p w14:paraId="577DB76C" w14:textId="77777777" w:rsidR="005D52FF" w:rsidRPr="005D52FF" w:rsidRDefault="005D52FF" w:rsidP="005D52FF">
      <w:pPr>
        <w:rPr>
          <w:b/>
          <w:bCs/>
        </w:rPr>
      </w:pPr>
      <w:r w:rsidRPr="005D52FF">
        <w:rPr>
          <w:b/>
          <w:bCs/>
        </w:rPr>
        <w:t>Verschuldungsgrad</w:t>
      </w:r>
    </w:p>
    <w:p w14:paraId="45ABA6CE" w14:textId="778CC71C" w:rsidR="005D52FF" w:rsidRPr="005D52FF" w:rsidRDefault="005D52FF" w:rsidP="005D52FF">
      <w:r w:rsidRPr="005D52FF">
        <w:t>Der Verschuldungsgrad gibt das Verhältnis von Eigenkapital und Fremdkapital wieder. Hierbei teilst du das Fremdkapital durch das Eigenkapital und multiplizierst die Zahl mit 100. Der Verschuldungsgrad gibt an, inwiefern ein Unternehmen fremdfinanziert ist. Als allgemeine Faustregel sagt man, dass der Verschuldungsgrad nicht höher als 200% sein sollte, da sonst das Fremdkapital mehr als doppelt so hoch wie das Eigenkapital wäre.</w:t>
      </w:r>
    </w:p>
    <w:p w14:paraId="652AFA29" w14:textId="77777777" w:rsidR="005D52FF" w:rsidRPr="005D52FF" w:rsidRDefault="005D52FF" w:rsidP="005D52FF">
      <w:r w:rsidRPr="005D52FF">
        <w:t>Die Formel für den Verschuldungsgrad ist: </w:t>
      </w:r>
    </w:p>
    <w:p w14:paraId="3CCBE21E" w14:textId="20322388" w:rsidR="005D52FF" w:rsidRPr="005D52FF" w:rsidRDefault="005D52FF" w:rsidP="005D52FF">
      <w:r w:rsidRPr="00316000">
        <w:rPr>
          <w:noProof/>
        </w:rPr>
        <w:drawing>
          <wp:inline distT="0" distB="0" distL="0" distR="0" wp14:anchorId="163232AF" wp14:editId="2D012696">
            <wp:extent cx="2819400" cy="259080"/>
            <wp:effectExtent l="0" t="0" r="0" b="7620"/>
            <wp:docPr id="570763431" name="Grafik 28" descr="\text{Verschuldungsgrad} = \frac{\text{Fremdkapital }}{\text{Eigenkapital}}\cdot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text{Verschuldungsgrad} = \frac{\text{Fremdkapital }}{\text{Eigenkapital}}\cdot 10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19400" cy="259080"/>
                    </a:xfrm>
                    <a:prstGeom prst="rect">
                      <a:avLst/>
                    </a:prstGeom>
                    <a:noFill/>
                    <a:ln>
                      <a:noFill/>
                    </a:ln>
                  </pic:spPr>
                </pic:pic>
              </a:graphicData>
            </a:graphic>
          </wp:inline>
        </w:drawing>
      </w:r>
    </w:p>
    <w:p w14:paraId="74AE6FF6" w14:textId="77777777" w:rsidR="005D52FF" w:rsidRPr="005D52FF" w:rsidRDefault="005D52FF" w:rsidP="005D52FF">
      <w:r w:rsidRPr="005D52FF">
        <w:t>In unserem Beispiel ergibt sich durch Einsetzen der Werte ein Verschuldungsgrad von 133%:</w:t>
      </w:r>
    </w:p>
    <w:p w14:paraId="630A331E" w14:textId="4C72712A" w:rsidR="005D52FF" w:rsidRPr="005D52FF" w:rsidRDefault="005D52FF" w:rsidP="005D52FF">
      <w:r w:rsidRPr="00316000">
        <w:rPr>
          <w:noProof/>
        </w:rPr>
        <w:drawing>
          <wp:inline distT="0" distB="0" distL="0" distR="0" wp14:anchorId="1ECF316D" wp14:editId="469B3CA5">
            <wp:extent cx="3063240" cy="205740"/>
            <wp:effectExtent l="0" t="0" r="3810" b="3810"/>
            <wp:docPr id="808338479" name="Grafik 27" descr="\text{Verschuldungsgrad} = \frac{400.000}{300.000}}\cdot 100 = 133\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text{Verschuldungsgrad} = \frac{400.000}{300.000}}\cdot 100 = 133\text{\%}"/>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063240" cy="205740"/>
                    </a:xfrm>
                    <a:prstGeom prst="rect">
                      <a:avLst/>
                    </a:prstGeom>
                    <a:noFill/>
                    <a:ln>
                      <a:noFill/>
                    </a:ln>
                  </pic:spPr>
                </pic:pic>
              </a:graphicData>
            </a:graphic>
          </wp:inline>
        </w:drawing>
      </w:r>
    </w:p>
    <w:p w14:paraId="1957DE64" w14:textId="77777777" w:rsidR="005D52FF" w:rsidRPr="005D52FF" w:rsidRDefault="005D52FF" w:rsidP="005D52FF">
      <w:r w:rsidRPr="005D52FF">
        <w:t xml:space="preserve">Die </w:t>
      </w:r>
      <w:proofErr w:type="spellStart"/>
      <w:r w:rsidRPr="005D52FF">
        <w:t>Büroflix</w:t>
      </w:r>
      <w:proofErr w:type="spellEnd"/>
      <w:r w:rsidRPr="005D52FF">
        <w:t xml:space="preserve"> GmbH ist offensichtlich nicht übertrieben </w:t>
      </w:r>
      <w:proofErr w:type="gramStart"/>
      <w:r w:rsidRPr="005D52FF">
        <w:t>fremdfinanziert</w:t>
      </w:r>
      <w:proofErr w:type="gramEnd"/>
      <w:r w:rsidRPr="005D52FF">
        <w:t xml:space="preserve"> sondern besitzt einen Verschuldungsgrad von weniger als 200 %.</w:t>
      </w:r>
    </w:p>
    <w:p w14:paraId="544FEE67" w14:textId="44C64BC6" w:rsidR="005D52FF" w:rsidRPr="005D52FF" w:rsidRDefault="005D52FF" w:rsidP="005D52FF">
      <w:pPr>
        <w:rPr>
          <w:b/>
          <w:bCs/>
        </w:rPr>
      </w:pPr>
      <w:r w:rsidRPr="005D52FF">
        <w:rPr>
          <w:b/>
          <w:bCs/>
        </w:rPr>
        <w:lastRenderedPageBreak/>
        <w:t>Umlaufintensität</w:t>
      </w:r>
    </w:p>
    <w:p w14:paraId="1979C2B5" w14:textId="77777777" w:rsidR="005D52FF" w:rsidRPr="005D52FF" w:rsidRDefault="005D52FF" w:rsidP="005D52FF">
      <w:r w:rsidRPr="005D52FF">
        <w:t>Neben den Bilanzkennzahlen der Kapitalstruktur gehören zu den wichtigsten Kennziffern auch die der Vermögensstruktur. Diese werden unterteilt in die Umlaufintensität und die Anlagenintensität.</w:t>
      </w:r>
    </w:p>
    <w:p w14:paraId="6F2F52B2" w14:textId="77777777" w:rsidR="005D52FF" w:rsidRPr="005D52FF" w:rsidRDefault="005D52FF" w:rsidP="005D52FF">
      <w:r w:rsidRPr="005D52FF">
        <w:t>Die Umlaufintensität bezeichnet den Anteil vom Umlaufvermögen am Gesamtvermögen. Die Kennzahl berechnet also den Teil des Gesamtvermögens, der in kurzfristigen Vermögensgegenständen wie Beständen, Vorräten oder liquiden Mitteln gebunden ist. Dazu verwendest du folgende Formel: </w:t>
      </w:r>
    </w:p>
    <w:p w14:paraId="058478AB" w14:textId="55A98D85" w:rsidR="005D52FF" w:rsidRPr="005D52FF" w:rsidRDefault="005D52FF" w:rsidP="005D52FF">
      <w:r w:rsidRPr="00316000">
        <w:rPr>
          <w:noProof/>
        </w:rPr>
        <w:drawing>
          <wp:inline distT="0" distB="0" distL="0" distR="0" wp14:anchorId="0DA7F1E0" wp14:editId="07FED121">
            <wp:extent cx="2857500" cy="259080"/>
            <wp:effectExtent l="0" t="0" r="0" b="7620"/>
            <wp:docPr id="1716326797" name="Grafik 26" descr="\text{Umlaufintensit\&quot;{a}t} = \frac{\text{Umlaufverm\&quot;{o}gen}}{\text{Gesamtverm\&quot;{o}gen}}\cdot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text{Umlaufintensit\&quot;{a}t} = \frac{\text{Umlaufverm\&quot;{o}gen}}{\text{Gesamtverm\&quot;{o}gen}}\cdot 10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857500" cy="259080"/>
                    </a:xfrm>
                    <a:prstGeom prst="rect">
                      <a:avLst/>
                    </a:prstGeom>
                    <a:noFill/>
                    <a:ln>
                      <a:noFill/>
                    </a:ln>
                  </pic:spPr>
                </pic:pic>
              </a:graphicData>
            </a:graphic>
          </wp:inline>
        </w:drawing>
      </w:r>
    </w:p>
    <w:p w14:paraId="4615F14B" w14:textId="77777777" w:rsidR="005D52FF" w:rsidRPr="005D52FF" w:rsidRDefault="005D52FF" w:rsidP="005D52FF">
      <w:r w:rsidRPr="005D52FF">
        <w:t>Die Umlaufintensität für die Bilanz aus unserem Beispiel lautet:</w:t>
      </w:r>
    </w:p>
    <w:p w14:paraId="52D6946D" w14:textId="2EEAB93C" w:rsidR="005D52FF" w:rsidRPr="005D52FF" w:rsidRDefault="005D52FF" w:rsidP="005D52FF">
      <w:r w:rsidRPr="00316000">
        <w:rPr>
          <w:noProof/>
        </w:rPr>
        <w:drawing>
          <wp:inline distT="0" distB="0" distL="0" distR="0" wp14:anchorId="7EF6D897" wp14:editId="4F9F5773">
            <wp:extent cx="3078480" cy="205740"/>
            <wp:effectExtent l="0" t="0" r="7620" b="3810"/>
            <wp:docPr id="1315012801" name="Grafik 25" descr="\text{Umlaufintensit\&quot;{a}t} = \frac{200.000}{700.000}}\cdot 100 = 28,57\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text{Umlaufintensit\&quot;{a}t} = \frac{200.000}{700.000}}\cdot 100 = 28,57\tex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078480" cy="205740"/>
                    </a:xfrm>
                    <a:prstGeom prst="rect">
                      <a:avLst/>
                    </a:prstGeom>
                    <a:noFill/>
                    <a:ln>
                      <a:noFill/>
                    </a:ln>
                  </pic:spPr>
                </pic:pic>
              </a:graphicData>
            </a:graphic>
          </wp:inline>
        </w:drawing>
      </w:r>
    </w:p>
    <w:p w14:paraId="0D08ECB2" w14:textId="77777777" w:rsidR="005D52FF" w:rsidRPr="005D52FF" w:rsidRDefault="005D52FF" w:rsidP="005D52FF">
      <w:r w:rsidRPr="005D52FF">
        <w:t xml:space="preserve">Somit ergibt sich eine Umlaufintensität von 28,57%. Eine hohe Umlaufintensität ist positiv, da somit </w:t>
      </w:r>
      <w:proofErr w:type="spellStart"/>
      <w:proofErr w:type="gramStart"/>
      <w:r w:rsidRPr="005D52FF">
        <w:t>sicher gestellt</w:t>
      </w:r>
      <w:proofErr w:type="spellEnd"/>
      <w:proofErr w:type="gramEnd"/>
      <w:r w:rsidRPr="005D52FF">
        <w:t xml:space="preserve"> ist, dass das Unternehmen flexibel aufgestellt und liquide ist. </w:t>
      </w:r>
    </w:p>
    <w:p w14:paraId="73980E1C" w14:textId="256A3438" w:rsidR="005D52FF" w:rsidRPr="005D52FF" w:rsidRDefault="005D52FF" w:rsidP="005D52FF">
      <w:pPr>
        <w:rPr>
          <w:b/>
          <w:bCs/>
        </w:rPr>
      </w:pPr>
      <w:r w:rsidRPr="005D52FF">
        <w:rPr>
          <w:b/>
          <w:bCs/>
        </w:rPr>
        <w:t>Anlagenintensität</w:t>
      </w:r>
    </w:p>
    <w:p w14:paraId="2B624049" w14:textId="77777777" w:rsidR="005D52FF" w:rsidRPr="005D52FF" w:rsidRDefault="005D52FF" w:rsidP="005D52FF">
      <w:r w:rsidRPr="005D52FF">
        <w:t>Die Anlagenintensität ermittelt den Anteil vom Anlagevermögen am Gesamtvermögen. Im Gegensatz zum Umlaufvermögen berechnet die Anlagenintensität also den Teil des Gesamtvermögens, der in langfristigen Vermögensgegenständen wie Lizenzen, Maschinen oder Grundstücken gebunden ist. Die Formel der Anlagenintensität ist: </w:t>
      </w:r>
    </w:p>
    <w:p w14:paraId="7348EA96" w14:textId="6F53CE1B" w:rsidR="005D52FF" w:rsidRPr="005D52FF" w:rsidRDefault="005D52FF" w:rsidP="005D52FF">
      <w:r w:rsidRPr="00316000">
        <w:rPr>
          <w:noProof/>
        </w:rPr>
        <w:drawing>
          <wp:inline distT="0" distB="0" distL="0" distR="0" wp14:anchorId="5EE01E3A" wp14:editId="3640CF0C">
            <wp:extent cx="2926080" cy="259080"/>
            <wp:effectExtent l="0" t="0" r="7620" b="7620"/>
            <wp:docPr id="410981853" name="Grafik 24" descr="\text{Anlagenintensit\&quot;{a}t} = \frac{\text{Anlageverm\&quot;{o}gen}}{\text{Gesamtverm\&quot;{o}gen}}\cdot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text{Anlagenintensit\&quot;{a}t} = \frac{\text{Anlageverm\&quot;{o}gen}}{\text{Gesamtverm\&quot;{o}gen}}\cdot 10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926080" cy="259080"/>
                    </a:xfrm>
                    <a:prstGeom prst="rect">
                      <a:avLst/>
                    </a:prstGeom>
                    <a:noFill/>
                    <a:ln>
                      <a:noFill/>
                    </a:ln>
                  </pic:spPr>
                </pic:pic>
              </a:graphicData>
            </a:graphic>
          </wp:inline>
        </w:drawing>
      </w:r>
    </w:p>
    <w:p w14:paraId="4F5C73ED" w14:textId="77777777" w:rsidR="005D52FF" w:rsidRPr="005D52FF" w:rsidRDefault="005D52FF" w:rsidP="005D52FF">
      <w:r w:rsidRPr="005D52FF">
        <w:t>Die Anlagenintensität aus obiger Bilanz lautet: </w:t>
      </w:r>
    </w:p>
    <w:p w14:paraId="28D8399E" w14:textId="367D7416" w:rsidR="005D52FF" w:rsidRPr="005D52FF" w:rsidRDefault="005D52FF" w:rsidP="005D52FF">
      <w:r w:rsidRPr="00316000">
        <w:rPr>
          <w:noProof/>
        </w:rPr>
        <w:drawing>
          <wp:inline distT="0" distB="0" distL="0" distR="0" wp14:anchorId="56F47D32" wp14:editId="62AD8969">
            <wp:extent cx="3147060" cy="205740"/>
            <wp:effectExtent l="0" t="0" r="0" b="3810"/>
            <wp:docPr id="292361312" name="Grafik 23" descr="\text{Anlagenintensit\&quot;{a}t} = \frac{500.000}{700.000}}\cdot 100 = 71,43\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text{Anlagenintensit\&quot;{a}t} = \frac{500.000}{700.000}}\cdot 100 = 71,43\text{\%}"/>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147060" cy="205740"/>
                    </a:xfrm>
                    <a:prstGeom prst="rect">
                      <a:avLst/>
                    </a:prstGeom>
                    <a:noFill/>
                    <a:ln>
                      <a:noFill/>
                    </a:ln>
                  </pic:spPr>
                </pic:pic>
              </a:graphicData>
            </a:graphic>
          </wp:inline>
        </w:drawing>
      </w:r>
    </w:p>
    <w:p w14:paraId="0A27392B" w14:textId="77777777" w:rsidR="005D52FF" w:rsidRPr="00316000" w:rsidRDefault="005D52FF" w:rsidP="005D52FF">
      <w:r w:rsidRPr="005D52FF">
        <w:t>Für unser Beispiel ergibt sich so eine Anlagenintensität von 71,43%. Da die Umlaufintensität und die Anlagenintensität beide das Gesamtvermögen ergeben, müssen beide Werte zusammengerechnet 100% sein. </w:t>
      </w:r>
    </w:p>
    <w:p w14:paraId="2D02BF8B" w14:textId="77777777" w:rsidR="005D52FF" w:rsidRPr="00316000" w:rsidRDefault="005D52FF" w:rsidP="005D52FF"/>
    <w:p w14:paraId="514A1078" w14:textId="77777777" w:rsidR="005D52FF" w:rsidRPr="005D52FF" w:rsidRDefault="005D52FF" w:rsidP="005D52FF"/>
    <w:p w14:paraId="6A00CE50" w14:textId="40A0647F" w:rsidR="005D52FF" w:rsidRPr="005D52FF" w:rsidRDefault="005D52FF" w:rsidP="005D52FF">
      <w:pPr>
        <w:rPr>
          <w:b/>
          <w:bCs/>
        </w:rPr>
      </w:pPr>
      <w:r w:rsidRPr="005D52FF">
        <w:rPr>
          <w:b/>
          <w:bCs/>
        </w:rPr>
        <w:lastRenderedPageBreak/>
        <w:t>Goldene Bilanzregel</w:t>
      </w:r>
    </w:p>
    <w:p w14:paraId="3BF7B3DF" w14:textId="77777777" w:rsidR="005D52FF" w:rsidRPr="005D52FF" w:rsidRDefault="005D52FF" w:rsidP="005D52FF">
      <w:r w:rsidRPr="005D52FF">
        <w:t xml:space="preserve">Schauen wir uns nun noch die horizontalen Bilanzkennzahlen an. Diese beschreiben das Verhältnis von Werten </w:t>
      </w:r>
      <w:proofErr w:type="gramStart"/>
      <w:r w:rsidRPr="005D52FF">
        <w:t>aus der Aktiva</w:t>
      </w:r>
      <w:proofErr w:type="gramEnd"/>
      <w:r w:rsidRPr="005D52FF">
        <w:t xml:space="preserve"> und Passiva Seite. Starten wir doch mit der goldenen Bilanzregel. </w:t>
      </w:r>
      <w:proofErr w:type="gramStart"/>
      <w:r w:rsidRPr="005D52FF">
        <w:t>Diese  gibt</w:t>
      </w:r>
      <w:proofErr w:type="gramEnd"/>
      <w:r w:rsidRPr="005D52FF">
        <w:t xml:space="preserve"> Aufschluss über die einzelnen Deckungsgrade.  Laut ihr soll langfristig gebundenes Vermögen (=</w:t>
      </w:r>
      <w:r w:rsidRPr="005D52FF">
        <w:rPr>
          <w:b/>
          <w:bCs/>
        </w:rPr>
        <w:t>Anlagevermögen</w:t>
      </w:r>
      <w:r w:rsidRPr="005D52FF">
        <w:t>), </w:t>
      </w:r>
      <w:r w:rsidRPr="005D52FF">
        <w:rPr>
          <w:b/>
          <w:bCs/>
        </w:rPr>
        <w:t>langfristig finanziert</w:t>
      </w:r>
      <w:r w:rsidRPr="005D52FF">
        <w:t> werden, kurzfristiges Vermögen (=</w:t>
      </w:r>
      <w:r w:rsidRPr="005D52FF">
        <w:rPr>
          <w:b/>
          <w:bCs/>
        </w:rPr>
        <w:t>Umlaufvermögen</w:t>
      </w:r>
      <w:r w:rsidRPr="005D52FF">
        <w:t>) hingegen soll </w:t>
      </w:r>
      <w:r w:rsidRPr="005D52FF">
        <w:rPr>
          <w:b/>
          <w:bCs/>
        </w:rPr>
        <w:t>kurzfristig</w:t>
      </w:r>
      <w:r w:rsidRPr="005D52FF">
        <w:t> gedeckt werden. Diese Werte werden mittels der einzelnen Deckungsgrade berechnet</w:t>
      </w:r>
    </w:p>
    <w:p w14:paraId="28BC5691" w14:textId="77777777" w:rsidR="005D52FF" w:rsidRPr="005D52FF" w:rsidRDefault="005D52FF" w:rsidP="005D52FF">
      <w:r w:rsidRPr="005D52FF">
        <w:t>Die Formeln lauten hierzu: </w:t>
      </w:r>
    </w:p>
    <w:p w14:paraId="5C51C95F" w14:textId="0E8542B6" w:rsidR="005D52FF" w:rsidRPr="005D52FF" w:rsidRDefault="005D52FF" w:rsidP="005D52FF">
      <w:r w:rsidRPr="00316000">
        <w:rPr>
          <w:noProof/>
        </w:rPr>
        <w:drawing>
          <wp:inline distT="0" distB="0" distL="0" distR="0" wp14:anchorId="7C73D71B" wp14:editId="03311F2A">
            <wp:extent cx="2369820" cy="259080"/>
            <wp:effectExtent l="0" t="0" r="0" b="7620"/>
            <wp:docPr id="1785348804" name="Grafik 22" descr="{\text{Deckungsgrad 1}} = \frac{\text{Eigenkapital}}{\text{Anlageverm\&quot;{o}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text{Deckungsgrad 1}} = \frac{\text{Eigenkapital}}{\text{Anlageverm\&quot;{o}gen}}"/>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369820" cy="259080"/>
                    </a:xfrm>
                    <a:prstGeom prst="rect">
                      <a:avLst/>
                    </a:prstGeom>
                    <a:noFill/>
                    <a:ln>
                      <a:noFill/>
                    </a:ln>
                  </pic:spPr>
                </pic:pic>
              </a:graphicData>
            </a:graphic>
          </wp:inline>
        </w:drawing>
      </w:r>
    </w:p>
    <w:p w14:paraId="48A73367" w14:textId="79D5940C" w:rsidR="005D52FF" w:rsidRPr="005D52FF" w:rsidRDefault="005D52FF" w:rsidP="005D52FF">
      <w:r w:rsidRPr="00316000">
        <w:rPr>
          <w:noProof/>
        </w:rPr>
        <w:drawing>
          <wp:inline distT="0" distB="0" distL="0" distR="0" wp14:anchorId="03100EE3" wp14:editId="1ADBB5AE">
            <wp:extent cx="3810000" cy="259080"/>
            <wp:effectExtent l="0" t="0" r="0" b="7620"/>
            <wp:docPr id="299988548" name="Grafik 21" descr="{\text{Deckungsgrad 2}} = \frac{\text{Eigenkapital + langfristiges Fremdkapital}}{\text{Anlageverm\&quot;{o}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text{Deckungsgrad 2}} = \frac{\text{Eigenkapital + langfristiges Fremdkapital}}{\text{Anlageverm\&quot;{o}gen}}"/>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810000" cy="259080"/>
                    </a:xfrm>
                    <a:prstGeom prst="rect">
                      <a:avLst/>
                    </a:prstGeom>
                    <a:noFill/>
                    <a:ln>
                      <a:noFill/>
                    </a:ln>
                  </pic:spPr>
                </pic:pic>
              </a:graphicData>
            </a:graphic>
          </wp:inline>
        </w:drawing>
      </w:r>
    </w:p>
    <w:p w14:paraId="516BD3DA" w14:textId="77777777" w:rsidR="005D52FF" w:rsidRPr="005D52FF" w:rsidRDefault="005D52FF" w:rsidP="005D52FF">
      <w:r w:rsidRPr="005D52FF">
        <w:t>Für unser Beispiel ergibt sich so:</w:t>
      </w:r>
    </w:p>
    <w:p w14:paraId="30AB3F71" w14:textId="521F145A" w:rsidR="005D52FF" w:rsidRPr="005D52FF" w:rsidRDefault="005D52FF" w:rsidP="005D52FF">
      <w:r w:rsidRPr="00316000">
        <w:rPr>
          <w:noProof/>
        </w:rPr>
        <w:drawing>
          <wp:inline distT="0" distB="0" distL="0" distR="0" wp14:anchorId="1A17D97B" wp14:editId="3AB5237C">
            <wp:extent cx="2331720" cy="205740"/>
            <wp:effectExtent l="0" t="0" r="0" b="3810"/>
            <wp:docPr id="422408561" name="Grafik 20" descr="{\text{Deckungsgrad 1}} = \frac{300.000}{500.000} = 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text{Deckungsgrad 1}} = \frac{300.000}{500.000} = 0,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331720" cy="205740"/>
                    </a:xfrm>
                    <a:prstGeom prst="rect">
                      <a:avLst/>
                    </a:prstGeom>
                    <a:noFill/>
                    <a:ln>
                      <a:noFill/>
                    </a:ln>
                  </pic:spPr>
                </pic:pic>
              </a:graphicData>
            </a:graphic>
          </wp:inline>
        </w:drawing>
      </w:r>
    </w:p>
    <w:p w14:paraId="34ADA572" w14:textId="329E8234" w:rsidR="005D52FF" w:rsidRPr="005D52FF" w:rsidRDefault="005D52FF" w:rsidP="005D52FF">
      <w:r w:rsidRPr="00316000">
        <w:rPr>
          <w:noProof/>
        </w:rPr>
        <w:drawing>
          <wp:inline distT="0" distB="0" distL="0" distR="0" wp14:anchorId="1FFF1450" wp14:editId="776D2E84">
            <wp:extent cx="2857500" cy="205740"/>
            <wp:effectExtent l="0" t="0" r="0" b="3810"/>
            <wp:docPr id="1683742370" name="Grafik 19" descr="{\text{Deckungsgrad 2}} = \frac{300.000 + 250.000}{500.000} = 1,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text{Deckungsgrad 2}} = \frac{300.000 + 250.000}{500.000} = 1,1 "/>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857500" cy="205740"/>
                    </a:xfrm>
                    <a:prstGeom prst="rect">
                      <a:avLst/>
                    </a:prstGeom>
                    <a:noFill/>
                    <a:ln>
                      <a:noFill/>
                    </a:ln>
                  </pic:spPr>
                </pic:pic>
              </a:graphicData>
            </a:graphic>
          </wp:inline>
        </w:drawing>
      </w:r>
    </w:p>
    <w:p w14:paraId="04B0E6A0" w14:textId="77777777" w:rsidR="005D52FF" w:rsidRPr="005D52FF" w:rsidRDefault="005D52FF" w:rsidP="005D52FF">
      <w:r w:rsidRPr="005D52FF">
        <w:t xml:space="preserve">Die </w:t>
      </w:r>
      <w:proofErr w:type="spellStart"/>
      <w:r w:rsidRPr="005D52FF">
        <w:t>Büroflix</w:t>
      </w:r>
      <w:proofErr w:type="spellEnd"/>
      <w:r w:rsidRPr="005D52FF">
        <w:t xml:space="preserve"> GmbH hat demnach einen Deckungsgrad 1 von 0,6, was bedeutet, dass das Anlagevermögen überwiegend durch das Eigenkapital finanziert ist. Das Unternehmen besitzt darüber hinaus einen Deckungsgrad 2 von 1,1. Je weiter der Deckungsgrad 2 über eins liegt, desto mehr ist auch das Umlaufvermögen langfristig finanziert. Für eine nähere Erklärung sieh dir unseren extra </w:t>
      </w:r>
      <w:hyperlink r:id="rId60" w:history="1">
        <w:r w:rsidRPr="005D52FF">
          <w:rPr>
            <w:rStyle w:val="Hyperlink"/>
            <w:b/>
            <w:bCs/>
            <w:color w:val="auto"/>
          </w:rPr>
          <w:t>Video </w:t>
        </w:r>
      </w:hyperlink>
      <w:r w:rsidRPr="005D52FF">
        <w:t>dazu an!</w:t>
      </w:r>
    </w:p>
    <w:p w14:paraId="10ED843B" w14:textId="72D321CD" w:rsidR="005D52FF" w:rsidRPr="005D52FF" w:rsidRDefault="005D52FF" w:rsidP="005D52FF">
      <w:pPr>
        <w:rPr>
          <w:b/>
          <w:bCs/>
        </w:rPr>
      </w:pPr>
      <w:r w:rsidRPr="005D52FF">
        <w:rPr>
          <w:b/>
          <w:bCs/>
        </w:rPr>
        <w:t>Liquiditätsgrade</w:t>
      </w:r>
    </w:p>
    <w:p w14:paraId="02F68BBA" w14:textId="77777777" w:rsidR="005D52FF" w:rsidRPr="005D52FF" w:rsidRDefault="005D52FF" w:rsidP="005D52FF">
      <w:r w:rsidRPr="005D52FF">
        <w:t>Drei weitere interessante Bilanzkennzahlen fasst du in den sogenannten Liquiditätsgraden zusammen. In der Praxis wird zwischen drei Liquiditätsgraden unterschieden:</w:t>
      </w:r>
    </w:p>
    <w:p w14:paraId="475B0C34" w14:textId="77777777" w:rsidR="005D52FF" w:rsidRPr="005D52FF" w:rsidRDefault="005D52FF" w:rsidP="005D52FF">
      <w:r w:rsidRPr="005D52FF">
        <w:t>Die </w:t>
      </w:r>
      <w:r w:rsidRPr="005D52FF">
        <w:rPr>
          <w:b/>
          <w:bCs/>
        </w:rPr>
        <w:t>Liquidität ersten Grades</w:t>
      </w:r>
      <w:r w:rsidRPr="005D52FF">
        <w:t> beschreibt das Verhältnis von flüssigen Geldmitteln zu kurzfristigen Verbindlichkeiten. Somit lautet die Formel dazu:</w:t>
      </w:r>
    </w:p>
    <w:p w14:paraId="0AEFF220" w14:textId="48035598" w:rsidR="005D52FF" w:rsidRPr="005D52FF" w:rsidRDefault="005D52FF" w:rsidP="005D52FF">
      <w:r w:rsidRPr="00316000">
        <w:rPr>
          <w:noProof/>
        </w:rPr>
        <w:drawing>
          <wp:inline distT="0" distB="0" distL="0" distR="0" wp14:anchorId="17BAF644" wp14:editId="64A5CF01">
            <wp:extent cx="3627120" cy="259080"/>
            <wp:effectExtent l="0" t="0" r="0" b="7620"/>
            <wp:docPr id="340801485" name="Grafik 18" descr="{\text{Liquidit\&quot;{a}tsgrad 1}} = \frac{\text{Fl\&quot;{u}ssige Mittel}}{\text{Kurzfristige Verbindlichkeiten}}\cdot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text{Liquidit\&quot;{a}tsgrad 1}} = \frac{\text{Fl\&quot;{u}ssige Mittel}}{\text{Kurzfristige Verbindlichkeiten}}\cdot 10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627120" cy="259080"/>
                    </a:xfrm>
                    <a:prstGeom prst="rect">
                      <a:avLst/>
                    </a:prstGeom>
                    <a:noFill/>
                    <a:ln>
                      <a:noFill/>
                    </a:ln>
                  </pic:spPr>
                </pic:pic>
              </a:graphicData>
            </a:graphic>
          </wp:inline>
        </w:drawing>
      </w:r>
    </w:p>
    <w:p w14:paraId="322867D4" w14:textId="77777777" w:rsidR="005D52FF" w:rsidRPr="005D52FF" w:rsidRDefault="005D52FF" w:rsidP="005D52FF">
      <w:r w:rsidRPr="005D52FF">
        <w:lastRenderedPageBreak/>
        <w:t>Die </w:t>
      </w:r>
      <w:r w:rsidRPr="005D52FF">
        <w:rPr>
          <w:b/>
          <w:bCs/>
        </w:rPr>
        <w:t>Liquidität zweiten Grades</w:t>
      </w:r>
      <w:r w:rsidRPr="005D52FF">
        <w:t> berechnet das Verhältnis von flüssigen Mitteln, kurzfristigen Forderungen und Wertpapieren zu kurzfristigen Verbindlichkeiten. Die Formel lautet:</w:t>
      </w:r>
    </w:p>
    <w:p w14:paraId="5323FE51" w14:textId="7C38781E" w:rsidR="005D52FF" w:rsidRPr="005D52FF" w:rsidRDefault="005D52FF" w:rsidP="005D52FF">
      <w:r w:rsidRPr="00316000">
        <w:rPr>
          <w:noProof/>
        </w:rPr>
        <w:drawing>
          <wp:inline distT="0" distB="0" distL="0" distR="0" wp14:anchorId="7A8640D4" wp14:editId="4BAB0DAD">
            <wp:extent cx="5250180" cy="259080"/>
            <wp:effectExtent l="0" t="0" r="7620" b="7620"/>
            <wp:docPr id="1285620251" name="Grafik 17" descr="{\text{Liquidit\&quot;{a}tsgrad 2} = \frac{\text{Fl\&quot;{u}ssige Mittel + kurzfristige Forderungen + Wertpapiere}}{\text{Kurzfristige Verbindlichkeiten}}\cdot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text{Liquidit\&quot;{a}tsgrad 2} = \frac{\text{Fl\&quot;{u}ssige Mittel + kurzfristige Forderungen + Wertpapiere}}{\text{Kurzfristige Verbindlichkeiten}}\cdot 10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50180" cy="259080"/>
                    </a:xfrm>
                    <a:prstGeom prst="rect">
                      <a:avLst/>
                    </a:prstGeom>
                    <a:noFill/>
                    <a:ln>
                      <a:noFill/>
                    </a:ln>
                  </pic:spPr>
                </pic:pic>
              </a:graphicData>
            </a:graphic>
          </wp:inline>
        </w:drawing>
      </w:r>
    </w:p>
    <w:p w14:paraId="26E03C26" w14:textId="77777777" w:rsidR="005D52FF" w:rsidRPr="005D52FF" w:rsidRDefault="005D52FF" w:rsidP="005D52FF">
      <w:r w:rsidRPr="005D52FF">
        <w:t>Die </w:t>
      </w:r>
      <w:r w:rsidRPr="005D52FF">
        <w:rPr>
          <w:b/>
          <w:bCs/>
        </w:rPr>
        <w:t>Liquidität dritten Grades</w:t>
      </w:r>
      <w:r w:rsidRPr="005D52FF">
        <w:t> gibt das Verhältnis des Umlaufvermögens zu kurzfristigen Verbindlichkeiten wieder. Die Formel dazu lautet:</w:t>
      </w:r>
    </w:p>
    <w:p w14:paraId="037045AA" w14:textId="0F20332D" w:rsidR="005D52FF" w:rsidRPr="005D52FF" w:rsidRDefault="005D52FF" w:rsidP="005D52FF">
      <w:r w:rsidRPr="00316000">
        <w:rPr>
          <w:noProof/>
        </w:rPr>
        <w:drawing>
          <wp:inline distT="0" distB="0" distL="0" distR="0" wp14:anchorId="0B71F2B7" wp14:editId="1C9EB205">
            <wp:extent cx="3627120" cy="259080"/>
            <wp:effectExtent l="0" t="0" r="0" b="7620"/>
            <wp:docPr id="1249343493" name="Grafik 16" descr="{\text{Liquidit\&quot;{a}tsgrad 3}} = \frac{\text{Umlaufverm\&quot;{o}gen}}{\text{Kurzfristige Verbindlichkeiten}}\cdot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text{Liquidit\&quot;{a}tsgrad 3}} = \frac{\text{Umlaufverm\&quot;{o}gen}}{\text{Kurzfristige Verbindlichkeiten}}\cdot 100"/>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627120" cy="259080"/>
                    </a:xfrm>
                    <a:prstGeom prst="rect">
                      <a:avLst/>
                    </a:prstGeom>
                    <a:noFill/>
                    <a:ln>
                      <a:noFill/>
                    </a:ln>
                  </pic:spPr>
                </pic:pic>
              </a:graphicData>
            </a:graphic>
          </wp:inline>
        </w:drawing>
      </w:r>
    </w:p>
    <w:p w14:paraId="052D45A8" w14:textId="77777777" w:rsidR="005D52FF" w:rsidRPr="005D52FF" w:rsidRDefault="005D52FF" w:rsidP="005D52FF">
      <w:r w:rsidRPr="005D52FF">
        <w:t>Für unser Beispiel ergeben sich folgende Werte:</w:t>
      </w:r>
    </w:p>
    <w:p w14:paraId="34D5E8AB" w14:textId="0F9F981B" w:rsidR="005D52FF" w:rsidRPr="005D52FF" w:rsidRDefault="005D52FF" w:rsidP="005D52FF">
      <w:r w:rsidRPr="00316000">
        <w:rPr>
          <w:noProof/>
        </w:rPr>
        <w:drawing>
          <wp:inline distT="0" distB="0" distL="0" distR="0" wp14:anchorId="2D7906F6" wp14:editId="0A8446DF">
            <wp:extent cx="2964180" cy="220980"/>
            <wp:effectExtent l="0" t="0" r="7620" b="7620"/>
            <wp:docPr id="109059727" name="Grafik 15" descr="{\text{Liquidit\&quot;{a}tsgrad 1}} = \frac{150.000}{150.000}\cdot 100 = 100\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text{Liquidit\&quot;{a}tsgrad 1}} = \frac{150.000}{150.000}\cdot 100 = 100\text{\%}"/>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2964180" cy="220980"/>
                    </a:xfrm>
                    <a:prstGeom prst="rect">
                      <a:avLst/>
                    </a:prstGeom>
                    <a:noFill/>
                    <a:ln>
                      <a:noFill/>
                    </a:ln>
                  </pic:spPr>
                </pic:pic>
              </a:graphicData>
            </a:graphic>
          </wp:inline>
        </w:drawing>
      </w:r>
    </w:p>
    <w:p w14:paraId="0D4BA92A" w14:textId="33050D61" w:rsidR="005D52FF" w:rsidRPr="005D52FF" w:rsidRDefault="005D52FF" w:rsidP="005D52FF">
      <w:r w:rsidRPr="00316000">
        <w:rPr>
          <w:noProof/>
        </w:rPr>
        <w:drawing>
          <wp:inline distT="0" distB="0" distL="0" distR="0" wp14:anchorId="170CD2DA" wp14:editId="575D57FB">
            <wp:extent cx="3589020" cy="220980"/>
            <wp:effectExtent l="0" t="0" r="0" b="7620"/>
            <wp:docPr id="985558402" name="Grafik 14" descr="{\text{Liquidit\&quot;{a}tsgrad 2} = \frac{150.000 + 50.000 + 0}{150.000}\cdot 100 = 133\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text{Liquidit\&quot;{a}tsgrad 2} = \frac{150.000 + 50.000 + 0}{150.000}\cdot 100 = 133\tex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589020" cy="220980"/>
                    </a:xfrm>
                    <a:prstGeom prst="rect">
                      <a:avLst/>
                    </a:prstGeom>
                    <a:noFill/>
                    <a:ln>
                      <a:noFill/>
                    </a:ln>
                  </pic:spPr>
                </pic:pic>
              </a:graphicData>
            </a:graphic>
          </wp:inline>
        </w:drawing>
      </w:r>
    </w:p>
    <w:p w14:paraId="2AA556D9" w14:textId="6A40DAC8" w:rsidR="005D52FF" w:rsidRPr="005D52FF" w:rsidRDefault="005D52FF" w:rsidP="005D52FF">
      <w:r w:rsidRPr="00316000">
        <w:rPr>
          <w:noProof/>
        </w:rPr>
        <w:drawing>
          <wp:inline distT="0" distB="0" distL="0" distR="0" wp14:anchorId="6201B39C" wp14:editId="140DA35D">
            <wp:extent cx="2964180" cy="220980"/>
            <wp:effectExtent l="0" t="0" r="7620" b="7620"/>
            <wp:docPr id="1390414155" name="Grafik 13" descr="{\text{Liquidit\&quot;{a}tsgrad 3}} = \frac{200.000}{150.000}\cdot 100 = 133\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text{Liquidit\&quot;{a}tsgrad 3}} = \frac{200.000}{150.000}\cdot 100 = 133\text{\%}"/>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964180" cy="220980"/>
                    </a:xfrm>
                    <a:prstGeom prst="rect">
                      <a:avLst/>
                    </a:prstGeom>
                    <a:noFill/>
                    <a:ln>
                      <a:noFill/>
                    </a:ln>
                  </pic:spPr>
                </pic:pic>
              </a:graphicData>
            </a:graphic>
          </wp:inline>
        </w:drawing>
      </w:r>
    </w:p>
    <w:p w14:paraId="24018B37" w14:textId="77777777" w:rsidR="005D52FF" w:rsidRPr="005D52FF" w:rsidRDefault="005D52FF" w:rsidP="005D52FF">
      <w:r w:rsidRPr="005D52FF">
        <w:t xml:space="preserve">Für die </w:t>
      </w:r>
      <w:proofErr w:type="spellStart"/>
      <w:r w:rsidRPr="005D52FF">
        <w:t>Büroflix</w:t>
      </w:r>
      <w:proofErr w:type="spellEnd"/>
      <w:r w:rsidRPr="005D52FF">
        <w:t xml:space="preserve"> GmbH ergibt sich daher eine Liquidität ersten Grades von 100%, das heißt, alle kurzfristigen Verbindlichkeiten könnten mit liquiden Mitteln gedeckt werden. Demnach besitzt das Unternehmen eine hohe Zahlungsfähigkeit. Die Liquidität zweiten Grades beträgt 133% und ist damit ein weiteres Indiz für </w:t>
      </w:r>
      <w:proofErr w:type="spellStart"/>
      <w:r w:rsidRPr="005D52FF">
        <w:t>für</w:t>
      </w:r>
      <w:proofErr w:type="spellEnd"/>
      <w:r w:rsidRPr="005D52FF">
        <w:t xml:space="preserve"> eine ausreichende </w:t>
      </w:r>
      <w:hyperlink r:id="rId67" w:history="1">
        <w:r w:rsidRPr="005D52FF">
          <w:rPr>
            <w:rStyle w:val="Hyperlink"/>
            <w:b/>
            <w:bCs/>
            <w:color w:val="auto"/>
          </w:rPr>
          <w:t>Liquidität </w:t>
        </w:r>
      </w:hyperlink>
      <w:r w:rsidRPr="005D52FF">
        <w:t>der Firma. Die Liquidität dritten Grades ist ebenfalls 133%, da sich das Umlaufvermögen des Betriebs vollständig aus kurzfristigen Forderungen und flüssigen Mitteln zusammensetzt. </w:t>
      </w:r>
    </w:p>
    <w:p w14:paraId="25BD6B31" w14:textId="1E88B371" w:rsidR="005D52FF" w:rsidRPr="005D52FF" w:rsidRDefault="005D52FF" w:rsidP="005D52FF">
      <w:pPr>
        <w:rPr>
          <w:b/>
          <w:bCs/>
        </w:rPr>
      </w:pPr>
      <w:r w:rsidRPr="005D52FF">
        <w:rPr>
          <w:b/>
          <w:bCs/>
        </w:rPr>
        <w:t>Working Capital</w:t>
      </w:r>
    </w:p>
    <w:p w14:paraId="6EC5F0CB" w14:textId="77777777" w:rsidR="005D52FF" w:rsidRPr="005D52FF" w:rsidRDefault="005D52FF" w:rsidP="005D52FF">
      <w:r w:rsidRPr="005D52FF">
        <w:t>Das Working Capital berechnet sich aus dem Umlaufvermögen abzüglich der kurzfristigen Verbindlichkeiten. Dabei bedeutet ein positiver Wert, dass das Umlaufvermögen eines Unternehmens die kurzfristigen Verbindlichkeiten abdeckt. Die Formel für das Working Capital ist: </w:t>
      </w:r>
    </w:p>
    <w:p w14:paraId="3AB38C37" w14:textId="519EEBCB" w:rsidR="005D52FF" w:rsidRPr="005D52FF" w:rsidRDefault="005D52FF" w:rsidP="005D52FF">
      <w:r w:rsidRPr="00316000">
        <w:rPr>
          <w:noProof/>
        </w:rPr>
        <w:drawing>
          <wp:inline distT="0" distB="0" distL="0" distR="0" wp14:anchorId="76544D46" wp14:editId="163385C1">
            <wp:extent cx="5113020" cy="152400"/>
            <wp:effectExtent l="0" t="0" r="0" b="0"/>
            <wp:docPr id="1938549736" name="Grafik 12" descr="{\text{Working Capital}} = {\text{Umlaufverm\&quot;{o}gen} - {\text{Kurzfristige Verbindlichkei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text{Working Capital}} = {\text{Umlaufverm\&quot;{o}gen} - {\text{Kurzfristige Verbindlichkeiten}"/>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113020" cy="152400"/>
                    </a:xfrm>
                    <a:prstGeom prst="rect">
                      <a:avLst/>
                    </a:prstGeom>
                    <a:noFill/>
                    <a:ln>
                      <a:noFill/>
                    </a:ln>
                  </pic:spPr>
                </pic:pic>
              </a:graphicData>
            </a:graphic>
          </wp:inline>
        </w:drawing>
      </w:r>
    </w:p>
    <w:p w14:paraId="1516E62F" w14:textId="77777777" w:rsidR="005D52FF" w:rsidRPr="005D52FF" w:rsidRDefault="005D52FF" w:rsidP="005D52FF">
      <w:r w:rsidRPr="005D52FF">
        <w:t xml:space="preserve">Berechnen wir nun das Working Capital für die </w:t>
      </w:r>
      <w:proofErr w:type="spellStart"/>
      <w:r w:rsidRPr="005D52FF">
        <w:t>Büroflix</w:t>
      </w:r>
      <w:proofErr w:type="spellEnd"/>
      <w:r w:rsidRPr="005D52FF">
        <w:t xml:space="preserve"> GmbH, kommen wir auf diese Werte: </w:t>
      </w:r>
    </w:p>
    <w:p w14:paraId="2A896880" w14:textId="6F7B70C7" w:rsidR="005D52FF" w:rsidRPr="005D52FF" w:rsidRDefault="005D52FF" w:rsidP="005D52FF">
      <w:r w:rsidRPr="00316000">
        <w:rPr>
          <w:noProof/>
        </w:rPr>
        <w:drawing>
          <wp:inline distT="0" distB="0" distL="0" distR="0" wp14:anchorId="1B255BF6" wp14:editId="18A7913C">
            <wp:extent cx="3604260" cy="152400"/>
            <wp:effectExtent l="0" t="0" r="0" b="0"/>
            <wp:docPr id="53688858" name="Grafik 11" descr="{\text{Working Capital}} = 200.000 - 150.000 =  + 5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text{Working Capital}} = 200.000 - 150.000 =  + 50.00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604260" cy="152400"/>
                    </a:xfrm>
                    <a:prstGeom prst="rect">
                      <a:avLst/>
                    </a:prstGeom>
                    <a:noFill/>
                    <a:ln>
                      <a:noFill/>
                    </a:ln>
                  </pic:spPr>
                </pic:pic>
              </a:graphicData>
            </a:graphic>
          </wp:inline>
        </w:drawing>
      </w:r>
    </w:p>
    <w:p w14:paraId="747ABEA7" w14:textId="5AAF4949" w:rsidR="005D52FF" w:rsidRPr="005D52FF" w:rsidRDefault="005D52FF" w:rsidP="005D52FF">
      <w:r w:rsidRPr="005D52FF">
        <w:lastRenderedPageBreak/>
        <w:t xml:space="preserve">Für das Unternehmen ergibt sich so ein Ergebnis von + 50.000. Dies ist positiv zu bewerten, da ein Teil des Umlaufvermögens mit langfristigem </w:t>
      </w:r>
      <w:r w:rsidR="00AD4BE7">
        <w:t xml:space="preserve">der Wurzel macht einen Purzelbaum </w:t>
      </w:r>
      <w:r w:rsidRPr="005D52FF">
        <w:t>Kapital finanziert wird.</w:t>
      </w:r>
    </w:p>
    <w:p w14:paraId="23F109CD" w14:textId="77777777" w:rsidR="005D52FF" w:rsidRPr="00316000" w:rsidRDefault="005D52FF" w:rsidP="005D52FF">
      <w:r w:rsidRPr="005D52FF">
        <w:t xml:space="preserve">Zusammenfassend stellst du fest, dass die </w:t>
      </w:r>
      <w:proofErr w:type="spellStart"/>
      <w:r w:rsidRPr="005D52FF">
        <w:t>Büroflix</w:t>
      </w:r>
      <w:proofErr w:type="spellEnd"/>
      <w:r w:rsidRPr="005D52FF">
        <w:t xml:space="preserve"> GmbH finanziell bestens aufgestellt ist und eine gesunde Bilanz vorweisen kann. </w:t>
      </w:r>
    </w:p>
    <w:p w14:paraId="4DD6CCEE" w14:textId="77777777" w:rsidR="005D52FF" w:rsidRPr="00316000" w:rsidRDefault="005D52FF" w:rsidP="005D52FF"/>
    <w:p w14:paraId="6E6755F1" w14:textId="77777777" w:rsidR="005D52FF" w:rsidRPr="00316000" w:rsidRDefault="005D52FF" w:rsidP="005D52FF"/>
    <w:p w14:paraId="2A68A17B" w14:textId="77777777" w:rsidR="005D52FF" w:rsidRPr="00316000" w:rsidRDefault="005D52FF" w:rsidP="005D52FF"/>
    <w:p w14:paraId="403AC501" w14:textId="77777777" w:rsidR="005D52FF" w:rsidRPr="00316000" w:rsidRDefault="005D52FF" w:rsidP="005D52FF"/>
    <w:p w14:paraId="28DC2FA4" w14:textId="77777777" w:rsidR="005D52FF" w:rsidRPr="00316000" w:rsidRDefault="005D52FF" w:rsidP="005D52FF"/>
    <w:p w14:paraId="3AADF816" w14:textId="77777777" w:rsidR="005D52FF" w:rsidRPr="00316000" w:rsidRDefault="005D52FF" w:rsidP="005D52FF"/>
    <w:p w14:paraId="5FEA498A" w14:textId="77777777" w:rsidR="005D52FF" w:rsidRPr="00316000" w:rsidRDefault="005D52FF" w:rsidP="005D52FF"/>
    <w:p w14:paraId="335E6349" w14:textId="77777777" w:rsidR="005D52FF" w:rsidRPr="00316000" w:rsidRDefault="005D52FF" w:rsidP="005D52FF"/>
    <w:p w14:paraId="5C9190B9" w14:textId="77777777" w:rsidR="005D52FF" w:rsidRPr="00316000" w:rsidRDefault="005D52FF" w:rsidP="005D52FF"/>
    <w:p w14:paraId="1371BDF5" w14:textId="77777777" w:rsidR="005D52FF" w:rsidRPr="00316000" w:rsidRDefault="005D52FF" w:rsidP="005D52FF"/>
    <w:p w14:paraId="13F26CD9" w14:textId="77777777" w:rsidR="005D52FF" w:rsidRPr="00316000" w:rsidRDefault="005D52FF" w:rsidP="005D52FF"/>
    <w:p w14:paraId="67B7EE91" w14:textId="77777777" w:rsidR="005D52FF" w:rsidRPr="00316000" w:rsidRDefault="005D52FF" w:rsidP="005D52FF"/>
    <w:p w14:paraId="6976E5B2" w14:textId="77777777" w:rsidR="005D52FF" w:rsidRPr="00316000" w:rsidRDefault="005D52FF" w:rsidP="005D52FF"/>
    <w:p w14:paraId="47E734BB" w14:textId="77777777" w:rsidR="005D52FF" w:rsidRPr="00316000" w:rsidRDefault="005D52FF" w:rsidP="005D52FF"/>
    <w:p w14:paraId="7E119D31" w14:textId="77777777" w:rsidR="005D52FF" w:rsidRPr="00316000" w:rsidRDefault="005D52FF" w:rsidP="005D52FF"/>
    <w:p w14:paraId="13A07352" w14:textId="77777777" w:rsidR="005D52FF" w:rsidRPr="00316000" w:rsidRDefault="005D52FF" w:rsidP="005D52FF"/>
    <w:p w14:paraId="55CABD28" w14:textId="77777777" w:rsidR="005D52FF" w:rsidRPr="00316000" w:rsidRDefault="005D52FF" w:rsidP="005D52FF"/>
    <w:p w14:paraId="49F74878" w14:textId="77777777" w:rsidR="005D52FF" w:rsidRPr="00316000" w:rsidRDefault="005D52FF" w:rsidP="005D52FF"/>
    <w:p w14:paraId="62B48EB6" w14:textId="77777777" w:rsidR="005D52FF" w:rsidRPr="00316000" w:rsidRDefault="005D52FF" w:rsidP="005D52FF"/>
    <w:p w14:paraId="3005FAFE" w14:textId="77777777" w:rsidR="005D52FF" w:rsidRPr="00316000" w:rsidRDefault="005D52FF" w:rsidP="005D52FF"/>
    <w:p w14:paraId="535BDEF2" w14:textId="77777777" w:rsidR="005D52FF" w:rsidRPr="00316000" w:rsidRDefault="005D52FF" w:rsidP="005D52FF"/>
    <w:p w14:paraId="1000FBEE" w14:textId="052D85D8" w:rsidR="005D52FF" w:rsidRPr="005D52FF" w:rsidRDefault="005D52FF" w:rsidP="005D52FF">
      <w:pPr>
        <w:rPr>
          <w:b/>
          <w:bCs/>
        </w:rPr>
      </w:pPr>
      <w:r w:rsidRPr="005D52FF">
        <w:rPr>
          <w:b/>
          <w:bCs/>
        </w:rPr>
        <w:lastRenderedPageBreak/>
        <w:t>Bilanzkennzahlen</w:t>
      </w:r>
    </w:p>
    <w:p w14:paraId="752C4061" w14:textId="77777777" w:rsidR="005D52FF" w:rsidRPr="005D52FF" w:rsidRDefault="005D52FF" w:rsidP="005D52FF">
      <w:proofErr w:type="gramStart"/>
      <w:r w:rsidRPr="005D52FF">
        <w:t>  Bilanzkennzahlen</w:t>
      </w:r>
      <w:proofErr w:type="gramEnd"/>
    </w:p>
    <w:p w14:paraId="7162349C" w14:textId="4B0A2E98" w:rsidR="005D52FF" w:rsidRPr="005D52FF" w:rsidRDefault="005D52FF" w:rsidP="005D52FF">
      <w:r w:rsidRPr="005D52FF">
        <w:t xml:space="preserve">Die Bilanz ist nicht nur eine Vorschrift des Handelsgesetzbuches, sondern auch ein Instrument zur </w:t>
      </w:r>
      <w:proofErr w:type="spellStart"/>
      <w:r w:rsidRPr="005D52FF">
        <w:t>Unternehmensbewertung.Auf</w:t>
      </w:r>
      <w:proofErr w:type="spellEnd"/>
      <w:r w:rsidRPr="005D52FF">
        <w:t xml:space="preserve"> den ersten Blick kann man erkennen, ob es sich um ein gesundes Unternehmen handelt.</w:t>
      </w:r>
      <w:r w:rsidRPr="005D52FF">
        <w:br/>
      </w:r>
      <w:r w:rsidRPr="005D52FF">
        <w:br/>
        <w:t>Die einzelnen Positionen der Bilanz haben nur begrenzte Aussagekraft. Aus diesem Grund wurden diverse Kennzahlen entwickelt mit denen man weitere Aussagen über ein Unternehmen treffen kann.</w:t>
      </w:r>
      <w:r w:rsidRPr="005D52FF">
        <w:br/>
      </w:r>
      <w:r w:rsidRPr="005D52FF">
        <w:br/>
        <w:t>Diese Kennzahlen haben sowohl eigenständige Aussagekraft, aber auch die Entwicklung des Unternehmens über mehrere Perioden hinweg kann durch diese Werte beurteilt werden.</w:t>
      </w:r>
      <w:r w:rsidRPr="005D52FF">
        <w:br/>
      </w:r>
    </w:p>
    <w:p w14:paraId="3077734C" w14:textId="131E62EA" w:rsidR="005D52FF" w:rsidRPr="005D52FF" w:rsidRDefault="005D52FF" w:rsidP="005D52FF">
      <w:pPr>
        <w:rPr>
          <w:b/>
          <w:bCs/>
        </w:rPr>
      </w:pPr>
      <w:r w:rsidRPr="005D52FF">
        <w:rPr>
          <w:b/>
          <w:bCs/>
        </w:rPr>
        <w:t>Übersicht der Bilanzkennzahlen</w:t>
      </w:r>
      <w:r w:rsidRPr="00316000">
        <w:rPr>
          <w:b/>
          <w:bCs/>
        </w:rPr>
        <w:br/>
      </w:r>
      <w:r w:rsidRPr="005D52FF">
        <w:br/>
      </w:r>
    </w:p>
    <w:p w14:paraId="5B0542B9" w14:textId="73DD9F1A" w:rsidR="005D52FF" w:rsidRPr="005D52FF" w:rsidRDefault="005D52FF" w:rsidP="005D52FF">
      <w:r w:rsidRPr="005D52FF">
        <w:t>Auf den folgenden Seiten erhaltet Ihr einen Überblick über die wichtigsten </w:t>
      </w:r>
      <w:r w:rsidRPr="005D52FF">
        <w:rPr>
          <w:b/>
          <w:bCs/>
        </w:rPr>
        <w:t>Bilanzkennzahlen</w:t>
      </w:r>
      <w:r w:rsidRPr="005D52FF">
        <w:t> Neben der einer eine Definition, der dazugehörige Formel gehen wir natürlich auch auf die Bedeutung dieser Werte ein.</w:t>
      </w: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776"/>
        <w:gridCol w:w="5280"/>
      </w:tblGrid>
      <w:tr w:rsidR="00316000" w:rsidRPr="005D52FF" w14:paraId="01DDAC8B" w14:textId="77777777" w:rsidTr="005D52FF">
        <w:tc>
          <w:tcPr>
            <w:tcW w:w="0" w:type="auto"/>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15EFA9DC" w14:textId="77777777" w:rsidR="005D52FF" w:rsidRPr="005D52FF" w:rsidRDefault="005D52FF" w:rsidP="005D52FF">
            <w:r w:rsidRPr="005D52FF">
              <w:rPr>
                <w:b/>
                <w:bCs/>
              </w:rPr>
              <w:t>Bilanzkennzahl</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26540F5A" w14:textId="77777777" w:rsidR="005D52FF" w:rsidRPr="005D52FF" w:rsidRDefault="005D52FF" w:rsidP="005D52FF">
            <w:r w:rsidRPr="005D52FF">
              <w:rPr>
                <w:b/>
                <w:bCs/>
              </w:rPr>
              <w:t>Bedeutung</w:t>
            </w:r>
          </w:p>
        </w:tc>
      </w:tr>
      <w:tr w:rsidR="00316000" w:rsidRPr="005D52FF" w14:paraId="30830BCF" w14:textId="77777777" w:rsidTr="005D52FF">
        <w:trPr>
          <w:trHeight w:val="960"/>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3030F07E" w14:textId="77777777" w:rsidR="005D52FF" w:rsidRPr="005D52FF" w:rsidRDefault="005D52FF" w:rsidP="005D52FF">
            <w:hyperlink r:id="rId70" w:history="1">
              <w:r w:rsidRPr="005D52FF">
                <w:rPr>
                  <w:rStyle w:val="Hyperlink"/>
                  <w:color w:val="auto"/>
                </w:rPr>
                <w:t>Konstitution (Vermögensaufbau)</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086DAC1" w14:textId="77777777" w:rsidR="005D52FF" w:rsidRPr="005D52FF" w:rsidRDefault="005D52FF" w:rsidP="005D52FF">
            <w:r w:rsidRPr="005D52FF">
              <w:t>Verhältnis zwischen Anlage- und Umlaufvermögen</w:t>
            </w:r>
          </w:p>
        </w:tc>
      </w:tr>
      <w:tr w:rsidR="00316000" w:rsidRPr="005D52FF" w14:paraId="528DB919" w14:textId="77777777" w:rsidTr="005D52FF">
        <w:trPr>
          <w:trHeight w:val="960"/>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2E68DB0B" w14:textId="77777777" w:rsidR="005D52FF" w:rsidRPr="005D52FF" w:rsidRDefault="005D52FF" w:rsidP="005D52FF">
            <w:hyperlink r:id="rId71" w:history="1">
              <w:r w:rsidRPr="005D52FF">
                <w:rPr>
                  <w:rStyle w:val="Hyperlink"/>
                  <w:color w:val="auto"/>
                </w:rPr>
                <w:t>Anlageintensität / Anlagequote</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07A7FC7B" w14:textId="77777777" w:rsidR="005D52FF" w:rsidRPr="005D52FF" w:rsidRDefault="005D52FF" w:rsidP="005D52FF">
            <w:r w:rsidRPr="005D52FF">
              <w:t>Anteil Anlagevermögen am Gesamtvermögen</w:t>
            </w:r>
          </w:p>
        </w:tc>
      </w:tr>
      <w:tr w:rsidR="00316000" w:rsidRPr="005D52FF" w14:paraId="7C526800" w14:textId="77777777" w:rsidTr="005D52FF">
        <w:trPr>
          <w:trHeight w:val="960"/>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2202D9B0" w14:textId="77777777" w:rsidR="005D52FF" w:rsidRPr="005D52FF" w:rsidRDefault="005D52FF" w:rsidP="005D52FF">
            <w:hyperlink r:id="rId72" w:history="1">
              <w:r w:rsidRPr="005D52FF">
                <w:rPr>
                  <w:rStyle w:val="Hyperlink"/>
                  <w:color w:val="auto"/>
                </w:rPr>
                <w:t>Umlageintensität (Umlaufquote)</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265F41A" w14:textId="77777777" w:rsidR="005D52FF" w:rsidRPr="005D52FF" w:rsidRDefault="005D52FF" w:rsidP="005D52FF">
            <w:r w:rsidRPr="005D52FF">
              <w:t>Anteil Umlaufvermögen am Gesamtvermögen</w:t>
            </w:r>
          </w:p>
        </w:tc>
      </w:tr>
      <w:tr w:rsidR="00316000" w:rsidRPr="005D52FF" w14:paraId="324FD0AC" w14:textId="77777777" w:rsidTr="005D52FF">
        <w:trPr>
          <w:trHeight w:val="960"/>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006CD10C" w14:textId="77777777" w:rsidR="005D52FF" w:rsidRPr="005D52FF" w:rsidRDefault="005D52FF" w:rsidP="005D52FF">
            <w:hyperlink r:id="rId73" w:history="1">
              <w:r w:rsidRPr="005D52FF">
                <w:rPr>
                  <w:rStyle w:val="Hyperlink"/>
                  <w:color w:val="auto"/>
                </w:rPr>
                <w:t>Liquidität ersten Grades</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99C7560" w14:textId="77777777" w:rsidR="005D52FF" w:rsidRPr="005D52FF" w:rsidRDefault="005D52FF" w:rsidP="005D52FF">
            <w:r w:rsidRPr="005D52FF">
              <w:t>Verhältnis flüssige Geldmittel zu kurzfristigem Fremdkapital</w:t>
            </w:r>
          </w:p>
        </w:tc>
      </w:tr>
      <w:tr w:rsidR="00316000" w:rsidRPr="005D52FF" w14:paraId="3A4874BF" w14:textId="77777777" w:rsidTr="005D52FF">
        <w:trPr>
          <w:trHeight w:val="960"/>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3B0531E6" w14:textId="77777777" w:rsidR="005D52FF" w:rsidRPr="005D52FF" w:rsidRDefault="005D52FF" w:rsidP="005D52FF">
            <w:hyperlink r:id="rId74" w:history="1">
              <w:r w:rsidRPr="005D52FF">
                <w:rPr>
                  <w:rStyle w:val="Hyperlink"/>
                  <w:color w:val="auto"/>
                </w:rPr>
                <w:t>Liquidität zweiten Grades</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1580F1C" w14:textId="77777777" w:rsidR="005D52FF" w:rsidRPr="005D52FF" w:rsidRDefault="005D52FF" w:rsidP="005D52FF">
            <w:r w:rsidRPr="005D52FF">
              <w:t>Verhältnis flüssige Mittel und Forderungen zu kurzfristigem Fremdkapital</w:t>
            </w:r>
          </w:p>
        </w:tc>
      </w:tr>
      <w:tr w:rsidR="00316000" w:rsidRPr="005D52FF" w14:paraId="2C7422E2" w14:textId="77777777" w:rsidTr="005D52FF">
        <w:trPr>
          <w:trHeight w:val="960"/>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08B3997C" w14:textId="77777777" w:rsidR="005D52FF" w:rsidRPr="005D52FF" w:rsidRDefault="005D52FF" w:rsidP="005D52FF">
            <w:hyperlink r:id="rId75" w:history="1">
              <w:r w:rsidRPr="005D52FF">
                <w:rPr>
                  <w:rStyle w:val="Hyperlink"/>
                  <w:color w:val="auto"/>
                </w:rPr>
                <w:t>Liquidität dritten Grades</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D13D235" w14:textId="77777777" w:rsidR="005D52FF" w:rsidRPr="005D52FF" w:rsidRDefault="005D52FF" w:rsidP="005D52FF">
            <w:r w:rsidRPr="005D52FF">
              <w:t>Verhältnis Umlaufvermögen zu kurzfristiges + mittelfristiges Fremdkapital</w:t>
            </w:r>
          </w:p>
        </w:tc>
      </w:tr>
      <w:tr w:rsidR="00316000" w:rsidRPr="005D52FF" w14:paraId="34D4746B" w14:textId="77777777" w:rsidTr="005D52FF">
        <w:trPr>
          <w:trHeight w:val="960"/>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7E6AF3AB" w14:textId="77777777" w:rsidR="005D52FF" w:rsidRPr="005D52FF" w:rsidRDefault="005D52FF" w:rsidP="005D52FF">
            <w:hyperlink r:id="rId76" w:history="1">
              <w:r w:rsidRPr="005D52FF">
                <w:rPr>
                  <w:rStyle w:val="Hyperlink"/>
                  <w:color w:val="auto"/>
                </w:rPr>
                <w:t>Nettoumlaufvermögen (Net Working Capital)</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6812D078" w14:textId="77777777" w:rsidR="005D52FF" w:rsidRPr="005D52FF" w:rsidRDefault="005D52FF" w:rsidP="005D52FF">
            <w:r w:rsidRPr="005D52FF">
              <w:t>siehe Unterseite</w:t>
            </w:r>
          </w:p>
        </w:tc>
      </w:tr>
      <w:tr w:rsidR="00316000" w:rsidRPr="005D52FF" w14:paraId="2FAD9753" w14:textId="77777777" w:rsidTr="005D52FF">
        <w:trPr>
          <w:trHeight w:val="960"/>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55830B21" w14:textId="77777777" w:rsidR="005D52FF" w:rsidRPr="005D52FF" w:rsidRDefault="005D52FF" w:rsidP="005D52FF">
            <w:hyperlink r:id="rId77" w:history="1">
              <w:proofErr w:type="spellStart"/>
              <w:r w:rsidRPr="005D52FF">
                <w:rPr>
                  <w:rStyle w:val="Hyperlink"/>
                  <w:color w:val="auto"/>
                </w:rPr>
                <w:t>Eigenkapitalquoute</w:t>
              </w:r>
              <w:proofErr w:type="spellEnd"/>
            </w:hyperlink>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F4EDE29" w14:textId="77777777" w:rsidR="005D52FF" w:rsidRPr="005D52FF" w:rsidRDefault="005D52FF" w:rsidP="005D52FF">
            <w:r w:rsidRPr="005D52FF">
              <w:t>Anteil vom Eigenkapital am Gesamtkapital</w:t>
            </w:r>
          </w:p>
        </w:tc>
      </w:tr>
      <w:tr w:rsidR="00316000" w:rsidRPr="005D52FF" w14:paraId="35DC3EFA" w14:textId="77777777" w:rsidTr="005D52FF">
        <w:trPr>
          <w:trHeight w:val="960"/>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3193091F" w14:textId="77777777" w:rsidR="005D52FF" w:rsidRPr="005D52FF" w:rsidRDefault="005D52FF" w:rsidP="005D52FF">
            <w:hyperlink r:id="rId78" w:history="1">
              <w:r w:rsidRPr="005D52FF">
                <w:rPr>
                  <w:rStyle w:val="Hyperlink"/>
                  <w:color w:val="auto"/>
                </w:rPr>
                <w:t>Fremdkapitalquote</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0D1A60D" w14:textId="77777777" w:rsidR="005D52FF" w:rsidRPr="005D52FF" w:rsidRDefault="005D52FF" w:rsidP="005D52FF">
            <w:r w:rsidRPr="005D52FF">
              <w:t>Anteil vom Fremdkapital am Gesamtkapital</w:t>
            </w:r>
          </w:p>
        </w:tc>
      </w:tr>
      <w:tr w:rsidR="00316000" w:rsidRPr="005D52FF" w14:paraId="2E10ECD9" w14:textId="77777777" w:rsidTr="005D52FF">
        <w:trPr>
          <w:trHeight w:val="960"/>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5D68D935" w14:textId="77777777" w:rsidR="005D52FF" w:rsidRPr="005D52FF" w:rsidRDefault="005D52FF" w:rsidP="005D52FF">
            <w:hyperlink r:id="rId79" w:history="1">
              <w:r w:rsidRPr="005D52FF">
                <w:rPr>
                  <w:rStyle w:val="Hyperlink"/>
                  <w:color w:val="auto"/>
                </w:rPr>
                <w:t>Kapitalaufbau (Finanzierung)</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A619EAC" w14:textId="77777777" w:rsidR="005D52FF" w:rsidRPr="005D52FF" w:rsidRDefault="005D52FF" w:rsidP="005D52FF">
            <w:r w:rsidRPr="005D52FF">
              <w:t>Verhältnis vom Eigenkapital zum Fremdkapital</w:t>
            </w:r>
          </w:p>
        </w:tc>
      </w:tr>
      <w:tr w:rsidR="00316000" w:rsidRPr="005D52FF" w14:paraId="4281AE48" w14:textId="77777777" w:rsidTr="005D52FF">
        <w:trPr>
          <w:trHeight w:val="960"/>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5A5B1BCB" w14:textId="77777777" w:rsidR="005D52FF" w:rsidRPr="005D52FF" w:rsidRDefault="005D52FF" w:rsidP="005D52FF">
            <w:hyperlink r:id="rId80" w:history="1">
              <w:r w:rsidRPr="005D52FF">
                <w:rPr>
                  <w:rStyle w:val="Hyperlink"/>
                  <w:color w:val="auto"/>
                </w:rPr>
                <w:t>Verschuldungsgrad</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4462837" w14:textId="77777777" w:rsidR="005D52FF" w:rsidRPr="005D52FF" w:rsidRDefault="005D52FF" w:rsidP="005D52FF">
            <w:r w:rsidRPr="005D52FF">
              <w:t>Verhältnis Fremdkapital zu Eigenkapital</w:t>
            </w:r>
          </w:p>
        </w:tc>
      </w:tr>
      <w:tr w:rsidR="00316000" w:rsidRPr="005D52FF" w14:paraId="762FE1D5" w14:textId="77777777" w:rsidTr="005D52FF">
        <w:trPr>
          <w:trHeight w:val="960"/>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0407D401" w14:textId="77777777" w:rsidR="005D52FF" w:rsidRPr="005D52FF" w:rsidRDefault="005D52FF" w:rsidP="005D52FF">
            <w:hyperlink r:id="rId81" w:history="1">
              <w:r w:rsidRPr="005D52FF">
                <w:rPr>
                  <w:rStyle w:val="Hyperlink"/>
                  <w:color w:val="auto"/>
                </w:rPr>
                <w:t>Deckungsgrad I</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B5CE7A8" w14:textId="77777777" w:rsidR="005D52FF" w:rsidRPr="005D52FF" w:rsidRDefault="005D52FF" w:rsidP="005D52FF">
            <w:r w:rsidRPr="005D52FF">
              <w:t>Wie viel Prozent vom AV werden durch das Eigenkapital gedeckt?</w:t>
            </w:r>
          </w:p>
        </w:tc>
      </w:tr>
      <w:tr w:rsidR="00316000" w:rsidRPr="005D52FF" w14:paraId="27152191" w14:textId="77777777" w:rsidTr="005D52FF">
        <w:trPr>
          <w:trHeight w:val="960"/>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25F7A55C" w14:textId="77777777" w:rsidR="005D52FF" w:rsidRPr="005D52FF" w:rsidRDefault="005D52FF" w:rsidP="005D52FF">
            <w:hyperlink r:id="rId82" w:history="1">
              <w:r w:rsidRPr="005D52FF">
                <w:rPr>
                  <w:rStyle w:val="Hyperlink"/>
                  <w:color w:val="auto"/>
                </w:rPr>
                <w:t>Deckungsgrad 2</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288F935D" w14:textId="77777777" w:rsidR="005D52FF" w:rsidRPr="005D52FF" w:rsidRDefault="005D52FF" w:rsidP="005D52FF">
            <w:r w:rsidRPr="005D52FF">
              <w:t xml:space="preserve">Wie viel Prozent vom AV </w:t>
            </w:r>
            <w:proofErr w:type="spellStart"/>
            <w:r w:rsidRPr="005D52FF">
              <w:t>weden</w:t>
            </w:r>
            <w:proofErr w:type="spellEnd"/>
            <w:r w:rsidRPr="005D52FF">
              <w:t xml:space="preserve"> langfristig finanziert?</w:t>
            </w:r>
          </w:p>
        </w:tc>
      </w:tr>
      <w:tr w:rsidR="00316000" w:rsidRPr="005D52FF" w14:paraId="248935F9" w14:textId="77777777" w:rsidTr="005D52FF">
        <w:trPr>
          <w:trHeight w:val="960"/>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70B575CA" w14:textId="77777777" w:rsidR="005D52FF" w:rsidRPr="005D52FF" w:rsidRDefault="005D52FF" w:rsidP="005D52FF">
            <w:hyperlink r:id="rId83" w:history="1">
              <w:r w:rsidRPr="005D52FF">
                <w:rPr>
                  <w:rStyle w:val="Hyperlink"/>
                  <w:color w:val="auto"/>
                </w:rPr>
                <w:t>Eigenkapitalrendite</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7C74B679" w14:textId="77777777" w:rsidR="005D52FF" w:rsidRPr="005D52FF" w:rsidRDefault="005D52FF" w:rsidP="005D52FF">
            <w:r w:rsidRPr="005D52FF">
              <w:t>Verzinsung vom Eigenkapital</w:t>
            </w:r>
          </w:p>
        </w:tc>
      </w:tr>
      <w:tr w:rsidR="00316000" w:rsidRPr="005D52FF" w14:paraId="428252B7" w14:textId="77777777" w:rsidTr="005D52FF">
        <w:trPr>
          <w:trHeight w:val="960"/>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3EE8483B" w14:textId="77777777" w:rsidR="005D52FF" w:rsidRPr="005D52FF" w:rsidRDefault="005D52FF" w:rsidP="005D52FF">
            <w:hyperlink r:id="rId84" w:history="1">
              <w:r w:rsidRPr="005D52FF">
                <w:rPr>
                  <w:rStyle w:val="Hyperlink"/>
                  <w:color w:val="auto"/>
                </w:rPr>
                <w:t>Gesamtkapitalrendite</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027D0CE" w14:textId="77777777" w:rsidR="005D52FF" w:rsidRPr="005D52FF" w:rsidRDefault="005D52FF" w:rsidP="005D52FF">
            <w:r w:rsidRPr="005D52FF">
              <w:t>Rendite vom eingesetzten Eigenkapital + Fremdkapital</w:t>
            </w:r>
          </w:p>
        </w:tc>
      </w:tr>
      <w:tr w:rsidR="00316000" w:rsidRPr="005D52FF" w14:paraId="164F340B" w14:textId="77777777" w:rsidTr="005D52FF">
        <w:trPr>
          <w:trHeight w:val="960"/>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1CAC1544" w14:textId="77777777" w:rsidR="005D52FF" w:rsidRPr="005D52FF" w:rsidRDefault="005D52FF" w:rsidP="005D52FF">
            <w:hyperlink r:id="rId85" w:history="1">
              <w:r w:rsidRPr="005D52FF">
                <w:rPr>
                  <w:rStyle w:val="Hyperlink"/>
                  <w:color w:val="auto"/>
                </w:rPr>
                <w:t>Return on Investment (ROI)</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0B8A2EE" w14:textId="77777777" w:rsidR="005D52FF" w:rsidRPr="005D52FF" w:rsidRDefault="005D52FF" w:rsidP="005D52FF">
            <w:r w:rsidRPr="005D52FF">
              <w:t>Verzinsung des eingesetzten Eigenkapitals</w:t>
            </w:r>
          </w:p>
        </w:tc>
      </w:tr>
      <w:tr w:rsidR="00316000" w:rsidRPr="005D52FF" w14:paraId="58BC88D1" w14:textId="77777777" w:rsidTr="005D52FF">
        <w:trPr>
          <w:trHeight w:val="960"/>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778C4A95" w14:textId="77777777" w:rsidR="005D52FF" w:rsidRPr="005D52FF" w:rsidRDefault="005D52FF" w:rsidP="005D52FF">
            <w:hyperlink r:id="rId86" w:history="1">
              <w:r w:rsidRPr="005D52FF">
                <w:rPr>
                  <w:rStyle w:val="Hyperlink"/>
                  <w:color w:val="auto"/>
                </w:rPr>
                <w:t>Umsatzrentabilität</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C1625FF" w14:textId="77777777" w:rsidR="005D52FF" w:rsidRPr="005D52FF" w:rsidRDefault="005D52FF" w:rsidP="005D52FF">
            <w:r w:rsidRPr="005D52FF">
              <w:t>Gewinn pro Euro Umsatz</w:t>
            </w:r>
          </w:p>
        </w:tc>
      </w:tr>
      <w:tr w:rsidR="00316000" w:rsidRPr="005D52FF" w14:paraId="09C7C6DC" w14:textId="77777777" w:rsidTr="005D52FF">
        <w:trPr>
          <w:trHeight w:val="960"/>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53D9AA51" w14:textId="77777777" w:rsidR="005D52FF" w:rsidRPr="005D52FF" w:rsidRDefault="005D52FF" w:rsidP="005D52FF">
            <w:hyperlink r:id="rId87" w:history="1">
              <w:r w:rsidRPr="005D52FF">
                <w:rPr>
                  <w:rStyle w:val="Hyperlink"/>
                  <w:color w:val="auto"/>
                </w:rPr>
                <w:t>Wirtschaftlichkeit</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067D0F2" w14:textId="77777777" w:rsidR="005D52FF" w:rsidRPr="005D52FF" w:rsidRDefault="005D52FF" w:rsidP="005D52FF">
            <w:r w:rsidRPr="005D52FF">
              <w:t>Verhältnis von Leistung zu Kosten</w:t>
            </w:r>
          </w:p>
        </w:tc>
      </w:tr>
    </w:tbl>
    <w:p w14:paraId="50248B76" w14:textId="77777777" w:rsidR="005D52FF" w:rsidRPr="005D52FF" w:rsidRDefault="005D52FF" w:rsidP="005D52FF">
      <w:pPr>
        <w:rPr>
          <w:vanish/>
        </w:rPr>
      </w:pPr>
    </w:p>
    <w:tbl>
      <w:tblPr>
        <w:tblW w:w="5000" w:type="pct"/>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3405"/>
        <w:gridCol w:w="5651"/>
      </w:tblGrid>
      <w:tr w:rsidR="00316000" w:rsidRPr="005D52FF" w14:paraId="505BA4E1" w14:textId="77777777" w:rsidTr="005D52FF">
        <w:trPr>
          <w:trHeight w:val="960"/>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250707C8" w14:textId="77777777" w:rsidR="005D52FF" w:rsidRPr="005D52FF" w:rsidRDefault="005D52FF" w:rsidP="005D52FF">
            <w:hyperlink r:id="rId88" w:history="1">
              <w:r w:rsidRPr="005D52FF">
                <w:rPr>
                  <w:rStyle w:val="Hyperlink"/>
                  <w:color w:val="auto"/>
                </w:rPr>
                <w:t>Umschlagshäufigkeit des Eigenkapitals</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19C25C4D" w14:textId="77777777" w:rsidR="005D52FF" w:rsidRPr="005D52FF" w:rsidRDefault="005D52FF" w:rsidP="005D52FF">
            <w:r w:rsidRPr="005D52FF">
              <w:t>siehe Unterseite</w:t>
            </w:r>
          </w:p>
        </w:tc>
      </w:tr>
      <w:tr w:rsidR="00316000" w:rsidRPr="005D52FF" w14:paraId="48F3467A" w14:textId="77777777" w:rsidTr="005D52FF">
        <w:trPr>
          <w:trHeight w:val="960"/>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66D11A56" w14:textId="77777777" w:rsidR="005D52FF" w:rsidRPr="005D52FF" w:rsidRDefault="005D52FF" w:rsidP="005D52FF">
            <w:hyperlink r:id="rId89" w:history="1">
              <w:r w:rsidRPr="005D52FF">
                <w:rPr>
                  <w:rStyle w:val="Hyperlink"/>
                  <w:color w:val="auto"/>
                </w:rPr>
                <w:t>Umschlagshäufigkeit der Forderungen</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7EEC43D5" w14:textId="77777777" w:rsidR="005D52FF" w:rsidRPr="005D52FF" w:rsidRDefault="005D52FF" w:rsidP="005D52FF">
            <w:r w:rsidRPr="005D52FF">
              <w:t>siehe Unterseite</w:t>
            </w:r>
          </w:p>
        </w:tc>
      </w:tr>
      <w:tr w:rsidR="00316000" w:rsidRPr="005D52FF" w14:paraId="4587A4F2" w14:textId="77777777" w:rsidTr="005D52FF">
        <w:trPr>
          <w:trHeight w:val="960"/>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37E39927" w14:textId="77777777" w:rsidR="005D52FF" w:rsidRPr="005D52FF" w:rsidRDefault="005D52FF" w:rsidP="005D52FF">
            <w:hyperlink r:id="rId90" w:history="1">
              <w:r w:rsidRPr="005D52FF">
                <w:rPr>
                  <w:rStyle w:val="Hyperlink"/>
                  <w:color w:val="auto"/>
                </w:rPr>
                <w:t>Umschlagshäufigkeit des Gesamtkapitals</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3177370C" w14:textId="77777777" w:rsidR="005D52FF" w:rsidRPr="005D52FF" w:rsidRDefault="005D52FF" w:rsidP="005D52FF">
            <w:r w:rsidRPr="005D52FF">
              <w:t>siehe Unterseite</w:t>
            </w:r>
          </w:p>
        </w:tc>
      </w:tr>
      <w:tr w:rsidR="00316000" w:rsidRPr="005D52FF" w14:paraId="0DB3E3D0" w14:textId="77777777" w:rsidTr="005D52FF">
        <w:trPr>
          <w:trHeight w:val="960"/>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7FCFACBB" w14:textId="77777777" w:rsidR="005D52FF" w:rsidRPr="005D52FF" w:rsidRDefault="005D52FF" w:rsidP="005D52FF">
            <w:hyperlink r:id="rId91" w:history="1">
              <w:r w:rsidRPr="005D52FF">
                <w:rPr>
                  <w:rStyle w:val="Hyperlink"/>
                  <w:color w:val="auto"/>
                </w:rPr>
                <w:t>Cash Flow</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D227373" w14:textId="77777777" w:rsidR="005D52FF" w:rsidRPr="005D52FF" w:rsidRDefault="005D52FF" w:rsidP="005D52FF">
            <w:r w:rsidRPr="005D52FF">
              <w:t>Cash Flow = Finanzmittelüberschuss eines Geschäftsjahres</w:t>
            </w:r>
          </w:p>
        </w:tc>
      </w:tr>
      <w:tr w:rsidR="00316000" w:rsidRPr="005D52FF" w14:paraId="19E40E28" w14:textId="77777777" w:rsidTr="005D52FF">
        <w:trPr>
          <w:trHeight w:val="960"/>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49375EA8" w14:textId="77777777" w:rsidR="005D52FF" w:rsidRPr="005D52FF" w:rsidRDefault="005D52FF" w:rsidP="005D52FF">
            <w:hyperlink r:id="rId92" w:history="1">
              <w:r w:rsidRPr="005D52FF">
                <w:rPr>
                  <w:rStyle w:val="Hyperlink"/>
                  <w:color w:val="auto"/>
                </w:rPr>
                <w:t>Abschreibungsquote</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6C37206E" w14:textId="77777777" w:rsidR="005D52FF" w:rsidRPr="005D52FF" w:rsidRDefault="005D52FF" w:rsidP="005D52FF">
            <w:r w:rsidRPr="005D52FF">
              <w:t>Anteil von Abschreibungen auf das Anlagevermögen</w:t>
            </w:r>
          </w:p>
        </w:tc>
      </w:tr>
      <w:tr w:rsidR="00316000" w:rsidRPr="005D52FF" w14:paraId="53820281" w14:textId="77777777" w:rsidTr="005D52FF">
        <w:trPr>
          <w:trHeight w:val="960"/>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5CFFC11D" w14:textId="77777777" w:rsidR="005D52FF" w:rsidRPr="005D52FF" w:rsidRDefault="005D52FF" w:rsidP="005D52FF">
            <w:hyperlink r:id="rId93" w:history="1">
              <w:r w:rsidRPr="005D52FF">
                <w:rPr>
                  <w:rStyle w:val="Hyperlink"/>
                  <w:color w:val="auto"/>
                </w:rPr>
                <w:t>Dynamischer Verschuldungsgrad</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5AA0524C" w14:textId="77777777" w:rsidR="005D52FF" w:rsidRPr="005D52FF" w:rsidRDefault="005D52FF" w:rsidP="005D52FF">
            <w:r w:rsidRPr="005D52FF">
              <w:t>Wie lange dauert es, bis ein Unternehmen Schulden tilgen kann?</w:t>
            </w:r>
          </w:p>
        </w:tc>
      </w:tr>
      <w:tr w:rsidR="00316000" w:rsidRPr="005D52FF" w14:paraId="3BA58B77" w14:textId="77777777" w:rsidTr="005D52FF">
        <w:trPr>
          <w:trHeight w:val="960"/>
        </w:trPr>
        <w:tc>
          <w:tcPr>
            <w:tcW w:w="0" w:type="auto"/>
            <w:tcBorders>
              <w:top w:val="single" w:sz="6" w:space="0" w:color="DDDDDD"/>
              <w:left w:val="single" w:sz="6" w:space="0" w:color="DDDDDD"/>
              <w:bottom w:val="single" w:sz="6" w:space="0" w:color="DDDDDD"/>
              <w:right w:val="single" w:sz="6" w:space="0" w:color="DDDDDD"/>
            </w:tcBorders>
            <w:shd w:val="clear" w:color="auto" w:fill="F9F9F9"/>
            <w:tcMar>
              <w:top w:w="75" w:type="dxa"/>
              <w:left w:w="75" w:type="dxa"/>
              <w:bottom w:w="75" w:type="dxa"/>
              <w:right w:w="75" w:type="dxa"/>
            </w:tcMar>
            <w:hideMark/>
          </w:tcPr>
          <w:p w14:paraId="3DA6E0FC" w14:textId="77777777" w:rsidR="005D52FF" w:rsidRPr="005D52FF" w:rsidRDefault="005D52FF" w:rsidP="005D52FF">
            <w:hyperlink r:id="rId94" w:history="1">
              <w:proofErr w:type="spellStart"/>
              <w:r w:rsidRPr="005D52FF">
                <w:rPr>
                  <w:rStyle w:val="Hyperlink"/>
                  <w:color w:val="auto"/>
                </w:rPr>
                <w:t>Leverage</w:t>
              </w:r>
              <w:proofErr w:type="spellEnd"/>
              <w:r w:rsidRPr="005D52FF">
                <w:rPr>
                  <w:rStyle w:val="Hyperlink"/>
                  <w:color w:val="auto"/>
                </w:rPr>
                <w:t xml:space="preserve"> Effekt</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20" w:type="dxa"/>
              <w:left w:w="120" w:type="dxa"/>
              <w:bottom w:w="120" w:type="dxa"/>
              <w:right w:w="120" w:type="dxa"/>
            </w:tcMar>
            <w:hideMark/>
          </w:tcPr>
          <w:p w14:paraId="46120062" w14:textId="77777777" w:rsidR="005D52FF" w:rsidRPr="005D52FF" w:rsidRDefault="005D52FF" w:rsidP="005D52FF">
            <w:r w:rsidRPr="005D52FF">
              <w:t>siehe Beschreibung</w:t>
            </w:r>
          </w:p>
        </w:tc>
      </w:tr>
      <w:tr w:rsidR="00316000" w:rsidRPr="005D52FF" w14:paraId="40F8A848" w14:textId="77777777" w:rsidTr="005D52FF">
        <w:trPr>
          <w:trHeight w:val="960"/>
        </w:trPr>
        <w:tc>
          <w:tcPr>
            <w:tcW w:w="0" w:type="auto"/>
            <w:tcBorders>
              <w:top w:val="single" w:sz="6" w:space="0" w:color="DDDDDD"/>
              <w:left w:val="single" w:sz="6" w:space="0" w:color="DDDDDD"/>
              <w:bottom w:val="single" w:sz="6" w:space="0" w:color="DDDDDD"/>
              <w:right w:val="single" w:sz="6" w:space="0" w:color="DDDDDD"/>
            </w:tcBorders>
            <w:shd w:val="clear" w:color="auto" w:fill="FFFFFF"/>
            <w:tcMar>
              <w:top w:w="75" w:type="dxa"/>
              <w:left w:w="75" w:type="dxa"/>
              <w:bottom w:w="75" w:type="dxa"/>
              <w:right w:w="75" w:type="dxa"/>
            </w:tcMar>
            <w:hideMark/>
          </w:tcPr>
          <w:p w14:paraId="58E4223B" w14:textId="77777777" w:rsidR="005D52FF" w:rsidRPr="005D52FF" w:rsidRDefault="005D52FF" w:rsidP="005D52FF">
            <w:hyperlink r:id="rId95" w:history="1">
              <w:r w:rsidRPr="005D52FF">
                <w:rPr>
                  <w:rStyle w:val="Hyperlink"/>
                  <w:color w:val="auto"/>
                </w:rPr>
                <w:t xml:space="preserve">Positiver / negativer </w:t>
              </w:r>
              <w:proofErr w:type="spellStart"/>
              <w:r w:rsidRPr="005D52FF">
                <w:rPr>
                  <w:rStyle w:val="Hyperlink"/>
                  <w:color w:val="auto"/>
                </w:rPr>
                <w:t>Leverage</w:t>
              </w:r>
              <w:proofErr w:type="spellEnd"/>
              <w:r w:rsidRPr="005D52FF">
                <w:rPr>
                  <w:rStyle w:val="Hyperlink"/>
                  <w:color w:val="auto"/>
                </w:rPr>
                <w:t xml:space="preserve"> Effekt</w:t>
              </w:r>
            </w:hyperlink>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20" w:type="dxa"/>
              <w:left w:w="120" w:type="dxa"/>
              <w:bottom w:w="120" w:type="dxa"/>
              <w:right w:w="120" w:type="dxa"/>
            </w:tcMar>
            <w:hideMark/>
          </w:tcPr>
          <w:p w14:paraId="43020EA5" w14:textId="77777777" w:rsidR="005D52FF" w:rsidRPr="005D52FF" w:rsidRDefault="005D52FF" w:rsidP="005D52FF">
            <w:proofErr w:type="spellStart"/>
            <w:r w:rsidRPr="005D52FF">
              <w:t>umangreiche</w:t>
            </w:r>
            <w:proofErr w:type="spellEnd"/>
            <w:r w:rsidRPr="005D52FF">
              <w:t xml:space="preserve"> Erklärung mit Beispielen vom positiven / negativen </w:t>
            </w:r>
            <w:proofErr w:type="spellStart"/>
            <w:r w:rsidRPr="005D52FF">
              <w:t>Leverage</w:t>
            </w:r>
            <w:proofErr w:type="spellEnd"/>
            <w:r w:rsidRPr="005D52FF">
              <w:t xml:space="preserve"> Effekt</w:t>
            </w:r>
          </w:p>
        </w:tc>
      </w:tr>
    </w:tbl>
    <w:p w14:paraId="154EE6EF" w14:textId="77777777" w:rsidR="005D52FF" w:rsidRPr="00316000" w:rsidRDefault="005D52FF" w:rsidP="005D52FF"/>
    <w:p w14:paraId="12BEDA6A" w14:textId="77777777" w:rsidR="005D52FF" w:rsidRPr="00316000" w:rsidRDefault="005D52FF" w:rsidP="005D52FF"/>
    <w:p w14:paraId="7B6ED2D2" w14:textId="77777777" w:rsidR="005D52FF" w:rsidRPr="00316000" w:rsidRDefault="005D52FF" w:rsidP="005D52FF"/>
    <w:p w14:paraId="7EC4FAB1" w14:textId="77777777" w:rsidR="005D52FF" w:rsidRPr="00316000" w:rsidRDefault="005D52FF" w:rsidP="005D52FF"/>
    <w:p w14:paraId="4E38E59D" w14:textId="77777777" w:rsidR="005D52FF" w:rsidRPr="00316000" w:rsidRDefault="005D52FF" w:rsidP="005D52FF"/>
    <w:p w14:paraId="229344DF" w14:textId="77777777" w:rsidR="005D52FF" w:rsidRPr="00316000" w:rsidRDefault="005D52FF" w:rsidP="005D52FF"/>
    <w:p w14:paraId="6FCC8433" w14:textId="77777777" w:rsidR="005D52FF" w:rsidRPr="00316000" w:rsidRDefault="005D52FF" w:rsidP="005D52FF"/>
    <w:p w14:paraId="3F08BDB9" w14:textId="77777777" w:rsidR="005D52FF" w:rsidRPr="00316000" w:rsidRDefault="005D52FF" w:rsidP="005D52FF"/>
    <w:p w14:paraId="6FA230F5" w14:textId="77777777" w:rsidR="005D52FF" w:rsidRPr="00316000" w:rsidRDefault="005D52FF" w:rsidP="005D52FF"/>
    <w:p w14:paraId="0D307ACE" w14:textId="77777777" w:rsidR="005D52FF" w:rsidRPr="00316000" w:rsidRDefault="005D52FF" w:rsidP="005D52FF"/>
    <w:p w14:paraId="1E3EB147" w14:textId="77777777" w:rsidR="005D52FF" w:rsidRPr="00316000" w:rsidRDefault="005D52FF" w:rsidP="005D52FF"/>
    <w:p w14:paraId="032D7C8A" w14:textId="77777777" w:rsidR="005D52FF" w:rsidRPr="00316000" w:rsidRDefault="005D52FF" w:rsidP="005D52FF"/>
    <w:p w14:paraId="034E5B71" w14:textId="77777777" w:rsidR="005D52FF" w:rsidRPr="00316000" w:rsidRDefault="005D52FF" w:rsidP="005D52FF"/>
    <w:p w14:paraId="33CD12E5" w14:textId="77777777" w:rsidR="005D52FF" w:rsidRPr="00316000" w:rsidRDefault="005D52FF" w:rsidP="005D52FF"/>
    <w:p w14:paraId="7C13833F" w14:textId="77777777" w:rsidR="005D52FF" w:rsidRPr="00316000" w:rsidRDefault="005D52FF" w:rsidP="005D52FF"/>
    <w:p w14:paraId="5756A87B" w14:textId="77777777" w:rsidR="005D52FF" w:rsidRPr="00316000" w:rsidRDefault="005D52FF" w:rsidP="005D52FF"/>
    <w:p w14:paraId="002E8B9F" w14:textId="77777777" w:rsidR="005D52FF" w:rsidRPr="00316000" w:rsidRDefault="005D52FF" w:rsidP="005D52FF"/>
    <w:p w14:paraId="19F97F0D" w14:textId="77777777" w:rsidR="005D52FF" w:rsidRPr="00316000" w:rsidRDefault="005D52FF" w:rsidP="005D52FF"/>
    <w:p w14:paraId="76EDC97E" w14:textId="77777777" w:rsidR="005D52FF" w:rsidRPr="00316000" w:rsidRDefault="005D52FF" w:rsidP="005D52FF"/>
    <w:p w14:paraId="15A045FE" w14:textId="77777777" w:rsidR="005D52FF" w:rsidRPr="00316000" w:rsidRDefault="005D52FF" w:rsidP="005D52FF"/>
    <w:p w14:paraId="506D233D" w14:textId="77777777" w:rsidR="005D52FF" w:rsidRPr="00316000" w:rsidRDefault="005D52FF" w:rsidP="005D52FF"/>
    <w:p w14:paraId="0AB2F945" w14:textId="77777777" w:rsidR="005D52FF" w:rsidRPr="00316000" w:rsidRDefault="005D52FF" w:rsidP="005D52FF"/>
    <w:p w14:paraId="3005CA43" w14:textId="77777777" w:rsidR="005D52FF" w:rsidRPr="00316000" w:rsidRDefault="005D52FF" w:rsidP="005D52FF"/>
    <w:p w14:paraId="521ABC57" w14:textId="77777777" w:rsidR="005D52FF" w:rsidRPr="005D52FF" w:rsidRDefault="005D52FF" w:rsidP="005D52FF">
      <w:pPr>
        <w:rPr>
          <w:b/>
          <w:bCs/>
        </w:rPr>
      </w:pPr>
      <w:r w:rsidRPr="005D52FF">
        <w:rPr>
          <w:b/>
          <w:bCs/>
        </w:rPr>
        <w:lastRenderedPageBreak/>
        <w:t>Bilanzanalyse: Einfache Erklärung und praktische Anleitung für Unternehmen</w:t>
      </w:r>
    </w:p>
    <w:p w14:paraId="24F23A87" w14:textId="5DE88D74" w:rsidR="005D52FF" w:rsidRPr="005D52FF" w:rsidRDefault="005D52FF" w:rsidP="005D52FF"/>
    <w:p w14:paraId="7BBC0D67" w14:textId="77777777" w:rsidR="005D52FF" w:rsidRPr="005D52FF" w:rsidRDefault="005D52FF" w:rsidP="005D52FF">
      <w:r w:rsidRPr="005D52FF">
        <w:t>Erfahren Sie, wie Sie eine Bilanzanalyse durchführen, die finanzielle Stärke eines Unternehmens entschlüsseln und strategische Entscheidungen treffen können. Unser Leitfaden führt Sie durch die notwendigen Schritte und erklärt, wie Sie die umfangreichen Daten aus dem Jahresabschluss effektiv nutzen.</w:t>
      </w:r>
    </w:p>
    <w:p w14:paraId="785B29BE" w14:textId="77777777" w:rsidR="005D52FF" w:rsidRPr="005D52FF" w:rsidRDefault="005D52FF" w:rsidP="005D52FF">
      <w:pPr>
        <w:rPr>
          <w:b/>
          <w:bCs/>
        </w:rPr>
      </w:pPr>
      <w:r w:rsidRPr="005D52FF">
        <w:rPr>
          <w:b/>
          <w:bCs/>
        </w:rPr>
        <w:t>Das Wichtigste auf einen Blick</w:t>
      </w:r>
    </w:p>
    <w:p w14:paraId="5C5D4BA4" w14:textId="77777777" w:rsidR="005D52FF" w:rsidRPr="005D52FF" w:rsidRDefault="005D52FF" w:rsidP="005D52FF">
      <w:pPr>
        <w:numPr>
          <w:ilvl w:val="0"/>
          <w:numId w:val="24"/>
        </w:numPr>
      </w:pPr>
      <w:r w:rsidRPr="005D52FF">
        <w:t>Die Bilanzanalyse ist ein kritisches Werkzeug zur Bewertung der finanziellen Lage eines Unternehmens, das interne und externe Stakeholder bei der Entscheidungsfindung unterstützt.</w:t>
      </w:r>
    </w:p>
    <w:p w14:paraId="022BC8E5" w14:textId="77777777" w:rsidR="005D52FF" w:rsidRPr="005D52FF" w:rsidRDefault="005D52FF" w:rsidP="005D52FF">
      <w:pPr>
        <w:numPr>
          <w:ilvl w:val="0"/>
          <w:numId w:val="24"/>
        </w:numPr>
      </w:pPr>
      <w:r w:rsidRPr="005D52FF">
        <w:t>Bilanzanalysen beinhalten das Sammeln von Daten, Berechnen und Interpretieren von Kennzahlen, um ein umfassendes Verständnis der unternehmerischen Vermögens-, Finanz- und Ertragslage zu erlangen.</w:t>
      </w:r>
    </w:p>
    <w:p w14:paraId="64C6A566" w14:textId="77777777" w:rsidR="005D52FF" w:rsidRPr="005D52FF" w:rsidRDefault="005D52FF" w:rsidP="005D52FF">
      <w:pPr>
        <w:numPr>
          <w:ilvl w:val="0"/>
          <w:numId w:val="24"/>
        </w:numPr>
      </w:pPr>
      <w:r w:rsidRPr="005D52FF">
        <w:t>Verschiedene Arten der Bilanzanalyse (horizontal, vertikal, intern, extern) liefern jeweils unterschiedliche Einblicke, können aber durch subjektive Bewertungen und unterschiedliche Rechnungslegungsstandards in ihrer Aussagekraft begrenzt sein.</w:t>
      </w:r>
    </w:p>
    <w:p w14:paraId="053355C0" w14:textId="04F931C8" w:rsidR="005D52FF" w:rsidRPr="005D52FF" w:rsidRDefault="005D52FF" w:rsidP="005D52FF">
      <w:pPr>
        <w:rPr>
          <w:b/>
          <w:bCs/>
        </w:rPr>
      </w:pPr>
      <w:r w:rsidRPr="005D52FF">
        <w:rPr>
          <w:b/>
          <w:bCs/>
        </w:rPr>
        <w:t>Definition und Bedeutung der Bilanzanalyse</w:t>
      </w:r>
    </w:p>
    <w:p w14:paraId="1D6D4792" w14:textId="77777777" w:rsidR="005D52FF" w:rsidRPr="005D52FF" w:rsidRDefault="005D52FF" w:rsidP="005D52FF">
      <w:r w:rsidRPr="005D52FF">
        <w:t>Die Bilanzanalyse ist eine Methode, die verwendet wird, um die finanzielle Situation eines Unternehmens zu untersuchen. Dabei werden die verschiedenen Positionen der Bilanz in Beziehung zueinander gesetzt. Sie umfasst die Auswertung und Relationierung verschiedener Daten aus dem Jahresabschluss, einschließlich der Jahresabschlussanalyse, die sich auf:</w:t>
      </w:r>
    </w:p>
    <w:p w14:paraId="045F74F3" w14:textId="77777777" w:rsidR="005D52FF" w:rsidRPr="005D52FF" w:rsidRDefault="005D52FF" w:rsidP="005D52FF">
      <w:pPr>
        <w:numPr>
          <w:ilvl w:val="0"/>
          <w:numId w:val="25"/>
        </w:numPr>
      </w:pPr>
      <w:r w:rsidRPr="005D52FF">
        <w:t>der Bilanz</w:t>
      </w:r>
    </w:p>
    <w:p w14:paraId="5D1637A3" w14:textId="77777777" w:rsidR="005D52FF" w:rsidRPr="005D52FF" w:rsidRDefault="005D52FF" w:rsidP="005D52FF">
      <w:pPr>
        <w:numPr>
          <w:ilvl w:val="0"/>
          <w:numId w:val="25"/>
        </w:numPr>
      </w:pPr>
      <w:r w:rsidRPr="005D52FF">
        <w:t>der Gewinn- und Verlustrechnung</w:t>
      </w:r>
    </w:p>
    <w:p w14:paraId="38614C3F" w14:textId="77777777" w:rsidR="005D52FF" w:rsidRPr="005D52FF" w:rsidRDefault="005D52FF" w:rsidP="005D52FF">
      <w:pPr>
        <w:numPr>
          <w:ilvl w:val="0"/>
          <w:numId w:val="25"/>
        </w:numPr>
      </w:pPr>
      <w:r w:rsidRPr="005D52FF">
        <w:t>des Anhangs</w:t>
      </w:r>
    </w:p>
    <w:p w14:paraId="07B6D32C" w14:textId="77777777" w:rsidR="005D52FF" w:rsidRPr="005D52FF" w:rsidRDefault="005D52FF" w:rsidP="005D52FF">
      <w:pPr>
        <w:numPr>
          <w:ilvl w:val="0"/>
          <w:numId w:val="25"/>
        </w:numPr>
      </w:pPr>
      <w:r w:rsidRPr="005D52FF">
        <w:t>des Lageberichts bezieht.</w:t>
      </w:r>
    </w:p>
    <w:p w14:paraId="0BD00100" w14:textId="77777777" w:rsidR="005D52FF" w:rsidRPr="005D52FF" w:rsidRDefault="005D52FF" w:rsidP="005D52FF">
      <w:r w:rsidRPr="005D52FF">
        <w:t xml:space="preserve">Die Bilanzanalyse hilft, die wirtschaftliche Lage eines Unternehmens zu bewerten und gibt Auskunft über die Vermögens- und Ertragssituation. Sie ermöglicht das Aufdecken </w:t>
      </w:r>
      <w:r w:rsidRPr="005D52FF">
        <w:lastRenderedPageBreak/>
        <w:t>von Potenzialen und Risiken und dient als Entscheidungsgrundlage für Management, Investoren und Gläubiger. Durch einen Betriebsvergleich kann die Position des Unternehmens im Branchenkontext besser eingeschätzt werden.</w:t>
      </w:r>
    </w:p>
    <w:p w14:paraId="45C31173" w14:textId="77777777" w:rsidR="005D52FF" w:rsidRPr="005D52FF" w:rsidRDefault="005D52FF" w:rsidP="005D52FF">
      <w:r w:rsidRPr="005D52FF">
        <w:t>Daher ist die Bilanzanalyse sowohl für interne Stakeholder, wie das Management, als auch für externe Stakeholder, wie Investoren und Kreditgeber, von großer Bedeutung.</w:t>
      </w:r>
    </w:p>
    <w:p w14:paraId="6781484F" w14:textId="77777777" w:rsidR="005D52FF" w:rsidRPr="005D52FF" w:rsidRDefault="005D52FF" w:rsidP="005D52FF">
      <w:pPr>
        <w:rPr>
          <w:b/>
          <w:bCs/>
        </w:rPr>
      </w:pPr>
      <w:r w:rsidRPr="005D52FF">
        <w:rPr>
          <w:b/>
          <w:bCs/>
        </w:rPr>
        <w:t>Ziele einer Bilanzanalyse</w:t>
      </w:r>
    </w:p>
    <w:p w14:paraId="65BFEF3D" w14:textId="77777777" w:rsidR="005D52FF" w:rsidRPr="005D52FF" w:rsidRDefault="005D52FF" w:rsidP="005D52FF">
      <w:r w:rsidRPr="005D52FF">
        <w:t>Die Ziele der Bilanzanalyse sind vielfältig und umfassen:</w:t>
      </w:r>
    </w:p>
    <w:p w14:paraId="0F49F09F" w14:textId="77777777" w:rsidR="005D52FF" w:rsidRPr="005D52FF" w:rsidRDefault="005D52FF" w:rsidP="005D52FF">
      <w:pPr>
        <w:numPr>
          <w:ilvl w:val="0"/>
          <w:numId w:val="26"/>
        </w:numPr>
      </w:pPr>
      <w:r w:rsidRPr="005D52FF">
        <w:t>die Beurteilung der Ertragslage</w:t>
      </w:r>
    </w:p>
    <w:p w14:paraId="22A0C819" w14:textId="77777777" w:rsidR="005D52FF" w:rsidRPr="005D52FF" w:rsidRDefault="005D52FF" w:rsidP="005D52FF">
      <w:pPr>
        <w:numPr>
          <w:ilvl w:val="0"/>
          <w:numId w:val="26"/>
        </w:numPr>
      </w:pPr>
      <w:r w:rsidRPr="005D52FF">
        <w:t>die Vermögensstruktur</w:t>
      </w:r>
    </w:p>
    <w:p w14:paraId="0D2933BD" w14:textId="77777777" w:rsidR="005D52FF" w:rsidRPr="005D52FF" w:rsidRDefault="005D52FF" w:rsidP="005D52FF">
      <w:pPr>
        <w:numPr>
          <w:ilvl w:val="0"/>
          <w:numId w:val="26"/>
        </w:numPr>
      </w:pPr>
      <w:r w:rsidRPr="005D52FF">
        <w:t>die Kapitalstruktur</w:t>
      </w:r>
    </w:p>
    <w:p w14:paraId="00B2862C" w14:textId="77777777" w:rsidR="005D52FF" w:rsidRPr="005D52FF" w:rsidRDefault="005D52FF" w:rsidP="005D52FF">
      <w:pPr>
        <w:numPr>
          <w:ilvl w:val="0"/>
          <w:numId w:val="26"/>
        </w:numPr>
      </w:pPr>
      <w:r w:rsidRPr="005D52FF">
        <w:t>die Liquiditätssituation eines Unternehmens.</w:t>
      </w:r>
    </w:p>
    <w:p w14:paraId="5BD1F56A" w14:textId="77777777" w:rsidR="005D52FF" w:rsidRPr="005D52FF" w:rsidRDefault="005D52FF" w:rsidP="005D52FF">
      <w:r w:rsidRPr="005D52FF">
        <w:t>Diese Kennzahlen ermöglichen eine fundierte Bewertung der Finanz-Gesundheit und bieten eine solide Grundlage für fundierte Geschäftsentscheidungen.</w:t>
      </w:r>
    </w:p>
    <w:p w14:paraId="20C0BC87" w14:textId="77777777" w:rsidR="005D52FF" w:rsidRPr="005D52FF" w:rsidRDefault="005D52FF" w:rsidP="005D52FF">
      <w:r w:rsidRPr="005D52FF">
        <w:t>Für interne Zwecke unterstützt die Bilanzanalyse die unternehmerische Entscheidungsfindung und strategische Planung mittels einer klaren Darstellung der Unternehmenssituation. Durch die Beurteilung von Rentabilitätskennzahlen trägt die Bilanzanalyse dazu bei, die Wirtschaftlichkeit des Unternehmens zu bewerten und Investitionsentscheidungen zu fundieren.</w:t>
      </w:r>
    </w:p>
    <w:p w14:paraId="1D0D3DE5" w14:textId="77777777" w:rsidR="005D52FF" w:rsidRPr="005D52FF" w:rsidRDefault="005D52FF" w:rsidP="005D52FF">
      <w:pPr>
        <w:rPr>
          <w:b/>
          <w:bCs/>
        </w:rPr>
      </w:pPr>
      <w:r w:rsidRPr="005D52FF">
        <w:rPr>
          <w:b/>
          <w:bCs/>
        </w:rPr>
        <w:t>Grundlegende Schritte zur Durchführung einer Bilanzanalyse</w:t>
      </w:r>
    </w:p>
    <w:p w14:paraId="200C2C2C" w14:textId="77777777" w:rsidR="005D52FF" w:rsidRPr="005D52FF" w:rsidRDefault="005D52FF" w:rsidP="005D52FF">
      <w:r w:rsidRPr="005D52FF">
        <w:t>Die Durchführung einer Bilanzanalyse kann in vier Schritten unterteilt werden: Das Sammeln von Bilanzdaten, die Berechnung von Kennzahlen, die Interpretation der Ergebnisse und die abschließende Bewertung. Jeder dieser Schritte spielt eine entscheidende Rolle im gesamten Prozess und trägt dazu bei, ein klares und ganzheitliches Bild der finanziellen Lage des Unternehmens zu vermitteln.</w:t>
      </w:r>
    </w:p>
    <w:p w14:paraId="0E074D62" w14:textId="77777777" w:rsidR="005D52FF" w:rsidRPr="005D52FF" w:rsidRDefault="005D52FF" w:rsidP="005D52FF">
      <w:r w:rsidRPr="005D52FF">
        <w:t>Zunächst ist es wichtig, relevante Bilanzdaten zu sammeln, die als Grundlage für die weitere Analyse dienen. Diese Daten stammen aus verschiedenen Quellen, darunter der Bilanz, der Gewinn- und Verlustrechnung und anderen finanziellen Berichten des Unternehmens. Anschließend werden diese Daten verwendet, um eine Vielzahl von Kennzahlen zu berechnen, die verschiedene Aspekte der finanziellen Leistung des Unternehmens aufzeigen.</w:t>
      </w:r>
    </w:p>
    <w:p w14:paraId="49306152" w14:textId="77777777" w:rsidR="005D52FF" w:rsidRPr="005D52FF" w:rsidRDefault="005D52FF" w:rsidP="005D52FF">
      <w:r w:rsidRPr="005D52FF">
        <w:lastRenderedPageBreak/>
        <w:t>Schließlich werden diese Kennzahlen interpretiert, um fundierte Einschätzungen und Prognosen über die zukünftige finanzielle Gesundheit und Rentabilität des Unternehmens zu ermöglichen.</w:t>
      </w:r>
    </w:p>
    <w:p w14:paraId="601273E2" w14:textId="77777777" w:rsidR="005D52FF" w:rsidRPr="005D52FF" w:rsidRDefault="005D52FF" w:rsidP="005D52FF">
      <w:pPr>
        <w:rPr>
          <w:b/>
          <w:bCs/>
        </w:rPr>
      </w:pPr>
      <w:r w:rsidRPr="005D52FF">
        <w:rPr>
          <w:b/>
          <w:bCs/>
        </w:rPr>
        <w:t>Bilanzdaten sammeln</w:t>
      </w:r>
    </w:p>
    <w:p w14:paraId="3EF490EC" w14:textId="77777777" w:rsidR="005D52FF" w:rsidRPr="005D52FF" w:rsidRDefault="005D52FF" w:rsidP="005D52FF">
      <w:r w:rsidRPr="005D52FF">
        <w:t>Das Sammeln von Bilanzdaten ist der erste und entscheidende Schritt in der Bilanzanalyse. Bei diesem Prozess werden relevante Daten aus dem Jahresabschluss und anderen wichtigen finanziellen Berichten des Unternehmens gesammelt. Diese Daten umfassen verschiedene Elemente, darunter:</w:t>
      </w:r>
    </w:p>
    <w:p w14:paraId="4768962F" w14:textId="77777777" w:rsidR="005D52FF" w:rsidRPr="005D52FF" w:rsidRDefault="005D52FF" w:rsidP="005D52FF">
      <w:pPr>
        <w:numPr>
          <w:ilvl w:val="0"/>
          <w:numId w:val="27"/>
        </w:numPr>
      </w:pPr>
      <w:r w:rsidRPr="005D52FF">
        <w:t>Vermögenswerte</w:t>
      </w:r>
    </w:p>
    <w:p w14:paraId="12566ADC" w14:textId="77777777" w:rsidR="005D52FF" w:rsidRPr="005D52FF" w:rsidRDefault="005D52FF" w:rsidP="005D52FF">
      <w:pPr>
        <w:numPr>
          <w:ilvl w:val="0"/>
          <w:numId w:val="27"/>
        </w:numPr>
      </w:pPr>
      <w:r w:rsidRPr="005D52FF">
        <w:t>Verbindlichkeiten</w:t>
      </w:r>
    </w:p>
    <w:p w14:paraId="184E2EF9" w14:textId="77777777" w:rsidR="005D52FF" w:rsidRPr="005D52FF" w:rsidRDefault="005D52FF" w:rsidP="005D52FF">
      <w:pPr>
        <w:numPr>
          <w:ilvl w:val="0"/>
          <w:numId w:val="27"/>
        </w:numPr>
      </w:pPr>
      <w:r w:rsidRPr="005D52FF">
        <w:t>Eigenkapital</w:t>
      </w:r>
    </w:p>
    <w:p w14:paraId="0A6CD104" w14:textId="77777777" w:rsidR="005D52FF" w:rsidRPr="005D52FF" w:rsidRDefault="005D52FF" w:rsidP="005D52FF">
      <w:pPr>
        <w:numPr>
          <w:ilvl w:val="0"/>
          <w:numId w:val="27"/>
        </w:numPr>
      </w:pPr>
      <w:r w:rsidRPr="005D52FF">
        <w:t>Umsatz</w:t>
      </w:r>
    </w:p>
    <w:p w14:paraId="0B9B2FAB" w14:textId="77777777" w:rsidR="005D52FF" w:rsidRPr="005D52FF" w:rsidRDefault="005D52FF" w:rsidP="005D52FF">
      <w:pPr>
        <w:numPr>
          <w:ilvl w:val="0"/>
          <w:numId w:val="27"/>
        </w:numPr>
      </w:pPr>
      <w:r w:rsidRPr="005D52FF">
        <w:t xml:space="preserve">Gewinn des </w:t>
      </w:r>
      <w:proofErr w:type="spellStart"/>
      <w:r w:rsidRPr="005D52FF">
        <w:t>jahresabschlusses</w:t>
      </w:r>
      <w:proofErr w:type="spellEnd"/>
    </w:p>
    <w:p w14:paraId="5B8062D9" w14:textId="77777777" w:rsidR="005D52FF" w:rsidRPr="005D52FF" w:rsidRDefault="005D52FF" w:rsidP="005D52FF">
      <w:r w:rsidRPr="005D52FF">
        <w:t>Die Vorbereitung der Daten für die Bilanzanalyse kann die Saldierung oder Zusammenfassung von Posten beinhalten, um eine bessere Übersichtlichkeit und eine leichtere Berechnung von Kennzahlen wie dem Eigenkapital zu gewährleisten. Im Rahmen der Buchführung ist es wichtig, alle relevanten Daten gründlich zu sammeln und zu ordnen, um eine genaue und effektive Analyse zu gewährleisten.</w:t>
      </w:r>
    </w:p>
    <w:p w14:paraId="675D13B8" w14:textId="77777777" w:rsidR="005D52FF" w:rsidRPr="005D52FF" w:rsidRDefault="005D52FF" w:rsidP="005D52FF">
      <w:pPr>
        <w:rPr>
          <w:b/>
          <w:bCs/>
        </w:rPr>
      </w:pPr>
      <w:r w:rsidRPr="005D52FF">
        <w:rPr>
          <w:b/>
          <w:bCs/>
        </w:rPr>
        <w:t>Kennzahlen berechnen</w:t>
      </w:r>
    </w:p>
    <w:p w14:paraId="78CA6177" w14:textId="77777777" w:rsidR="005D52FF" w:rsidRPr="005D52FF" w:rsidRDefault="005D52FF" w:rsidP="005D52FF">
      <w:r w:rsidRPr="005D52FF">
        <w:t>Nachdem die relevanten Daten gesammelt wurden, ist der nächste Schritt in der Bilanzanalyse die Berechnung von Kennzahlen. Kennzahlen sind statistische Maße, die verwendet werden, um bestimmte Aspekte der finanziellen Leistung eines Unternehmens zu quantifizieren und zu evaluieren.</w:t>
      </w:r>
    </w:p>
    <w:p w14:paraId="070A1A74" w14:textId="77777777" w:rsidR="005D52FF" w:rsidRPr="005D52FF" w:rsidRDefault="005D52FF" w:rsidP="005D52FF">
      <w:r w:rsidRPr="005D52FF">
        <w:t>Es gibt eine Vielzahl von Kennzahlen, die in der Bilanzanalyse verwendet werden können, einschließlich der Eigenkapitalquote, der Liquidität und der Rentabilität. Jede dieser Kennzahlen liefert wertvolle Einblicke in verschiedene Aspekte der finanziellen Gesundheit und Leistungsfähigkeit des Unternehmens.</w:t>
      </w:r>
    </w:p>
    <w:p w14:paraId="29A5904F" w14:textId="77777777" w:rsidR="005D52FF" w:rsidRPr="005D52FF" w:rsidRDefault="005D52FF" w:rsidP="005D52FF">
      <w:pPr>
        <w:rPr>
          <w:b/>
          <w:bCs/>
        </w:rPr>
      </w:pPr>
      <w:r w:rsidRPr="005D52FF">
        <w:rPr>
          <w:b/>
          <w:bCs/>
        </w:rPr>
        <w:t>Ergebnisse interpretieren</w:t>
      </w:r>
    </w:p>
    <w:p w14:paraId="4F9DFB11" w14:textId="77777777" w:rsidR="005D52FF" w:rsidRPr="005D52FF" w:rsidRDefault="005D52FF" w:rsidP="005D52FF">
      <w:r w:rsidRPr="005D52FF">
        <w:lastRenderedPageBreak/>
        <w:t>Nachdem die Kennzahlen berechnet wurden, folgt der letzte und vielleicht wichtigste Schritt in der Bilanzanalyse: die Interpretation der Ergebnisse. Dieser Schritt beinhaltet das Verständnis und die Beurteilung der Bedeutung der berechneten Kennzahlen und deren Auswirkungen auf die finanzielle Lage des Unternehmens.</w:t>
      </w:r>
    </w:p>
    <w:p w14:paraId="7AB5A93E" w14:textId="77777777" w:rsidR="005D52FF" w:rsidRPr="005D52FF" w:rsidRDefault="005D52FF" w:rsidP="005D52FF">
      <w:r w:rsidRPr="005D52FF">
        <w:t>Die Interpretation der Bilanzkennzahlen ermöglicht eine fundierte Beurteilung der finanziellen Lage des Unternehmens und dient als Grundlage für Entscheidungen. Bei der Interpretation der Kennzahlen aus der Bilanzanalyse sollten auch der Vergleich mit Branchenkennzahlen umfassen, um die Position des Unternehmens im Wettbewerbsumfeld zu beurteilen.</w:t>
      </w:r>
    </w:p>
    <w:p w14:paraId="262AA935" w14:textId="77777777" w:rsidR="005D52FF" w:rsidRPr="005D52FF" w:rsidRDefault="005D52FF" w:rsidP="005D52FF">
      <w:pPr>
        <w:rPr>
          <w:b/>
          <w:bCs/>
        </w:rPr>
      </w:pPr>
      <w:r w:rsidRPr="005D52FF">
        <w:rPr>
          <w:b/>
          <w:bCs/>
        </w:rPr>
        <w:t>Arten der Bilanzanalyse</w:t>
      </w:r>
    </w:p>
    <w:p w14:paraId="4DAA2F7E" w14:textId="77777777" w:rsidR="005D52FF" w:rsidRPr="005D52FF" w:rsidRDefault="005D52FF" w:rsidP="005D52FF">
      <w:r w:rsidRPr="005D52FF">
        <w:t>Es gibt verschiedene Arten der Bilanzanalyse, die unterschiedliche Aspekte der finanziellen Situation eines Unternehmens beleuchten. Dazu gehören:</w:t>
      </w:r>
    </w:p>
    <w:p w14:paraId="14ECDB6E" w14:textId="77777777" w:rsidR="005D52FF" w:rsidRPr="005D52FF" w:rsidRDefault="005D52FF" w:rsidP="005D52FF">
      <w:pPr>
        <w:numPr>
          <w:ilvl w:val="0"/>
          <w:numId w:val="28"/>
        </w:numPr>
      </w:pPr>
      <w:r w:rsidRPr="005D52FF">
        <w:t>Die horizontale Bilanzanalyse</w:t>
      </w:r>
    </w:p>
    <w:p w14:paraId="5DAAB897" w14:textId="77777777" w:rsidR="005D52FF" w:rsidRPr="005D52FF" w:rsidRDefault="005D52FF" w:rsidP="005D52FF">
      <w:pPr>
        <w:numPr>
          <w:ilvl w:val="0"/>
          <w:numId w:val="28"/>
        </w:numPr>
      </w:pPr>
      <w:r w:rsidRPr="005D52FF">
        <w:t>Die vertikale Bilanzanalyse</w:t>
      </w:r>
    </w:p>
    <w:p w14:paraId="79786A72" w14:textId="77777777" w:rsidR="005D52FF" w:rsidRPr="005D52FF" w:rsidRDefault="005D52FF" w:rsidP="005D52FF">
      <w:pPr>
        <w:numPr>
          <w:ilvl w:val="0"/>
          <w:numId w:val="28"/>
        </w:numPr>
      </w:pPr>
      <w:r w:rsidRPr="005D52FF">
        <w:t>Die interne Bilanzanalyse</w:t>
      </w:r>
    </w:p>
    <w:p w14:paraId="1B987F58" w14:textId="77777777" w:rsidR="005D52FF" w:rsidRPr="005D52FF" w:rsidRDefault="005D52FF" w:rsidP="005D52FF">
      <w:pPr>
        <w:numPr>
          <w:ilvl w:val="0"/>
          <w:numId w:val="28"/>
        </w:numPr>
      </w:pPr>
      <w:r w:rsidRPr="005D52FF">
        <w:t>Die externe Bilanzanalyse</w:t>
      </w:r>
    </w:p>
    <w:p w14:paraId="445A040C" w14:textId="77777777" w:rsidR="005D52FF" w:rsidRPr="005D52FF" w:rsidRDefault="005D52FF" w:rsidP="005D52FF">
      <w:r w:rsidRPr="005D52FF">
        <w:t>Jede dieser Arten hat ihre spezifischen Stärken und wird in verschiedenen Kontexten und zu unterschiedlichen Zwecken eingesetzt.</w:t>
      </w:r>
    </w:p>
    <w:p w14:paraId="4C5A1939" w14:textId="77777777" w:rsidR="005D52FF" w:rsidRPr="005D52FF" w:rsidRDefault="005D52FF" w:rsidP="005D52FF">
      <w:r w:rsidRPr="005D52FF">
        <w:t>Die horizontale Bilanzanalyse fokussiert auf die Entwicklung der Bilanzpositionen über mehrere Perioden hinweg und hilft bei der Aufdeckung von Entwicklungstrends. Die vertikale Bilanzanalyse untersucht die Bilanzstruktur zu einem bestimmten Zeitpunkt, indem sie die Bilanzpositionen in Relation zueinander setzt. Interne Bilanzanalysen werden vorwiegend von der Unternehmensführung zur Entscheidungsfindung genutzt, während externe Analysen von Stakeholdern wie Investoren, Gläubigern und Analysten durchgeführt werden.</w:t>
      </w:r>
    </w:p>
    <w:p w14:paraId="378689E2" w14:textId="77777777" w:rsidR="005D52FF" w:rsidRPr="005D52FF" w:rsidRDefault="005D52FF" w:rsidP="005D52FF">
      <w:pPr>
        <w:rPr>
          <w:b/>
          <w:bCs/>
        </w:rPr>
      </w:pPr>
      <w:r w:rsidRPr="005D52FF">
        <w:rPr>
          <w:b/>
          <w:bCs/>
        </w:rPr>
        <w:t>Horizontale Bilanzanalyse</w:t>
      </w:r>
    </w:p>
    <w:p w14:paraId="3F646557" w14:textId="77777777" w:rsidR="005D52FF" w:rsidRPr="005D52FF" w:rsidRDefault="005D52FF" w:rsidP="005D52FF">
      <w:r w:rsidRPr="005D52FF">
        <w:t>Die horizontale Bilanzanalyse ist eine Methode der Bilanzanalyse, bei der die Entwicklung von Bilanzdaten über einen bestimmten Zeitraum hinweg analysiert wird. Diese Art der Analyse ist besonders nützlich, um Trends und Entwicklungen in der finanziellen Performance eines Unternehmens zu erkennen.</w:t>
      </w:r>
    </w:p>
    <w:p w14:paraId="099083F7" w14:textId="77777777" w:rsidR="005D52FF" w:rsidRPr="005D52FF" w:rsidRDefault="005D52FF" w:rsidP="005D52FF">
      <w:r w:rsidRPr="005D52FF">
        <w:lastRenderedPageBreak/>
        <w:t>Bei der horizontalen Bilanzanalyse werden kurzfristig liquidierbare Vermögenswerte den kurzfristig fälligen Verbindlichkeiten gegenübergestellt und die Veränderungen über einen Zeitraum, vorzugsweise fünf Jahre, beobachtet. Eine Umgliederung von Bilanzposten kann notwendig sein, um die Finanzsituation des Unternehmens besser zu verstehen und insbesondere die Bindungsdauer des Kapitals zu betrachten.</w:t>
      </w:r>
    </w:p>
    <w:p w14:paraId="0823478B" w14:textId="77777777" w:rsidR="005D52FF" w:rsidRPr="005D52FF" w:rsidRDefault="005D52FF" w:rsidP="005D52FF">
      <w:r w:rsidRPr="005D52FF">
        <w:t>Die dynamische Komponente der horizontalen Bilanzanalyse berücksichtigt die Veränderungen über die Zeit und liefert damit wichtige Erkenntnisse zur Zukunftsfähigkeit und Entwicklung des Unternehmens.</w:t>
      </w:r>
    </w:p>
    <w:p w14:paraId="4C7C446F" w14:textId="77777777" w:rsidR="005D52FF" w:rsidRPr="005D52FF" w:rsidRDefault="005D52FF" w:rsidP="005D52FF">
      <w:pPr>
        <w:rPr>
          <w:b/>
          <w:bCs/>
        </w:rPr>
      </w:pPr>
      <w:r w:rsidRPr="005D52FF">
        <w:rPr>
          <w:b/>
          <w:bCs/>
        </w:rPr>
        <w:t>Vertikale Bilanzanalyse</w:t>
      </w:r>
    </w:p>
    <w:p w14:paraId="565A4538" w14:textId="77777777" w:rsidR="005D52FF" w:rsidRPr="005D52FF" w:rsidRDefault="005D52FF" w:rsidP="005D52FF">
      <w:r w:rsidRPr="005D52FF">
        <w:t>Die vertikale Bilanzanalyse ist eine weitere wichtige Methode der Bilanzanalyse. Sie untersucht die Struktur der Bilanz zu einem bestimmten Stichtag und setzt die Bilanzpositionen in Relation zueinander.</w:t>
      </w:r>
    </w:p>
    <w:p w14:paraId="601E4896" w14:textId="77777777" w:rsidR="005D52FF" w:rsidRPr="005D52FF" w:rsidRDefault="005D52FF" w:rsidP="005D52FF">
      <w:r w:rsidRPr="005D52FF">
        <w:t>Diese Art der Untersuchung liefert wichtige Informationen über die Vermögens- und Kapitalstruktur eines Unternehmens und hilft bei der Beurteilung der finanziellen Stabilität des Unternehmens. Sie liefert Informationen über die Anlagendichte und die Kapitalstruktur, insbesondere den Eigenkapitalanteil und die Verschuldung.</w:t>
      </w:r>
    </w:p>
    <w:p w14:paraId="04D39B21" w14:textId="77777777" w:rsidR="005D52FF" w:rsidRPr="005D52FF" w:rsidRDefault="005D52FF" w:rsidP="005D52FF">
      <w:pPr>
        <w:rPr>
          <w:b/>
          <w:bCs/>
        </w:rPr>
      </w:pPr>
      <w:r w:rsidRPr="005D52FF">
        <w:rPr>
          <w:b/>
          <w:bCs/>
        </w:rPr>
        <w:t>Interne Bilanzanalyse</w:t>
      </w:r>
    </w:p>
    <w:p w14:paraId="44F30566" w14:textId="77777777" w:rsidR="005D52FF" w:rsidRPr="005D52FF" w:rsidRDefault="005D52FF" w:rsidP="005D52FF">
      <w:r w:rsidRPr="005D52FF">
        <w:t>Die interne Bilanzanalyse ist eine Methode der Bilanzanalyse, die hauptsächlich von der Unternehmensführung verwendet wird. Sie nutzt interne Daten und Informationen, um die finanzielle Leistung des Unternehmens zu beurteilen und strategische Entscheidungen zu treffen.</w:t>
      </w:r>
    </w:p>
    <w:p w14:paraId="3A22EDAD" w14:textId="77777777" w:rsidR="005D52FF" w:rsidRPr="005D52FF" w:rsidRDefault="005D52FF" w:rsidP="005D52FF">
      <w:r w:rsidRPr="005D52FF">
        <w:t>Die erfolgswirtschaftliche Analyse ist eine Methode der internen Bilanzanalyse. Sie zeigt den Unternehmenserfolg unbeeinflusst von steuerlichen oder bilanzpolitischen Einflüssen. Interne Bilanzanalysen dienen als Verhandlungsbasis und steigern die Planungssicherheit bei Investitionen oder Unternehmensverkäufen.</w:t>
      </w:r>
    </w:p>
    <w:p w14:paraId="6904D498" w14:textId="77777777" w:rsidR="005D52FF" w:rsidRPr="005D52FF" w:rsidRDefault="005D52FF" w:rsidP="005D52FF">
      <w:pPr>
        <w:rPr>
          <w:b/>
          <w:bCs/>
        </w:rPr>
      </w:pPr>
      <w:r w:rsidRPr="005D52FF">
        <w:rPr>
          <w:b/>
          <w:bCs/>
        </w:rPr>
        <w:t>Externe Bilanzanalyse</w:t>
      </w:r>
    </w:p>
    <w:p w14:paraId="795CC7BF" w14:textId="77777777" w:rsidR="005D52FF" w:rsidRPr="005D52FF" w:rsidRDefault="005D52FF" w:rsidP="005D52FF">
      <w:r w:rsidRPr="005D52FF">
        <w:t>Die externe Bilanzanalyse ist eine Methode der Bilanzanalyse, die hauptsächlich von externen Stakeholdern wie:</w:t>
      </w:r>
    </w:p>
    <w:p w14:paraId="7767E63D" w14:textId="77777777" w:rsidR="005D52FF" w:rsidRPr="005D52FF" w:rsidRDefault="005D52FF" w:rsidP="005D52FF">
      <w:pPr>
        <w:numPr>
          <w:ilvl w:val="0"/>
          <w:numId w:val="29"/>
        </w:numPr>
      </w:pPr>
      <w:r w:rsidRPr="005D52FF">
        <w:t>Investoren</w:t>
      </w:r>
    </w:p>
    <w:p w14:paraId="67F8BC1A" w14:textId="77777777" w:rsidR="005D52FF" w:rsidRPr="005D52FF" w:rsidRDefault="005D52FF" w:rsidP="005D52FF">
      <w:pPr>
        <w:numPr>
          <w:ilvl w:val="0"/>
          <w:numId w:val="29"/>
        </w:numPr>
      </w:pPr>
      <w:r w:rsidRPr="005D52FF">
        <w:t>Kreditgebern</w:t>
      </w:r>
    </w:p>
    <w:p w14:paraId="4C551AB8" w14:textId="77777777" w:rsidR="005D52FF" w:rsidRPr="005D52FF" w:rsidRDefault="005D52FF" w:rsidP="005D52FF">
      <w:pPr>
        <w:numPr>
          <w:ilvl w:val="0"/>
          <w:numId w:val="29"/>
        </w:numPr>
      </w:pPr>
      <w:r w:rsidRPr="005D52FF">
        <w:lastRenderedPageBreak/>
        <w:t>Lieferanten</w:t>
      </w:r>
    </w:p>
    <w:p w14:paraId="77EEE68C" w14:textId="77777777" w:rsidR="005D52FF" w:rsidRPr="005D52FF" w:rsidRDefault="005D52FF" w:rsidP="005D52FF">
      <w:pPr>
        <w:numPr>
          <w:ilvl w:val="0"/>
          <w:numId w:val="29"/>
        </w:numPr>
      </w:pPr>
      <w:r w:rsidRPr="005D52FF">
        <w:t>Kunden</w:t>
      </w:r>
    </w:p>
    <w:p w14:paraId="230F83AB" w14:textId="77777777" w:rsidR="005D52FF" w:rsidRPr="005D52FF" w:rsidRDefault="005D52FF" w:rsidP="005D52FF">
      <w:r w:rsidRPr="005D52FF">
        <w:t>verwendet wird. Sie nutzen öffentlich zugängliche Informationen, um die finanzielle Lage eines Unternehmens zu beurteilen und Entscheidungen zu treffen.</w:t>
      </w:r>
    </w:p>
    <w:p w14:paraId="253B05DF" w14:textId="77777777" w:rsidR="005D52FF" w:rsidRPr="005D52FF" w:rsidRDefault="005D52FF" w:rsidP="005D52FF">
      <w:r w:rsidRPr="005D52FF">
        <w:t xml:space="preserve">Bei der externen Bilanzanalyse werden Instrumente wie die Bewegungsbilanz und die </w:t>
      </w:r>
      <w:proofErr w:type="spellStart"/>
      <w:r w:rsidRPr="005D52FF">
        <w:t>Beständedifferenzbilanz</w:t>
      </w:r>
      <w:proofErr w:type="spellEnd"/>
      <w:r w:rsidRPr="005D52FF">
        <w:t xml:space="preserve"> herangezogen, um Veränderungen in den Bilanzpositionen zu untersuchen. Darüber hinaus berücksichtigt die qualitative Bilanzanalyse die verbale Berichterstattung des Unternehmens und nutzt dazu Dokumente wie den Lagebericht und den Anhang zum Jahresabschluss oder Konzernabschluss.</w:t>
      </w:r>
    </w:p>
    <w:p w14:paraId="645D122D" w14:textId="77777777" w:rsidR="005D52FF" w:rsidRPr="005D52FF" w:rsidRDefault="005D52FF" w:rsidP="005D52FF">
      <w:pPr>
        <w:rPr>
          <w:b/>
          <w:bCs/>
        </w:rPr>
      </w:pPr>
      <w:r w:rsidRPr="005D52FF">
        <w:rPr>
          <w:b/>
          <w:bCs/>
        </w:rPr>
        <w:t>Bilanzanalyse-Tools und -Ressourcen</w:t>
      </w:r>
    </w:p>
    <w:p w14:paraId="618F4434" w14:textId="77777777" w:rsidR="005D52FF" w:rsidRPr="005D52FF" w:rsidRDefault="005D52FF" w:rsidP="005D52FF">
      <w:r w:rsidRPr="005D52FF">
        <w:t xml:space="preserve">Bei der Durchführung einer Bilanzanalyse können verschiedene Tools und Ressourcen helfen. Sie reichen von Softwarelösungen wie Microsoft Excel und </w:t>
      </w:r>
      <w:proofErr w:type="spellStart"/>
      <w:r w:rsidRPr="005D52FF">
        <w:t>Tally</w:t>
      </w:r>
      <w:proofErr w:type="spellEnd"/>
      <w:r w:rsidRPr="005D52FF">
        <w:t xml:space="preserve"> ERP 9 bis hin zu Online-Tools wie App4Finance und FINTIBI. Diese Tools bieten umfangreiche Funktionen, die eine detaillierte und effektive Analyse von finanziellen Berichten ermöglichen. Sie unterstützen bei der Erstellung von Berichten und bei strategischen Entscheidungen.</w:t>
      </w:r>
    </w:p>
    <w:p w14:paraId="50386265" w14:textId="77777777" w:rsidR="005D52FF" w:rsidRPr="005D52FF" w:rsidRDefault="005D52FF" w:rsidP="005D52FF">
      <w:r w:rsidRPr="005D52FF">
        <w:t xml:space="preserve">Neben diesen bezahlten Softwarelösungen gibt es auch kostenlose Vorlagen, die bei der Analyse helfen können, wie die Bilanzvorlage von </w:t>
      </w:r>
      <w:proofErr w:type="spellStart"/>
      <w:r w:rsidRPr="005D52FF">
        <w:t>sevDesk</w:t>
      </w:r>
      <w:proofErr w:type="spellEnd"/>
      <w:r w:rsidRPr="005D52FF">
        <w:t>.</w:t>
      </w:r>
    </w:p>
    <w:p w14:paraId="1E239EED" w14:textId="77777777" w:rsidR="005D52FF" w:rsidRPr="005D52FF" w:rsidRDefault="005D52FF" w:rsidP="005D52FF">
      <w:pPr>
        <w:rPr>
          <w:b/>
          <w:bCs/>
        </w:rPr>
      </w:pPr>
      <w:r w:rsidRPr="005D52FF">
        <w:rPr>
          <w:b/>
          <w:bCs/>
        </w:rPr>
        <w:t>Fallstricke und Herausforderungen bei der Bilanzanalyse</w:t>
      </w:r>
    </w:p>
    <w:p w14:paraId="5794A298" w14:textId="77777777" w:rsidR="005D52FF" w:rsidRPr="005D52FF" w:rsidRDefault="005D52FF" w:rsidP="005D52FF">
      <w:r w:rsidRPr="005D52FF">
        <w:t>Trotz ihrer Vorteile hat die Bilanzanalyse auch ihre Grenzen und Herausforderungen. Dazu gehören:</w:t>
      </w:r>
    </w:p>
    <w:p w14:paraId="7C2E7968" w14:textId="77777777" w:rsidR="005D52FF" w:rsidRPr="005D52FF" w:rsidRDefault="005D52FF" w:rsidP="005D52FF">
      <w:pPr>
        <w:numPr>
          <w:ilvl w:val="0"/>
          <w:numId w:val="30"/>
        </w:numPr>
      </w:pPr>
      <w:r w:rsidRPr="005D52FF">
        <w:t>subjektive Bewertungen</w:t>
      </w:r>
    </w:p>
    <w:p w14:paraId="1DF482F8" w14:textId="77777777" w:rsidR="005D52FF" w:rsidRPr="005D52FF" w:rsidRDefault="005D52FF" w:rsidP="005D52FF">
      <w:pPr>
        <w:numPr>
          <w:ilvl w:val="0"/>
          <w:numId w:val="30"/>
        </w:numPr>
      </w:pPr>
      <w:r w:rsidRPr="005D52FF">
        <w:t>die zunehmende Bedeutung immaterieller Werte</w:t>
      </w:r>
    </w:p>
    <w:p w14:paraId="4851250E" w14:textId="77777777" w:rsidR="005D52FF" w:rsidRPr="005D52FF" w:rsidRDefault="005D52FF" w:rsidP="005D52FF">
      <w:pPr>
        <w:numPr>
          <w:ilvl w:val="0"/>
          <w:numId w:val="30"/>
        </w:numPr>
      </w:pPr>
      <w:r w:rsidRPr="005D52FF">
        <w:t>die Beschränkung auf vergangenheitsbezogene Daten ohne Aussagen zur zukünftigen Entwicklung</w:t>
      </w:r>
    </w:p>
    <w:p w14:paraId="6C07766E" w14:textId="77777777" w:rsidR="005D52FF" w:rsidRPr="005D52FF" w:rsidRDefault="005D52FF" w:rsidP="005D52FF">
      <w:pPr>
        <w:numPr>
          <w:ilvl w:val="0"/>
          <w:numId w:val="30"/>
        </w:numPr>
      </w:pPr>
      <w:r w:rsidRPr="005D52FF">
        <w:t>unterschiedliche Rechnungslegungssysteme, die die Vergleichbarkeit einschränken können.</w:t>
      </w:r>
    </w:p>
    <w:p w14:paraId="75574CD3" w14:textId="77777777" w:rsidR="005D52FF" w:rsidRPr="005D52FF" w:rsidRDefault="005D52FF" w:rsidP="005D52FF">
      <w:r w:rsidRPr="005D52FF">
        <w:t xml:space="preserve">Um die Bilanzanalyse erfolgreich anzuwenden, muss neben fachlichem Know-how und Verständnis auch die Sensibilität für bilanzpolitische Maßnahmen sowie ein </w:t>
      </w:r>
      <w:r w:rsidRPr="005D52FF">
        <w:lastRenderedPageBreak/>
        <w:t>kritischer Blick für die verwendeten Zahlen und Methoden entwickelt werden. Die Aussagekraft von Bilanzanalyse-Kennzahlen kann in verschiedenen Situationen eingeschränkt sein, beispielsweise durch bilanzpolitische Entscheidungen, wirtschaftliche Veränderungen oder außergewöhnliche Ereignisse, die nicht direkt in den Zahlen reflektiert werden.</w:t>
      </w:r>
    </w:p>
    <w:p w14:paraId="312B2607" w14:textId="77777777" w:rsidR="005D52FF" w:rsidRPr="005D52FF" w:rsidRDefault="005D52FF" w:rsidP="005D52FF">
      <w:pPr>
        <w:rPr>
          <w:b/>
          <w:bCs/>
        </w:rPr>
      </w:pPr>
      <w:r w:rsidRPr="005D52FF">
        <w:rPr>
          <w:b/>
          <w:bCs/>
        </w:rPr>
        <w:t>Praktisches Beispiel: Anwendung der Bilanzanalyse in einem Unternehmen</w:t>
      </w:r>
    </w:p>
    <w:p w14:paraId="5F5E9942" w14:textId="77777777" w:rsidR="005D52FF" w:rsidRPr="005D52FF" w:rsidRDefault="005D52FF" w:rsidP="005D52FF">
      <w:r w:rsidRPr="005D52FF">
        <w:t>Um die Anwendung der Bilanzanalyse in der Praxis zu veranschaulichen, kann ein konkretes Beispiel herangezogen werden. Stellen Sie sich vor, ein Unternehmen plant eine Investition in neue Produktionsanlagen. Diese Entscheidung könnte verschiedene Auswirkungen auf die finanzielle Situation des Unternehmens haben.</w:t>
      </w:r>
    </w:p>
    <w:p w14:paraId="4B2A5417" w14:textId="77777777" w:rsidR="005D52FF" w:rsidRPr="005D52FF" w:rsidRDefault="005D52FF" w:rsidP="005D52FF">
      <w:r w:rsidRPr="005D52FF">
        <w:t>Das Unternehmen, eine Kapitalgesellschaft, könnte beispielsweise:</w:t>
      </w:r>
    </w:p>
    <w:p w14:paraId="31E8CB66" w14:textId="77777777" w:rsidR="005D52FF" w:rsidRPr="005D52FF" w:rsidRDefault="005D52FF" w:rsidP="005D52FF">
      <w:pPr>
        <w:numPr>
          <w:ilvl w:val="0"/>
          <w:numId w:val="31"/>
        </w:numPr>
      </w:pPr>
      <w:r w:rsidRPr="005D52FF">
        <w:t>stärker auf Fremdkapital angewiesen sein</w:t>
      </w:r>
    </w:p>
    <w:p w14:paraId="4ACFE81D" w14:textId="77777777" w:rsidR="005D52FF" w:rsidRPr="005D52FF" w:rsidRDefault="005D52FF" w:rsidP="005D52FF">
      <w:pPr>
        <w:numPr>
          <w:ilvl w:val="0"/>
          <w:numId w:val="31"/>
        </w:numPr>
      </w:pPr>
      <w:r w:rsidRPr="005D52FF">
        <w:t>mehr als die Hälfte seines Vermögens über Eigenkapital finanzieren</w:t>
      </w:r>
    </w:p>
    <w:p w14:paraId="25087522" w14:textId="77777777" w:rsidR="005D52FF" w:rsidRPr="005D52FF" w:rsidRDefault="005D52FF" w:rsidP="005D52FF">
      <w:pPr>
        <w:numPr>
          <w:ilvl w:val="0"/>
          <w:numId w:val="31"/>
        </w:numPr>
      </w:pPr>
      <w:r w:rsidRPr="005D52FF">
        <w:t>nur 50 % seiner kurzfristigen Verbindlichkeiten durch flüssige Mittel decken</w:t>
      </w:r>
    </w:p>
    <w:p w14:paraId="50824F99" w14:textId="77777777" w:rsidR="005D52FF" w:rsidRPr="005D52FF" w:rsidRDefault="005D52FF" w:rsidP="005D52FF">
      <w:pPr>
        <w:numPr>
          <w:ilvl w:val="0"/>
          <w:numId w:val="31"/>
        </w:numPr>
      </w:pPr>
      <w:r w:rsidRPr="005D52FF">
        <w:t>den Großteil des Vermögens in langfristigen Anlagen gebunden haben.</w:t>
      </w:r>
    </w:p>
    <w:p w14:paraId="32348DE7" w14:textId="77777777" w:rsidR="005D52FF" w:rsidRPr="005D52FF" w:rsidRDefault="005D52FF" w:rsidP="005D52FF">
      <w:pPr>
        <w:rPr>
          <w:b/>
          <w:bCs/>
        </w:rPr>
      </w:pPr>
      <w:r w:rsidRPr="005D52FF">
        <w:rPr>
          <w:b/>
          <w:bCs/>
        </w:rPr>
        <w:t>Zusammenfassung</w:t>
      </w:r>
    </w:p>
    <w:p w14:paraId="2534B149" w14:textId="77777777" w:rsidR="005D52FF" w:rsidRPr="005D52FF" w:rsidRDefault="005D52FF" w:rsidP="005D52FF">
      <w:r w:rsidRPr="005D52FF">
        <w:t>Zusammenfassend lässt sich sagen, dass die Bilanzanalyse ein unverzichtbares Instrument für die Beurteilung der finanziellen Gesundheit eines Unternehmens ist. Sie ermöglicht es, die Vermögens-, Ertrags- und Kapitalstruktur eines Unternehmens zu beurteilen, Trends zu identifizieren und fundierte Entscheidungen zu treffen. Trotz ihrer Herausforderungen und Grenzen liefert die Bilanzanalyse wertvolle Erkenntnisse, die zur strategischen Planung und Entscheidungsfindung beitragen.</w:t>
      </w:r>
    </w:p>
    <w:p w14:paraId="7181F33E" w14:textId="77777777" w:rsidR="005D52FF" w:rsidRPr="005D52FF" w:rsidRDefault="005D52FF" w:rsidP="005D52FF">
      <w:pPr>
        <w:rPr>
          <w:b/>
          <w:bCs/>
        </w:rPr>
      </w:pPr>
      <w:r w:rsidRPr="005D52FF">
        <w:rPr>
          <w:b/>
          <w:bCs/>
        </w:rPr>
        <w:t>Häufig gestellte Fragen</w:t>
      </w:r>
    </w:p>
    <w:p w14:paraId="215D746E" w14:textId="77777777" w:rsidR="005D52FF" w:rsidRPr="005D52FF" w:rsidRDefault="005D52FF" w:rsidP="005D52FF">
      <w:pPr>
        <w:rPr>
          <w:b/>
          <w:bCs/>
        </w:rPr>
      </w:pPr>
      <w:r w:rsidRPr="005D52FF">
        <w:rPr>
          <w:b/>
          <w:bCs/>
        </w:rPr>
        <w:t>Warum macht man eine Bilanzanalyse?</w:t>
      </w:r>
    </w:p>
    <w:p w14:paraId="194870D0" w14:textId="77777777" w:rsidR="005D52FF" w:rsidRPr="005D52FF" w:rsidRDefault="005D52FF" w:rsidP="005D52FF">
      <w:r w:rsidRPr="005D52FF">
        <w:t>Man macht eine Bilanzanalyse, um fundierte Entscheidungen für Investitionen, Finanzierung und Risikomanagement treffen zu können und die finanzielle Situation eines Unternehmens zu beurteilen.</w:t>
      </w:r>
    </w:p>
    <w:p w14:paraId="0B1C8EAB" w14:textId="77777777" w:rsidR="005D52FF" w:rsidRPr="005D52FF" w:rsidRDefault="005D52FF" w:rsidP="005D52FF">
      <w:pPr>
        <w:rPr>
          <w:b/>
          <w:bCs/>
        </w:rPr>
      </w:pPr>
      <w:r w:rsidRPr="005D52FF">
        <w:rPr>
          <w:b/>
          <w:bCs/>
        </w:rPr>
        <w:t>Wer macht eine Bilanzanalyse?</w:t>
      </w:r>
    </w:p>
    <w:p w14:paraId="6199E4F3" w14:textId="77777777" w:rsidR="005D52FF" w:rsidRPr="005D52FF" w:rsidRDefault="005D52FF" w:rsidP="005D52FF">
      <w:r w:rsidRPr="005D52FF">
        <w:lastRenderedPageBreak/>
        <w:t>Die Bilanzanalyse wird vom Unternehmen selbst sowie von Investoren oder Kreditgebern durchgeführt, um die wirtschaftliche Lage und mögliche Risiken besser einschätzen zu können.</w:t>
      </w:r>
    </w:p>
    <w:p w14:paraId="67F12C45" w14:textId="77777777" w:rsidR="005D52FF" w:rsidRPr="005D52FF" w:rsidRDefault="005D52FF" w:rsidP="005D52FF">
      <w:pPr>
        <w:rPr>
          <w:b/>
          <w:bCs/>
        </w:rPr>
      </w:pPr>
      <w:r w:rsidRPr="005D52FF">
        <w:rPr>
          <w:b/>
          <w:bCs/>
        </w:rPr>
        <w:t>Wie erkennt man eine gute Bilanz?</w:t>
      </w:r>
    </w:p>
    <w:p w14:paraId="2A3C45C9" w14:textId="77777777" w:rsidR="005D52FF" w:rsidRPr="005D52FF" w:rsidRDefault="005D52FF" w:rsidP="005D52FF">
      <w:r w:rsidRPr="005D52FF">
        <w:t>Eine gute Bilanz erkennt man daran, dass ein Unternehmen die Aktivposten zahlen kann und gewinnorientiert agiert, beispielsweise durch eine Umsatzrentabilität von über 10%. Dies zeigt, dass das Unternehmen erfolgreich wirtschaftet.</w:t>
      </w:r>
    </w:p>
    <w:p w14:paraId="654DE704" w14:textId="77777777" w:rsidR="005D52FF" w:rsidRPr="005D52FF" w:rsidRDefault="005D52FF" w:rsidP="005D52FF">
      <w:pPr>
        <w:rPr>
          <w:b/>
          <w:bCs/>
        </w:rPr>
      </w:pPr>
      <w:r w:rsidRPr="005D52FF">
        <w:rPr>
          <w:b/>
          <w:bCs/>
        </w:rPr>
        <w:t xml:space="preserve">Wie funktioniert eine </w:t>
      </w:r>
      <w:proofErr w:type="spellStart"/>
      <w:r w:rsidRPr="005D52FF">
        <w:rPr>
          <w:b/>
          <w:bCs/>
        </w:rPr>
        <w:t>bilanz</w:t>
      </w:r>
      <w:proofErr w:type="spellEnd"/>
      <w:r w:rsidRPr="005D52FF">
        <w:rPr>
          <w:b/>
          <w:bCs/>
        </w:rPr>
        <w:t>?</w:t>
      </w:r>
    </w:p>
    <w:p w14:paraId="78A46ABA" w14:textId="77777777" w:rsidR="005D52FF" w:rsidRPr="00316000" w:rsidRDefault="005D52FF" w:rsidP="005D52FF">
      <w:r w:rsidRPr="005D52FF">
        <w:t>Eine Bilanz besteht aus der Aktivseite und der Passivseite, die eine T-Form bilden und deren Summen immer übereinstimmen müssen, um einen Überblick über die finanzielle Situation eines Unternehmens zu ermöglichen.</w:t>
      </w:r>
    </w:p>
    <w:p w14:paraId="3D2B9354" w14:textId="77777777" w:rsidR="005D52FF" w:rsidRPr="00316000" w:rsidRDefault="005D52FF" w:rsidP="005D52FF"/>
    <w:p w14:paraId="18DDF96F" w14:textId="77777777" w:rsidR="005D52FF" w:rsidRPr="00316000" w:rsidRDefault="005D52FF" w:rsidP="005D52FF"/>
    <w:p w14:paraId="7DD1092B" w14:textId="77777777" w:rsidR="005D52FF" w:rsidRPr="00316000" w:rsidRDefault="005D52FF" w:rsidP="005D52FF"/>
    <w:p w14:paraId="25018E45" w14:textId="77777777" w:rsidR="005D52FF" w:rsidRPr="00316000" w:rsidRDefault="005D52FF" w:rsidP="005D52FF"/>
    <w:p w14:paraId="070A43A4" w14:textId="77777777" w:rsidR="005D52FF" w:rsidRPr="00316000" w:rsidRDefault="005D52FF" w:rsidP="005D52FF"/>
    <w:p w14:paraId="196C9C75" w14:textId="77777777" w:rsidR="005D52FF" w:rsidRPr="00316000" w:rsidRDefault="005D52FF" w:rsidP="005D52FF"/>
    <w:p w14:paraId="7C1771B4" w14:textId="77777777" w:rsidR="005D52FF" w:rsidRPr="00316000" w:rsidRDefault="005D52FF" w:rsidP="005D52FF"/>
    <w:p w14:paraId="74BB7838" w14:textId="77777777" w:rsidR="005D52FF" w:rsidRPr="00316000" w:rsidRDefault="005D52FF" w:rsidP="005D52FF"/>
    <w:p w14:paraId="35183D93" w14:textId="77777777" w:rsidR="005D52FF" w:rsidRPr="00316000" w:rsidRDefault="005D52FF" w:rsidP="005D52FF"/>
    <w:p w14:paraId="3D3E526D" w14:textId="77777777" w:rsidR="005D52FF" w:rsidRPr="00316000" w:rsidRDefault="005D52FF" w:rsidP="005D52FF"/>
    <w:p w14:paraId="11664123" w14:textId="77777777" w:rsidR="005D52FF" w:rsidRPr="00316000" w:rsidRDefault="005D52FF" w:rsidP="005D52FF"/>
    <w:p w14:paraId="41C81118" w14:textId="77777777" w:rsidR="005D52FF" w:rsidRPr="00316000" w:rsidRDefault="005D52FF" w:rsidP="005D52FF"/>
    <w:p w14:paraId="67FDE166" w14:textId="77777777" w:rsidR="005D52FF" w:rsidRPr="00316000" w:rsidRDefault="005D52FF" w:rsidP="005D52FF"/>
    <w:p w14:paraId="19168123" w14:textId="77777777" w:rsidR="005D52FF" w:rsidRPr="00316000" w:rsidRDefault="005D52FF" w:rsidP="005D52FF"/>
    <w:p w14:paraId="2C307CA9" w14:textId="77777777" w:rsidR="005D52FF" w:rsidRPr="00316000" w:rsidRDefault="005D52FF" w:rsidP="005D52FF"/>
    <w:p w14:paraId="21BBA171" w14:textId="77777777" w:rsidR="005D52FF" w:rsidRPr="00316000" w:rsidRDefault="005D52FF" w:rsidP="005D52FF"/>
    <w:p w14:paraId="40DCD475" w14:textId="77777777" w:rsidR="0069769A" w:rsidRPr="0069769A" w:rsidRDefault="0069769A" w:rsidP="0069769A">
      <w:pPr>
        <w:rPr>
          <w:b/>
          <w:bCs/>
        </w:rPr>
      </w:pPr>
      <w:r w:rsidRPr="0069769A">
        <w:rPr>
          <w:b/>
          <w:bCs/>
        </w:rPr>
        <w:lastRenderedPageBreak/>
        <w:t>Aktienkennzahlen verstehen: Die 10 wichtigsten Finanzkennzahlen zur Aktienanalyse</w:t>
      </w:r>
    </w:p>
    <w:p w14:paraId="4814B33B" w14:textId="77777777" w:rsidR="0069769A" w:rsidRPr="0069769A" w:rsidRDefault="0069769A" w:rsidP="0069769A">
      <w:r w:rsidRPr="0069769A">
        <w:rPr>
          <w:b/>
          <w:bCs/>
        </w:rPr>
        <w:t>Aktienkennzahlen</w:t>
      </w:r>
      <w:r w:rsidRPr="0069769A">
        <w:t> helfen dir bei der Analyse von </w:t>
      </w:r>
      <w:hyperlink r:id="rId96" w:history="1">
        <w:r w:rsidRPr="0069769A">
          <w:rPr>
            <w:rStyle w:val="Hyperlink"/>
            <w:b/>
            <w:bCs/>
            <w:color w:val="auto"/>
          </w:rPr>
          <w:t>Aktien</w:t>
        </w:r>
      </w:hyperlink>
      <w:r w:rsidRPr="0069769A">
        <w:t>. Mithilfe verschiedener Finanzkennzahlen kannst du im Rahmen der </w:t>
      </w:r>
      <w:hyperlink r:id="rId97" w:history="1">
        <w:r w:rsidRPr="0069769A">
          <w:rPr>
            <w:rStyle w:val="Hyperlink"/>
            <w:color w:val="auto"/>
          </w:rPr>
          <w:t>quantitativen Fundamentalanalyse</w:t>
        </w:r>
      </w:hyperlink>
      <w:r w:rsidRPr="0069769A">
        <w:t>, basierend auf Daten und Statistiken, eine Bewertung von Aktien vornehmen.</w:t>
      </w:r>
    </w:p>
    <w:p w14:paraId="5D2CA983" w14:textId="77777777" w:rsidR="0069769A" w:rsidRPr="0069769A" w:rsidRDefault="0069769A" w:rsidP="0069769A">
      <w:r w:rsidRPr="0069769A">
        <w:t>In diesem Ratgeber stellen wir dir unterschiedliche Kategorien von Aktienkennzahlen vor und gehen dabei auf drei Aspekte ein:</w:t>
      </w:r>
    </w:p>
    <w:p w14:paraId="156FE095" w14:textId="77777777" w:rsidR="0069769A" w:rsidRPr="0069769A" w:rsidRDefault="0069769A" w:rsidP="0069769A">
      <w:pPr>
        <w:numPr>
          <w:ilvl w:val="0"/>
          <w:numId w:val="38"/>
        </w:numPr>
      </w:pPr>
      <w:r w:rsidRPr="0069769A">
        <w:rPr>
          <w:b/>
          <w:bCs/>
        </w:rPr>
        <w:t>Kennzahlen zu Rentabilität und Ertrag</w:t>
      </w:r>
    </w:p>
    <w:p w14:paraId="00076D61" w14:textId="77777777" w:rsidR="0069769A" w:rsidRPr="0069769A" w:rsidRDefault="0069769A" w:rsidP="0069769A">
      <w:pPr>
        <w:numPr>
          <w:ilvl w:val="0"/>
          <w:numId w:val="38"/>
        </w:numPr>
      </w:pPr>
      <w:r w:rsidRPr="0069769A">
        <w:rPr>
          <w:b/>
          <w:bCs/>
        </w:rPr>
        <w:t>Bewertungskennzahlen (Multiplikatoren)</w:t>
      </w:r>
    </w:p>
    <w:p w14:paraId="37FBCD06" w14:textId="77777777" w:rsidR="0069769A" w:rsidRPr="0069769A" w:rsidRDefault="0069769A" w:rsidP="0069769A">
      <w:pPr>
        <w:numPr>
          <w:ilvl w:val="0"/>
          <w:numId w:val="38"/>
        </w:numPr>
      </w:pPr>
      <w:r w:rsidRPr="0069769A">
        <w:rPr>
          <w:b/>
          <w:bCs/>
        </w:rPr>
        <w:t>Kennzahlen zur Analyse der finanziellen Stabilität</w:t>
      </w:r>
    </w:p>
    <w:p w14:paraId="51F52E28" w14:textId="77777777" w:rsidR="0069769A" w:rsidRPr="0069769A" w:rsidRDefault="0069769A" w:rsidP="0069769A">
      <w:r w:rsidRPr="0069769A">
        <w:t>Außerdem werfen wir einen Blick auf die wichtigsten Basiskennzahlen und Begriffe im Kontext der </w:t>
      </w:r>
      <w:r w:rsidRPr="0069769A">
        <w:rPr>
          <w:b/>
          <w:bCs/>
        </w:rPr>
        <w:t>fundamentalen Aktienanalyse.</w:t>
      </w:r>
      <w:r w:rsidRPr="0069769A">
        <w:t> Du erhältst zu allen Fachbegriffen eine ausführliche Definition sowie eine Übersicht, mit Formeln zur Berechnung der Kennzahlen.</w:t>
      </w:r>
    </w:p>
    <w:p w14:paraId="45F886E1" w14:textId="77777777" w:rsidR="0069769A" w:rsidRPr="0069769A" w:rsidRDefault="0069769A" w:rsidP="0069769A">
      <w:r w:rsidRPr="0069769A">
        <w:t>Los geht es mit den Vorteilen einer Analyse mit Finanzkennzahlen.</w:t>
      </w:r>
    </w:p>
    <w:p w14:paraId="6A5B311D" w14:textId="77777777" w:rsidR="0069769A" w:rsidRPr="0069769A" w:rsidRDefault="0069769A" w:rsidP="0069769A">
      <w:pPr>
        <w:rPr>
          <w:b/>
          <w:bCs/>
        </w:rPr>
      </w:pPr>
      <w:r w:rsidRPr="0069769A">
        <w:rPr>
          <w:b/>
          <w:bCs/>
        </w:rPr>
        <w:t>1. Warum soll ich eine Analyse mit Aktienkennzahlen durchführen?</w:t>
      </w:r>
    </w:p>
    <w:p w14:paraId="47781B66" w14:textId="77777777" w:rsidR="0069769A" w:rsidRPr="0069769A" w:rsidRDefault="0069769A" w:rsidP="0069769A">
      <w:r w:rsidRPr="0069769A">
        <w:t>Neben der </w:t>
      </w:r>
      <w:r w:rsidRPr="0069769A">
        <w:rPr>
          <w:b/>
          <w:bCs/>
        </w:rPr>
        <w:t>quantitativen Fundamentalanalyse</w:t>
      </w:r>
      <w:r w:rsidRPr="0069769A">
        <w:t> auf Basis von Daten und Statistiken hast du auch die Möglichkeit Aktien mithilfe von qualitativen Merkmalen zu untersuchen. Dazu zählt die </w:t>
      </w:r>
      <w:r w:rsidRPr="0069769A">
        <w:rPr>
          <w:b/>
          <w:bCs/>
        </w:rPr>
        <w:t>Analyse des Geschäftsmodells</w:t>
      </w:r>
      <w:r w:rsidRPr="0069769A">
        <w:t> eines Unternehmens. Da die qualitative Fundamentalanalyse jedoch eher subjektiv ist, führt das bei der Bewertung von Aktien zu ungenauen Ergebnissen.</w:t>
      </w:r>
    </w:p>
    <w:p w14:paraId="65BFE72D" w14:textId="77777777" w:rsidR="0069769A" w:rsidRPr="0069769A" w:rsidRDefault="0069769A" w:rsidP="0069769A">
      <w:r w:rsidRPr="0069769A">
        <w:t>Dennoch ist die Analyse des Geschäftsmodells sinnvoll, um das zu bewertende Unternehmen und dessen Geschäftstätigkeit besser zu verstehen. Ergänzt man die qualitative mit der quantitativen Bewertung, erhält man eine vollumfängliche Fundamentalanalyse. Auf Grundlage dieser Ergebnisse kannst du rationale Anlageentscheidungen treffen. Es ist wichtig, dass du die Investition in ein Unternehmen ausführlich begründen kannst.</w:t>
      </w:r>
    </w:p>
    <w:p w14:paraId="0E14A25C" w14:textId="77777777" w:rsidR="0069769A" w:rsidRPr="0069769A" w:rsidRDefault="0069769A" w:rsidP="0069769A">
      <w:pPr>
        <w:rPr>
          <w:b/>
          <w:bCs/>
        </w:rPr>
      </w:pPr>
      <w:r w:rsidRPr="0069769A">
        <w:rPr>
          <w:b/>
          <w:bCs/>
        </w:rPr>
        <w:t>Diese Vorteile bieten die Aktien Finanzkennzahlen</w:t>
      </w:r>
    </w:p>
    <w:p w14:paraId="48A5644F" w14:textId="77777777" w:rsidR="0069769A" w:rsidRPr="0069769A" w:rsidRDefault="0069769A" w:rsidP="0069769A">
      <w:r w:rsidRPr="0069769A">
        <w:t>Die </w:t>
      </w:r>
      <w:r w:rsidRPr="0069769A">
        <w:rPr>
          <w:b/>
          <w:bCs/>
        </w:rPr>
        <w:t>Analyse mithilfe von verschiedenen Aktienkennzahlen</w:t>
      </w:r>
      <w:r w:rsidRPr="0069769A">
        <w:t xml:space="preserve"> erlaubt es dir, ein Unternehmen, dessen Geschäftstätigkeit und den wirtschaftlichen Erfolg in Zahlen zu </w:t>
      </w:r>
      <w:r w:rsidRPr="0069769A">
        <w:lastRenderedPageBreak/>
        <w:t>verpacken. Dadurch kannst du den </w:t>
      </w:r>
      <w:r w:rsidRPr="0069769A">
        <w:rPr>
          <w:b/>
          <w:bCs/>
        </w:rPr>
        <w:t>Erfolg oder auch Misserfolg eines Unternehmens sowie die Entwicklung in bestimmten Zeiträumen messen</w:t>
      </w:r>
      <w:r w:rsidRPr="0069769A">
        <w:t>. Außerdem kannst du mit einer Analyse basierend auf Finanzkennzahlen, mehrere Aktien innerhalb einer Branche vergleichen und somit die besten Unternehmen eines Wirtschaftszweigs identifizieren.</w:t>
      </w:r>
    </w:p>
    <w:p w14:paraId="0C061015" w14:textId="77777777" w:rsidR="0069769A" w:rsidRPr="0069769A" w:rsidRDefault="0069769A" w:rsidP="0069769A">
      <w:r w:rsidRPr="0069769A">
        <w:t>Des Weiteren ermöglicht dir eine Aktienanalyse mit Kennzahlen, dass du nicht nur eine rationale Anlageentscheidung zum Zeitpunkt der ersten Investition triffst, sondern auch noch in 5 oder 10 Jahren deine Aktien bewerten kannst. Dies macht die wirtschaftliche Entwicklung messbar und zudem hast du die Gelegenheit zu prüfen, ob manche Konkurrenten inzwischen ein besseres Investment darstellen.</w:t>
      </w:r>
    </w:p>
    <w:p w14:paraId="5FA39FE3" w14:textId="77777777" w:rsidR="0069769A" w:rsidRPr="0069769A" w:rsidRDefault="0069769A" w:rsidP="0069769A">
      <w:r w:rsidRPr="0069769A">
        <w:t>Die Aktienkennzahlen berechnet man auf Basis der von den Unternehmen veröffentlichten Geschäftszahlen und Prognosen. Das bedeutet, dass sie öffentlich zugänglich und jederzeit einsehbar sind.</w:t>
      </w:r>
    </w:p>
    <w:p w14:paraId="2339B264" w14:textId="77777777" w:rsidR="0069769A" w:rsidRPr="0069769A" w:rsidRDefault="0069769A" w:rsidP="0069769A">
      <w:r w:rsidRPr="0069769A">
        <w:t>In den folgenden Abschnitten befassen wir uns mit den wichtigsten Aktienkennzahlen. Zu Beginn erhältst du eine Übersicht zu den Grundlagen und den Basiskennzahlen.</w:t>
      </w:r>
    </w:p>
    <w:p w14:paraId="777D6185" w14:textId="77777777" w:rsidR="0069769A" w:rsidRPr="0069769A" w:rsidRDefault="0069769A" w:rsidP="0069769A">
      <w:r w:rsidRPr="0069769A">
        <w:t>Dein Finanzwissen-Newsletter</w:t>
      </w:r>
    </w:p>
    <w:p w14:paraId="20131831" w14:textId="77777777" w:rsidR="0069769A" w:rsidRPr="0069769A" w:rsidRDefault="0069769A" w:rsidP="0069769A">
      <w:r w:rsidRPr="0069769A">
        <w:t>Jeden Freitag: Kostenloser Finanzwissen-Newsletter mit allen wichtigen Themen für deine privaten Finanzen.</w:t>
      </w:r>
    </w:p>
    <w:p w14:paraId="1793C06F" w14:textId="77777777" w:rsidR="0069769A" w:rsidRPr="0069769A" w:rsidRDefault="0069769A" w:rsidP="0069769A">
      <w:pPr>
        <w:rPr>
          <w:vanish/>
        </w:rPr>
      </w:pPr>
      <w:r w:rsidRPr="0069769A">
        <w:rPr>
          <w:vanish/>
        </w:rPr>
        <w:t>Formularbeginn</w:t>
      </w:r>
    </w:p>
    <w:p w14:paraId="1A4A1162" w14:textId="77777777" w:rsidR="0069769A" w:rsidRPr="0069769A" w:rsidRDefault="0069769A" w:rsidP="0069769A">
      <w:r w:rsidRPr="0069769A">
        <w:t>Deine E-Mail-Adresse</w:t>
      </w:r>
    </w:p>
    <w:p w14:paraId="268992C7" w14:textId="77777777" w:rsidR="0069769A" w:rsidRPr="0069769A" w:rsidRDefault="0069769A" w:rsidP="0069769A">
      <w:r w:rsidRPr="0069769A">
        <w:t>Abonnieren</w:t>
      </w:r>
    </w:p>
    <w:p w14:paraId="06D09C49" w14:textId="77777777" w:rsidR="0069769A" w:rsidRPr="0069769A" w:rsidRDefault="0069769A" w:rsidP="0069769A">
      <w:pPr>
        <w:rPr>
          <w:vanish/>
        </w:rPr>
      </w:pPr>
      <w:r w:rsidRPr="0069769A">
        <w:rPr>
          <w:vanish/>
        </w:rPr>
        <w:t>Formularende</w:t>
      </w:r>
    </w:p>
    <w:p w14:paraId="0C0854A5" w14:textId="77777777" w:rsidR="0069769A" w:rsidRPr="0069769A" w:rsidRDefault="0069769A" w:rsidP="0069769A">
      <w:r w:rsidRPr="0069769A">
        <w:t>Informationen zur Datenverarbeitung kannst Du unserer </w:t>
      </w:r>
      <w:hyperlink r:id="rId98" w:tgtFrame="_blank" w:tooltip="Datenschutzerklärung" w:history="1">
        <w:r w:rsidRPr="0069769A">
          <w:rPr>
            <w:rStyle w:val="Hyperlink"/>
            <w:color w:val="auto"/>
          </w:rPr>
          <w:t>Datenschutzerklärung</w:t>
        </w:r>
      </w:hyperlink>
      <w:r w:rsidRPr="0069769A">
        <w:t> entnehmen.</w:t>
      </w:r>
    </w:p>
    <w:p w14:paraId="36A3F34B" w14:textId="77777777" w:rsidR="0069769A" w:rsidRPr="0069769A" w:rsidRDefault="0069769A" w:rsidP="0069769A">
      <w:pPr>
        <w:rPr>
          <w:b/>
          <w:bCs/>
        </w:rPr>
      </w:pPr>
      <w:r w:rsidRPr="0069769A">
        <w:rPr>
          <w:b/>
          <w:bCs/>
        </w:rPr>
        <w:t>2. Basiskennzahlen für die Aktienanalyse – wichtige Grundlagen einfach erklärt</w:t>
      </w:r>
    </w:p>
    <w:p w14:paraId="4AB9444F" w14:textId="77777777" w:rsidR="0069769A" w:rsidRPr="0069769A" w:rsidRDefault="0069769A" w:rsidP="0069769A">
      <w:r w:rsidRPr="0069769A">
        <w:t>Mit Basiskennzahlen sind nicht zwingend Kennzahlen im herkömmlichen Sinne gemeint, dennoch handelt es sich hierbei um wichtige Werte und Begriffe, die du unbedingt kennen solltest.</w:t>
      </w:r>
    </w:p>
    <w:p w14:paraId="407E7027" w14:textId="77777777" w:rsidR="0069769A" w:rsidRPr="0069769A" w:rsidRDefault="0069769A" w:rsidP="0069769A">
      <w:r w:rsidRPr="0069769A">
        <w:t>Hier siehst du eine Auflistung der grundlegenden Basiskennzahlen für eine Aktienanalyse:</w:t>
      </w:r>
    </w:p>
    <w:p w14:paraId="4DA15FC2" w14:textId="77777777" w:rsidR="0069769A" w:rsidRPr="0069769A" w:rsidRDefault="0069769A" w:rsidP="0069769A">
      <w:pPr>
        <w:numPr>
          <w:ilvl w:val="0"/>
          <w:numId w:val="39"/>
        </w:numPr>
      </w:pPr>
      <w:r w:rsidRPr="0069769A">
        <w:rPr>
          <w:b/>
          <w:bCs/>
        </w:rPr>
        <w:t>Aktienkurs:</w:t>
      </w:r>
      <w:r w:rsidRPr="0069769A">
        <w:t xml:space="preserve"> Der Aktienkurs allein sagt zwar nichts über die Bewertung einer Aktie aus, aber er ist die Grundlage für die Berechnung zahlreicher Formeln, </w:t>
      </w:r>
      <w:r w:rsidRPr="0069769A">
        <w:lastRenderedPageBreak/>
        <w:t>denn er wird häufig mit verschiedenen Werten ins Verhältnis gesetzt. Als Aktienkurs bezeichnet man den aktuellen Preis eines börsennotierten Unternehmens. Zu diesem Preis wird ein Anteil, also eine Aktie, an der Börse gehandelt.</w:t>
      </w:r>
    </w:p>
    <w:p w14:paraId="42E37C47" w14:textId="77777777" w:rsidR="0069769A" w:rsidRPr="0069769A" w:rsidRDefault="0069769A" w:rsidP="0069769A">
      <w:pPr>
        <w:numPr>
          <w:ilvl w:val="0"/>
          <w:numId w:val="39"/>
        </w:numPr>
      </w:pPr>
      <w:r w:rsidRPr="0069769A">
        <w:rPr>
          <w:b/>
          <w:bCs/>
        </w:rPr>
        <w:t>Marktkapitalisierung:</w:t>
      </w:r>
      <w:r w:rsidRPr="0069769A">
        <w:t> Die Marktkapitalisierung bezeichnet man häufig auch als Börsenwert. Sie gibt an, wie viel die Aktien eines Unternehmens an der Börse wert sind. Dieser Wert schwankt natürlich, wie auch der Aktienkurs. Zur Berechnung der Marktkapitalisierung multiplizierst du einfach den Aktienkurs mit der Anzahl aller ausgegebenen Aktien.</w:t>
      </w:r>
    </w:p>
    <w:p w14:paraId="2C2391BA" w14:textId="77777777" w:rsidR="0069769A" w:rsidRPr="0069769A" w:rsidRDefault="0069769A" w:rsidP="0069769A">
      <w:pPr>
        <w:numPr>
          <w:ilvl w:val="0"/>
          <w:numId w:val="39"/>
        </w:numPr>
      </w:pPr>
      <w:r w:rsidRPr="0069769A">
        <w:rPr>
          <w:b/>
          <w:bCs/>
        </w:rPr>
        <w:t>Umsatz:</w:t>
      </w:r>
      <w:r w:rsidRPr="0069769A">
        <w:t> Der Umsatz gibt an, wie viel Geld ein Unternehmen innerhalb eines bestimmten Zeitraumes einnimmt. Der Umsatz ist die Basis zur Berechnung diverser Kennzahlen. Ein Unternehmen mit hohen Umsätzen ist nicht unbedingt wirtschaftlich erfolgreich, denn es könnte trotz hoher Einnahmen Verluste erzielen.</w:t>
      </w:r>
    </w:p>
    <w:p w14:paraId="6B9A4F8E" w14:textId="77777777" w:rsidR="0069769A" w:rsidRPr="0069769A" w:rsidRDefault="0069769A" w:rsidP="0069769A">
      <w:pPr>
        <w:numPr>
          <w:ilvl w:val="0"/>
          <w:numId w:val="39"/>
        </w:numPr>
      </w:pPr>
      <w:r w:rsidRPr="0069769A">
        <w:rPr>
          <w:b/>
          <w:bCs/>
        </w:rPr>
        <w:t>Gewinn:</w:t>
      </w:r>
      <w:r w:rsidRPr="0069769A">
        <w:t> Ob ein Unternehmen tatsächlich profitabel ist, erkennst du am Gewinn. Von den Umsätzen sind noch die Kosten, Abschreibungen, Zinsaufwendungen und Steuern abzuziehen. Erst dann erhältst du den Jahresüberschuss. Das ist nur eine vereinfachte Darstellung. In einer Gewinn-und-Verlust-Rechnung erfahren Investoren die Details.</w:t>
      </w:r>
    </w:p>
    <w:p w14:paraId="19EAE343" w14:textId="77777777" w:rsidR="0069769A" w:rsidRPr="0069769A" w:rsidRDefault="0069769A" w:rsidP="0069769A">
      <w:r w:rsidRPr="0069769A">
        <w:rPr>
          <w:b/>
          <w:bCs/>
        </w:rPr>
        <w:t>Langfristig orientierte Anleger achten auf ein nachhaltiges Umsatz- und Gewinnwachstum</w:t>
      </w:r>
      <w:r w:rsidRPr="0069769A">
        <w:t>, denn auf lange Sicht wird ein wirtschaftlich erfolgreicher Konzern auch an der Börse wertvoller.</w:t>
      </w:r>
    </w:p>
    <w:p w14:paraId="631D51BC" w14:textId="77777777" w:rsidR="0069769A" w:rsidRPr="0069769A" w:rsidRDefault="0069769A" w:rsidP="0069769A">
      <w:r w:rsidRPr="0069769A">
        <w:t>Kurzfristig sind Schwankungen nicht auszuschließen und die Finanzkennzahlen lassen eventuell eine zu hohe oder zu niedrige Bewertung der Aktie vermuten, allerdings pendelt sich die Aktienbewertung mit der Zeit ein. Für dich als Investor ist es wichtig, dass ein Unternehmen auf Dauer profitabel arbeitet und ein nachhaltiges Wachstum erzielt.</w:t>
      </w:r>
    </w:p>
    <w:p w14:paraId="76D595AD" w14:textId="77777777" w:rsidR="0069769A" w:rsidRPr="0069769A" w:rsidRDefault="0069769A" w:rsidP="0069769A">
      <w:r w:rsidRPr="0069769A">
        <w:t>Du kennst jetzt die wichtigsten Grundlagen, daher folgt als Nächstes die Vorstellung der Kennzahlen zu Ertrag und Rentabilität.</w:t>
      </w:r>
    </w:p>
    <w:p w14:paraId="41FF44DE" w14:textId="38D93026" w:rsidR="005D52FF" w:rsidRPr="00316000" w:rsidRDefault="005D52FF" w:rsidP="005D52FF"/>
    <w:p w14:paraId="58114200" w14:textId="77777777" w:rsidR="0069769A" w:rsidRPr="00316000" w:rsidRDefault="0069769A" w:rsidP="005D52FF"/>
    <w:p w14:paraId="7901D8B4" w14:textId="7FBCA4A9" w:rsidR="005D52FF" w:rsidRPr="005D52FF" w:rsidRDefault="0069769A" w:rsidP="005D52FF">
      <w:pPr>
        <w:rPr>
          <w:b/>
          <w:bCs/>
        </w:rPr>
      </w:pPr>
      <w:r w:rsidRPr="00316000">
        <w:rPr>
          <w:b/>
          <w:bCs/>
        </w:rPr>
        <w:lastRenderedPageBreak/>
        <w:t>3</w:t>
      </w:r>
      <w:r w:rsidR="005D52FF" w:rsidRPr="005D52FF">
        <w:rPr>
          <w:b/>
          <w:bCs/>
        </w:rPr>
        <w:t>. Aktienkennzahlen zu Ertrag und Rentabilität</w:t>
      </w:r>
    </w:p>
    <w:p w14:paraId="56E36C59" w14:textId="77777777" w:rsidR="005D52FF" w:rsidRPr="005D52FF" w:rsidRDefault="005D52FF" w:rsidP="005D52FF">
      <w:r w:rsidRPr="005D52FF">
        <w:t>Wie zuvor erwähnt, betrachten wir in unserem Ratgeber Finanzkennzahlen aus unterschiedlichen Kategorien. In diesem Abschnitt geht es um </w:t>
      </w:r>
      <w:r w:rsidRPr="005D52FF">
        <w:rPr>
          <w:b/>
          <w:bCs/>
        </w:rPr>
        <w:t>Kennzahlen, die den Ertrag und die Rentabilität eines Unternehmens messen</w:t>
      </w:r>
      <w:r w:rsidRPr="005D52FF">
        <w:t> und ins Verhältnis setzen.</w:t>
      </w:r>
    </w:p>
    <w:p w14:paraId="6DC06F04" w14:textId="77777777" w:rsidR="005D52FF" w:rsidRPr="005D52FF" w:rsidRDefault="005D52FF" w:rsidP="005D52FF">
      <w:r w:rsidRPr="005D52FF">
        <w:t>Bevor wir auf die einzelnen Kennzahlen, deren Bedeutung und Berechnung eingehen, klären wir zunächst, was Ertrag und Rentabilität bedeuten.</w:t>
      </w:r>
    </w:p>
    <w:p w14:paraId="0A6FE0BF" w14:textId="77777777" w:rsidR="005D52FF" w:rsidRPr="005D52FF" w:rsidRDefault="005D52FF" w:rsidP="005D52FF">
      <w:pPr>
        <w:rPr>
          <w:b/>
          <w:bCs/>
        </w:rPr>
      </w:pPr>
      <w:r w:rsidRPr="005D52FF">
        <w:rPr>
          <w:b/>
          <w:bCs/>
        </w:rPr>
        <w:t>Ertrag, Rentabilität, Profitabilität</w:t>
      </w:r>
    </w:p>
    <w:p w14:paraId="010DAF45" w14:textId="77777777" w:rsidR="005D52FF" w:rsidRPr="005D52FF" w:rsidRDefault="005D52FF" w:rsidP="005D52FF">
      <w:r w:rsidRPr="005D52FF">
        <w:t>Rentabel und profitabel sind zwei Begriffe, die gern synonym verwendet werden, aber das ist nicht korrekt. Ein Unternehmen ist profitabel, sobald es einen Gewinn bzw. einen Überschuss erzielt. Die </w:t>
      </w:r>
      <w:r w:rsidRPr="005D52FF">
        <w:rPr>
          <w:b/>
          <w:bCs/>
        </w:rPr>
        <w:t>Rentabilität ist durch eine Profitabilität noch lange nicht gegeben</w:t>
      </w:r>
      <w:r w:rsidRPr="005D52FF">
        <w:t>.</w:t>
      </w:r>
    </w:p>
    <w:p w14:paraId="0509A02B" w14:textId="77777777" w:rsidR="005D52FF" w:rsidRPr="005D52FF" w:rsidRDefault="005D52FF" w:rsidP="005D52FF">
      <w:r w:rsidRPr="005D52FF">
        <w:t>Das klingt im ersten Moment etwas verwirrend, ist aber relativ schnell erklärt.</w:t>
      </w:r>
    </w:p>
    <w:p w14:paraId="5D524AA4" w14:textId="77777777" w:rsidR="005D52FF" w:rsidRPr="005D52FF" w:rsidRDefault="005D52FF" w:rsidP="005D52FF">
      <w:r w:rsidRPr="005D52FF">
        <w:rPr>
          <w:b/>
          <w:bCs/>
        </w:rPr>
        <w:t>Ein Beispiel</w:t>
      </w:r>
      <w:r w:rsidRPr="005D52FF">
        <w:t>: Aktie X hat am Ende des Jahres einen Gewinn von 10 € erwirtschaftet. Damit ist das Unternehmen definitionsgemäß profitabel. Allerdings hat der Konzern 5 Millionen Euro Kapital eingesetzt, um diesen kleinen Gewinn zu erzielen. Daher ist das Unternehmen nicht rentabel.</w:t>
      </w:r>
    </w:p>
    <w:p w14:paraId="390663AE" w14:textId="77777777" w:rsidR="005D52FF" w:rsidRPr="005D52FF" w:rsidRDefault="005D52FF" w:rsidP="005D52FF">
      <w:r w:rsidRPr="005D52FF">
        <w:rPr>
          <w:b/>
          <w:bCs/>
        </w:rPr>
        <w:t>Wir können also festhalten</w:t>
      </w:r>
      <w:r w:rsidRPr="005D52FF">
        <w:t>: Je größer der Gewinn und je niedriger das dafür eingesetzte Kapital ausfällt, desto rentabler ist das Unternehmen. Folglich können zwei Unternehmen, die man vergleicht, profitabel sein, jedoch wirtschaftet das eine rentabel, der andere Betrieb wiederum nicht.</w:t>
      </w:r>
    </w:p>
    <w:p w14:paraId="452AEC97" w14:textId="77777777" w:rsidR="005D52FF" w:rsidRPr="005D52FF" w:rsidRDefault="005D52FF" w:rsidP="005D52FF">
      <w:r w:rsidRPr="005D52FF">
        <w:t>Folglich ist es wichtig, nicht nur auf den Jahresüberschuss bzw. die Profitabilität, sondern auch auf die Rentabilität bei der Aktienanalyse zu achten.</w:t>
      </w:r>
    </w:p>
    <w:p w14:paraId="1AC349A7" w14:textId="77777777" w:rsidR="005D52FF" w:rsidRPr="005D52FF" w:rsidRDefault="005D52FF" w:rsidP="005D52FF">
      <w:r w:rsidRPr="005D52FF">
        <w:t>Im Folgenden stellen wir dir drei Aktienkennzahlen zu Rentabilität/Ertrag genauer vor:</w:t>
      </w:r>
    </w:p>
    <w:p w14:paraId="50ED5B9E" w14:textId="77777777" w:rsidR="005D52FF" w:rsidRPr="005D52FF" w:rsidRDefault="005D52FF" w:rsidP="005D52FF">
      <w:pPr>
        <w:numPr>
          <w:ilvl w:val="0"/>
          <w:numId w:val="33"/>
        </w:numPr>
      </w:pPr>
      <w:r w:rsidRPr="005D52FF">
        <w:rPr>
          <w:b/>
          <w:bCs/>
        </w:rPr>
        <w:t>Eigenkapitalrendite</w:t>
      </w:r>
    </w:p>
    <w:p w14:paraId="3CE08EF8" w14:textId="77777777" w:rsidR="005D52FF" w:rsidRPr="005D52FF" w:rsidRDefault="005D52FF" w:rsidP="005D52FF">
      <w:pPr>
        <w:numPr>
          <w:ilvl w:val="0"/>
          <w:numId w:val="33"/>
        </w:numPr>
      </w:pPr>
      <w:r w:rsidRPr="005D52FF">
        <w:rPr>
          <w:b/>
          <w:bCs/>
        </w:rPr>
        <w:t>Umsatzrendite</w:t>
      </w:r>
    </w:p>
    <w:p w14:paraId="0DD9A061" w14:textId="77777777" w:rsidR="005D52FF" w:rsidRPr="005D52FF" w:rsidRDefault="005D52FF" w:rsidP="005D52FF">
      <w:pPr>
        <w:numPr>
          <w:ilvl w:val="0"/>
          <w:numId w:val="33"/>
        </w:numPr>
      </w:pPr>
      <w:r w:rsidRPr="005D52FF">
        <w:rPr>
          <w:b/>
          <w:bCs/>
        </w:rPr>
        <w:t>EBIT/EBITDA-Marge</w:t>
      </w:r>
    </w:p>
    <w:p w14:paraId="70EA6C5F" w14:textId="77777777" w:rsidR="005D52FF" w:rsidRPr="005D52FF" w:rsidRDefault="005D52FF" w:rsidP="005D52FF">
      <w:r w:rsidRPr="005D52FF">
        <w:t>Los geht es mit der Eigenkapitalrendite.</w:t>
      </w:r>
    </w:p>
    <w:p w14:paraId="6C4C6F1F" w14:textId="77777777" w:rsidR="005D52FF" w:rsidRPr="005D52FF" w:rsidRDefault="005D52FF" w:rsidP="005D52FF">
      <w:pPr>
        <w:rPr>
          <w:b/>
          <w:bCs/>
        </w:rPr>
      </w:pPr>
      <w:r w:rsidRPr="005D52FF">
        <w:rPr>
          <w:b/>
          <w:bCs/>
        </w:rPr>
        <w:t>Eigenkapitalrendite: Verzinsung des eingebrachten Eigenkapitals</w:t>
      </w:r>
    </w:p>
    <w:p w14:paraId="4B4FE6C8" w14:textId="77777777" w:rsidR="005D52FF" w:rsidRPr="005D52FF" w:rsidRDefault="005D52FF" w:rsidP="005D52FF">
      <w:r w:rsidRPr="005D52FF">
        <w:lastRenderedPageBreak/>
        <w:t>Mithilfe der </w:t>
      </w:r>
      <w:r w:rsidRPr="005D52FF">
        <w:rPr>
          <w:b/>
          <w:bCs/>
        </w:rPr>
        <w:t>Kennzahl </w:t>
      </w:r>
      <w:hyperlink r:id="rId99" w:history="1">
        <w:r w:rsidRPr="005D52FF">
          <w:rPr>
            <w:rStyle w:val="Hyperlink"/>
            <w:b/>
            <w:bCs/>
            <w:color w:val="auto"/>
          </w:rPr>
          <w:t>Eigenkapitalrendite</w:t>
        </w:r>
      </w:hyperlink>
      <w:r w:rsidRPr="005D52FF">
        <w:t> findest du heraus, wie sich das eingebrachte Eigenkapital verzinst bzw. welche Rendite erzielt wird.</w:t>
      </w:r>
    </w:p>
    <w:p w14:paraId="53555D7F" w14:textId="318E5CCE" w:rsidR="005D52FF" w:rsidRPr="005D52FF" w:rsidRDefault="005D52FF" w:rsidP="005D52FF">
      <w:r w:rsidRPr="00316000">
        <w:rPr>
          <w:noProof/>
        </w:rPr>
        <mc:AlternateContent>
          <mc:Choice Requires="wps">
            <w:drawing>
              <wp:inline distT="0" distB="0" distL="0" distR="0" wp14:anchorId="730579A9" wp14:editId="48E919C4">
                <wp:extent cx="304800" cy="304800"/>
                <wp:effectExtent l="0" t="0" r="0" b="0"/>
                <wp:docPr id="889432713" name="Rechteck 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E1685B" id="Rechteck 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F0BEFC" w14:textId="77777777" w:rsidR="005D52FF" w:rsidRPr="005D52FF" w:rsidRDefault="005D52FF" w:rsidP="005D52FF">
      <w:r w:rsidRPr="005D52FF">
        <w:t>Diese Kennzahl wird berechnet, indem man den Jahresüberschuss und das durchschnittliche Eigenkapital des Geschäftsjahres ins Verhältnis setzt. Lediglich den Gewinn mehrerer Unternehmen miteinander zu vergleichen, sagt noch nichts darüber aus, wie rentabel mit dem eingebrachten Kapital gewirtschaftet wird. Daher ist die Eigenkapitalrendite eine gute Vergleichsgröße.</w:t>
      </w:r>
    </w:p>
    <w:p w14:paraId="0ADB87F7" w14:textId="77777777" w:rsidR="005D52FF" w:rsidRPr="005D52FF" w:rsidRDefault="005D52FF" w:rsidP="005D52FF">
      <w:pPr>
        <w:rPr>
          <w:b/>
          <w:bCs/>
        </w:rPr>
      </w:pPr>
      <w:r w:rsidRPr="005D52FF">
        <w:rPr>
          <w:b/>
          <w:bCs/>
        </w:rPr>
        <w:t>Umsatzrendite: wie viel Gewinn von einem Euro Umsatz?</w:t>
      </w:r>
    </w:p>
    <w:p w14:paraId="22FBCDF9" w14:textId="77777777" w:rsidR="005D52FF" w:rsidRPr="005D52FF" w:rsidRDefault="005D52FF" w:rsidP="005D52FF">
      <w:r w:rsidRPr="005D52FF">
        <w:t>Zur Berechnung der </w:t>
      </w:r>
      <w:hyperlink r:id="rId100" w:history="1">
        <w:r w:rsidRPr="005D52FF">
          <w:rPr>
            <w:rStyle w:val="Hyperlink"/>
            <w:color w:val="auto"/>
          </w:rPr>
          <w:t>Umsatzrendite</w:t>
        </w:r>
      </w:hyperlink>
      <w:r w:rsidRPr="005D52FF">
        <w:t> benötigt man ebenfalls den Jahresüberschuss. Diesen teilt man durch die Umsatzerlöse. Dadurch erfährst du, wie viel Cent an Gewinn ein Unternehmen pro Euro Umsatz generiert.</w:t>
      </w:r>
    </w:p>
    <w:p w14:paraId="3119889F" w14:textId="6C5BD6F6" w:rsidR="005D52FF" w:rsidRPr="005D52FF" w:rsidRDefault="005D52FF" w:rsidP="005D52FF">
      <w:r w:rsidRPr="00316000">
        <w:rPr>
          <w:noProof/>
        </w:rPr>
        <mc:AlternateContent>
          <mc:Choice Requires="wps">
            <w:drawing>
              <wp:inline distT="0" distB="0" distL="0" distR="0" wp14:anchorId="34193D22" wp14:editId="54D0E130">
                <wp:extent cx="304800" cy="304800"/>
                <wp:effectExtent l="0" t="0" r="0" b="0"/>
                <wp:docPr id="91079133" name="Rechteck 45" descr="Formel für die Umsatzrendi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1FA6FB" id="Rechteck 45" o:spid="_x0000_s1026" alt="Formel für die Umsatzrendi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B9B1A52" w14:textId="77777777" w:rsidR="005D52FF" w:rsidRPr="005D52FF" w:rsidRDefault="005D52FF" w:rsidP="005D52FF">
      <w:r w:rsidRPr="005D52FF">
        <w:t>Eine hohe Umsatzrendite deutet auf Alleinstellungsmerkmale und eine hohe Marktmacht hin, während eine niedrige Umsatzrentabilität bedeuten könnte, dass eher ein intensiver Wettbewerb herrscht.</w:t>
      </w:r>
    </w:p>
    <w:p w14:paraId="484D9E78" w14:textId="77777777" w:rsidR="005D52FF" w:rsidRPr="005D52FF" w:rsidRDefault="005D52FF" w:rsidP="005D52FF">
      <w:pPr>
        <w:rPr>
          <w:b/>
          <w:bCs/>
        </w:rPr>
      </w:pPr>
      <w:r w:rsidRPr="005D52FF">
        <w:rPr>
          <w:b/>
          <w:bCs/>
        </w:rPr>
        <w:t>EBIT/EBITDA-Marge: wichtige Kennzahl in der Aktienanalyse</w:t>
      </w:r>
    </w:p>
    <w:p w14:paraId="64C543E6" w14:textId="77777777" w:rsidR="005D52FF" w:rsidRPr="005D52FF" w:rsidRDefault="005D52FF" w:rsidP="005D52FF">
      <w:r w:rsidRPr="005D52FF">
        <w:t>Zur Berechnung der </w:t>
      </w:r>
      <w:r w:rsidRPr="005D52FF">
        <w:rPr>
          <w:b/>
          <w:bCs/>
        </w:rPr>
        <w:t>EBIT/EBITDA-Marge</w:t>
      </w:r>
      <w:r w:rsidRPr="005D52FF">
        <w:t> setzt man das </w:t>
      </w:r>
      <w:hyperlink r:id="rId101" w:history="1">
        <w:r w:rsidRPr="005D52FF">
          <w:rPr>
            <w:rStyle w:val="Hyperlink"/>
            <w:color w:val="auto"/>
          </w:rPr>
          <w:t>EBIT</w:t>
        </w:r>
      </w:hyperlink>
      <w:r w:rsidRPr="005D52FF">
        <w:t> bzw. das </w:t>
      </w:r>
      <w:hyperlink r:id="rId102" w:history="1">
        <w:r w:rsidRPr="005D52FF">
          <w:rPr>
            <w:rStyle w:val="Hyperlink"/>
            <w:color w:val="auto"/>
          </w:rPr>
          <w:t>EBITDA</w:t>
        </w:r>
      </w:hyperlink>
      <w:r w:rsidRPr="005D52FF">
        <w:t> ins Verhältnis zu den Umsatzerlösen eines Unternehmens. Das </w:t>
      </w:r>
      <w:r w:rsidRPr="005D52FF">
        <w:rPr>
          <w:b/>
          <w:bCs/>
        </w:rPr>
        <w:t>EBIT wird häufig als operatives Ergebnis oder Betriebsergebnis</w:t>
      </w:r>
      <w:r w:rsidRPr="005D52FF">
        <w:t> bezeichnet, denn dieser Wert ist der Gewinn vor Steuern und Zinsen. Das EBITDA liegt noch zwei Stufen darüber, hier kommen noch Abschreibungen von Sachanlagen und immateriellen Vermögensgegenständen hinzu.</w:t>
      </w:r>
    </w:p>
    <w:p w14:paraId="7ECAB461" w14:textId="4CE88B86" w:rsidR="005D52FF" w:rsidRPr="005D52FF" w:rsidRDefault="005D52FF" w:rsidP="005D52FF">
      <w:r w:rsidRPr="00316000">
        <w:rPr>
          <w:noProof/>
        </w:rPr>
        <mc:AlternateContent>
          <mc:Choice Requires="wps">
            <w:drawing>
              <wp:inline distT="0" distB="0" distL="0" distR="0" wp14:anchorId="474B1B31" wp14:editId="092AE038">
                <wp:extent cx="304800" cy="304800"/>
                <wp:effectExtent l="0" t="0" r="0" b="0"/>
                <wp:docPr id="1693217657" name="Rechteck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C8CABC" id="Rechteck 4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176E7AC" w14:textId="77777777" w:rsidR="005D52FF" w:rsidRPr="005D52FF" w:rsidRDefault="005D52FF" w:rsidP="005D52FF">
      <w:r w:rsidRPr="005D52FF">
        <w:t>Beide Margen ermöglichen einen Vergleich über Branchen und Regionen hinweg, denn unterschiedliche Steuerbelastungen, Rechnungslegung oder Abschreibungsmethoden spielen hierbei keine Rolle und man vergleicht tatsächlich die Leistung des operativen Geschäfts.</w:t>
      </w:r>
    </w:p>
    <w:p w14:paraId="09A283D6" w14:textId="77777777" w:rsidR="005D52FF" w:rsidRPr="005D52FF" w:rsidRDefault="005D52FF" w:rsidP="005D52FF">
      <w:r w:rsidRPr="005D52FF">
        <w:t>Als Nächstes werfen wir einen Blick auf die wichtigsten Bewertungskennzahlen.</w:t>
      </w:r>
    </w:p>
    <w:p w14:paraId="3AA84DC2" w14:textId="77777777" w:rsidR="005D52FF" w:rsidRPr="005D52FF" w:rsidRDefault="005D52FF" w:rsidP="005D52FF">
      <w:pPr>
        <w:rPr>
          <w:b/>
          <w:bCs/>
        </w:rPr>
      </w:pPr>
      <w:r w:rsidRPr="005D52FF">
        <w:rPr>
          <w:b/>
          <w:bCs/>
        </w:rPr>
        <w:lastRenderedPageBreak/>
        <w:t>4. Die wichtigsten Bewertungskennzahlen für Aktien im Überblick</w:t>
      </w:r>
    </w:p>
    <w:p w14:paraId="65BBDAF9" w14:textId="77777777" w:rsidR="005D52FF" w:rsidRPr="005D52FF" w:rsidRDefault="005D52FF" w:rsidP="005D52FF">
      <w:r w:rsidRPr="005D52FF">
        <w:t>In diesem Kapitel bekommst du eine Übersicht zu fünf Bewertungskennzahlen. Wer sich mit der Fundamentalanalyse auseinandersetzt, wird zwangsläufig auf diese Aktienkennzahlen stoßen. Diese </w:t>
      </w:r>
      <w:r w:rsidRPr="005D52FF">
        <w:rPr>
          <w:b/>
          <w:bCs/>
        </w:rPr>
        <w:t>Bewertungsmultiplikatoren (Equity-Multiplikatoren)</w:t>
      </w:r>
      <w:r w:rsidRPr="005D52FF">
        <w:t> setzen die wichtigsten Positionen aus der Bilanz und der </w:t>
      </w:r>
      <w:hyperlink r:id="rId103" w:history="1">
        <w:r w:rsidRPr="005D52FF">
          <w:rPr>
            <w:rStyle w:val="Hyperlink"/>
            <w:color w:val="auto"/>
          </w:rPr>
          <w:t>Gewinn-und-Verlust-Rechnung (GuV)</w:t>
        </w:r>
      </w:hyperlink>
      <w:r w:rsidRPr="005D52FF">
        <w:t> ins Verhältnis zur Marktkapitalisierung.</w:t>
      </w:r>
    </w:p>
    <w:p w14:paraId="72CC77F1" w14:textId="77777777" w:rsidR="005D52FF" w:rsidRPr="005D52FF" w:rsidRDefault="005D52FF" w:rsidP="005D52FF">
      <w:pPr>
        <w:numPr>
          <w:ilvl w:val="0"/>
          <w:numId w:val="34"/>
        </w:numPr>
      </w:pPr>
      <w:hyperlink r:id="rId104" w:history="1">
        <w:r w:rsidRPr="005D52FF">
          <w:rPr>
            <w:rStyle w:val="Hyperlink"/>
            <w:b/>
            <w:bCs/>
            <w:color w:val="auto"/>
          </w:rPr>
          <w:t>Kurs-Gewinn-Verhältnis (KGV)</w:t>
        </w:r>
      </w:hyperlink>
    </w:p>
    <w:p w14:paraId="29225190" w14:textId="77777777" w:rsidR="005D52FF" w:rsidRPr="005D52FF" w:rsidRDefault="005D52FF" w:rsidP="005D52FF">
      <w:pPr>
        <w:numPr>
          <w:ilvl w:val="0"/>
          <w:numId w:val="34"/>
        </w:numPr>
      </w:pPr>
      <w:hyperlink r:id="rId105" w:history="1">
        <w:r w:rsidRPr="005D52FF">
          <w:rPr>
            <w:rStyle w:val="Hyperlink"/>
            <w:b/>
            <w:bCs/>
            <w:color w:val="auto"/>
          </w:rPr>
          <w:t>Kurs-Umsatz-Verhältnis (KUV)</w:t>
        </w:r>
      </w:hyperlink>
    </w:p>
    <w:p w14:paraId="249FC247" w14:textId="77777777" w:rsidR="005D52FF" w:rsidRPr="005D52FF" w:rsidRDefault="005D52FF" w:rsidP="005D52FF">
      <w:pPr>
        <w:numPr>
          <w:ilvl w:val="0"/>
          <w:numId w:val="34"/>
        </w:numPr>
      </w:pPr>
      <w:hyperlink r:id="rId106" w:history="1">
        <w:r w:rsidRPr="005D52FF">
          <w:rPr>
            <w:rStyle w:val="Hyperlink"/>
            <w:b/>
            <w:bCs/>
            <w:color w:val="auto"/>
          </w:rPr>
          <w:t>Kurs-Buchwert-Verhältnis (KBV)</w:t>
        </w:r>
      </w:hyperlink>
    </w:p>
    <w:p w14:paraId="1FECE3C7" w14:textId="77777777" w:rsidR="005D52FF" w:rsidRPr="005D52FF" w:rsidRDefault="005D52FF" w:rsidP="005D52FF">
      <w:pPr>
        <w:numPr>
          <w:ilvl w:val="0"/>
          <w:numId w:val="34"/>
        </w:numPr>
      </w:pPr>
      <w:hyperlink r:id="rId107" w:history="1">
        <w:r w:rsidRPr="005D52FF">
          <w:rPr>
            <w:rStyle w:val="Hyperlink"/>
            <w:b/>
            <w:bCs/>
            <w:color w:val="auto"/>
          </w:rPr>
          <w:t>Kurs-Cashflow-Verhältnis (KCV)</w:t>
        </w:r>
      </w:hyperlink>
    </w:p>
    <w:p w14:paraId="5DEB15CB" w14:textId="77777777" w:rsidR="005D52FF" w:rsidRPr="005D52FF" w:rsidRDefault="005D52FF" w:rsidP="005D52FF">
      <w:pPr>
        <w:numPr>
          <w:ilvl w:val="0"/>
          <w:numId w:val="34"/>
        </w:numPr>
        <w:rPr>
          <w:lang w:val="en-GB"/>
        </w:rPr>
      </w:pPr>
      <w:hyperlink r:id="rId108" w:history="1">
        <w:r w:rsidRPr="005D52FF">
          <w:rPr>
            <w:rStyle w:val="Hyperlink"/>
            <w:b/>
            <w:bCs/>
            <w:color w:val="auto"/>
            <w:lang w:val="en-GB"/>
          </w:rPr>
          <w:t>Price-Earning-to-Growth-Ratio (PEG)</w:t>
        </w:r>
      </w:hyperlink>
    </w:p>
    <w:p w14:paraId="1EAFF80C" w14:textId="77777777" w:rsidR="005D52FF" w:rsidRPr="005D52FF" w:rsidRDefault="005D52FF" w:rsidP="005D52FF">
      <w:r w:rsidRPr="005D52FF">
        <w:t>Die erste Bewertungskennzahl, die wir dir vorstellen, ist eine der beliebtesten im Bereich der Aktienanalyse.</w:t>
      </w:r>
    </w:p>
    <w:p w14:paraId="5FCB9C08" w14:textId="77777777" w:rsidR="005D52FF" w:rsidRPr="005D52FF" w:rsidRDefault="005D52FF" w:rsidP="005D52FF">
      <w:pPr>
        <w:rPr>
          <w:b/>
          <w:bCs/>
        </w:rPr>
      </w:pPr>
      <w:r w:rsidRPr="005D52FF">
        <w:rPr>
          <w:b/>
          <w:bCs/>
        </w:rPr>
        <w:t>Aktienkennzahl KGV (Kurs-Gewinn-Verhältnis)</w:t>
      </w:r>
    </w:p>
    <w:p w14:paraId="212DB72D" w14:textId="77777777" w:rsidR="005D52FF" w:rsidRPr="005D52FF" w:rsidRDefault="005D52FF" w:rsidP="005D52FF">
      <w:r w:rsidRPr="005D52FF">
        <w:t>Eine der am häufigsten genannten und verwendeten Aktienkennzahlen im Kontext der Fundamentalanalyse ist das KGV. Diese Kennzahl berechnest du, indem du die Marktkapitalisierung durch den Jahresüberschuss teilst. Bezogen auf eine einzelne Aktie könntest du auch den Aktienkurs und den Gewinn je Aktie ins Verhältnis setzen.</w:t>
      </w:r>
    </w:p>
    <w:p w14:paraId="71D8EBC6" w14:textId="12AF438B" w:rsidR="005D52FF" w:rsidRPr="005D52FF" w:rsidRDefault="005D52FF" w:rsidP="005D52FF">
      <w:r w:rsidRPr="00316000">
        <w:rPr>
          <w:noProof/>
        </w:rPr>
        <mc:AlternateContent>
          <mc:Choice Requires="wps">
            <w:drawing>
              <wp:inline distT="0" distB="0" distL="0" distR="0" wp14:anchorId="275EF879" wp14:editId="5B3B72C8">
                <wp:extent cx="304800" cy="304800"/>
                <wp:effectExtent l="0" t="0" r="0" b="0"/>
                <wp:docPr id="969886494" name="Rechteck 43" descr="Formel zur Berechnung des KGV"/>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E928B4" id="Rechteck 43" o:spid="_x0000_s1026" alt="Formel zur Berechnung des KGV"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D9EE23" w14:textId="77777777" w:rsidR="005D52FF" w:rsidRPr="005D52FF" w:rsidRDefault="005D52FF" w:rsidP="005D52FF">
      <w:r w:rsidRPr="005D52FF">
        <w:t>Wenn möglich, sollte man beim KGV den erwarteten Gewinn als Basis verwenden. Sollte keine plausible Prognose vorliegen, nimmst du einfach den Gewinn des vergangenen Geschäftsjahres.</w:t>
      </w:r>
    </w:p>
    <w:p w14:paraId="28917B13" w14:textId="77777777" w:rsidR="005D52FF" w:rsidRPr="005D52FF" w:rsidRDefault="005D52FF" w:rsidP="005D52FF">
      <w:r w:rsidRPr="005D52FF">
        <w:t>Auf den ersten Blick erscheint ein Unternehmen mit </w:t>
      </w:r>
      <w:r w:rsidRPr="005D52FF">
        <w:rPr>
          <w:b/>
          <w:bCs/>
        </w:rPr>
        <w:t>niedrigem KGV als günstig bewertet</w:t>
      </w:r>
      <w:r w:rsidRPr="005D52FF">
        <w:t>. Ein hohes KGV deutet dann auf eine Überwertung hin? So einfach ist es nicht. Daher ist es wichtig, niemals allein auf das KGV bei einer umfangreichen Analyse zu vertrauen.</w:t>
      </w:r>
    </w:p>
    <w:p w14:paraId="702B50E1" w14:textId="77777777" w:rsidR="005D52FF" w:rsidRPr="005D52FF" w:rsidRDefault="005D52FF" w:rsidP="005D52FF">
      <w:r w:rsidRPr="005D52FF">
        <w:t xml:space="preserve">Entscheidend bei der Betrachtung ist zum einen, in welchem Bereich das Unternehmen tätig ist und ob es ein Wachstumsunternehmen oder ein etabliertes, </w:t>
      </w:r>
      <w:r w:rsidRPr="005D52FF">
        <w:lastRenderedPageBreak/>
        <w:t>langsam wachsendes Unternehmen ist. Ein hohes KGV könnte durch ein starkes Gewinnwachstum relativiert werden.</w:t>
      </w:r>
    </w:p>
    <w:p w14:paraId="48CAC4CB" w14:textId="77777777" w:rsidR="005D52FF" w:rsidRPr="005D52FF" w:rsidRDefault="005D52FF" w:rsidP="005D52FF">
      <w:r w:rsidRPr="005D52FF">
        <w:t>Demzufolge ist es beim Kurs-Gewinn-Verhältnis besonders wichtig, die Entwicklung des Gewinns und die Hintergründe zu prüfen.</w:t>
      </w:r>
    </w:p>
    <w:p w14:paraId="25EC7FBB" w14:textId="77777777" w:rsidR="005D52FF" w:rsidRPr="005D52FF" w:rsidRDefault="005D52FF" w:rsidP="005D52FF">
      <w:pPr>
        <w:rPr>
          <w:b/>
          <w:bCs/>
        </w:rPr>
      </w:pPr>
      <w:r w:rsidRPr="005D52FF">
        <w:rPr>
          <w:b/>
          <w:bCs/>
        </w:rPr>
        <w:t>Finanzkennzahl KUV (Kurs-Umsatz-Verhältnis)</w:t>
      </w:r>
    </w:p>
    <w:p w14:paraId="7CECF68E" w14:textId="77777777" w:rsidR="005D52FF" w:rsidRPr="005D52FF" w:rsidRDefault="005D52FF" w:rsidP="005D52FF">
      <w:r w:rsidRPr="005D52FF">
        <w:t>Ein weiterer beliebter Multiplikator ist das Kurs-Umsatz-Verhältnis. Das KUV ist besonders relevant, wenn du dir die Bewertung von Unternehmen anschaust, die ein starkes Umsatzwachstum verzeichnen, jedoch noch keine Gewinne erzielen.</w:t>
      </w:r>
    </w:p>
    <w:p w14:paraId="29BBACAF" w14:textId="3D745A1B" w:rsidR="005D52FF" w:rsidRPr="005D52FF" w:rsidRDefault="005D52FF" w:rsidP="005D52FF">
      <w:r w:rsidRPr="00316000">
        <w:rPr>
          <w:noProof/>
        </w:rPr>
        <mc:AlternateContent>
          <mc:Choice Requires="wps">
            <w:drawing>
              <wp:inline distT="0" distB="0" distL="0" distR="0" wp14:anchorId="016F135A" wp14:editId="4F745882">
                <wp:extent cx="304800" cy="304800"/>
                <wp:effectExtent l="0" t="0" r="0" b="0"/>
                <wp:docPr id="2129736965" name="Rechteck 4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5B4483" id="Rechteck 4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FDC7C3C" w14:textId="77777777" w:rsidR="005D52FF" w:rsidRPr="005D52FF" w:rsidRDefault="005D52FF" w:rsidP="005D52FF">
      <w:r w:rsidRPr="005D52FF">
        <w:t>Dadurch kannst du Unternehmen, die noch nicht profitabel sind, jedoch ein starkes Wachstum erzielen, bewerten und miteinander vergleichen.</w:t>
      </w:r>
    </w:p>
    <w:p w14:paraId="6896C849" w14:textId="77777777" w:rsidR="005D52FF" w:rsidRPr="005D52FF" w:rsidRDefault="005D52FF" w:rsidP="005D52FF">
      <w:pPr>
        <w:rPr>
          <w:b/>
          <w:bCs/>
        </w:rPr>
      </w:pPr>
      <w:r w:rsidRPr="005D52FF">
        <w:rPr>
          <w:b/>
          <w:bCs/>
        </w:rPr>
        <w:t>Bewertungskennzahl KBV (Kurs-Buchwert-Verhältnis)</w:t>
      </w:r>
    </w:p>
    <w:p w14:paraId="7B8E8516" w14:textId="77777777" w:rsidR="005D52FF" w:rsidRPr="005D52FF" w:rsidRDefault="005D52FF" w:rsidP="005D52FF">
      <w:r w:rsidRPr="005D52FF">
        <w:t>Das Kurs-Buchwert-Verhältnis ist eine Aktienkennzahl, die früher sehr beliebt war, aber heute nicht mehr so viel Beachtung findet. Die anderen Bewertungskennzahlen sind ertragsorientiert, wohingegen das KBV auf einer Bilanzgröße basiert. Als Grundlage zur Berechnung dient hierbei das Eigenkapital.</w:t>
      </w:r>
    </w:p>
    <w:p w14:paraId="2594A4C4" w14:textId="3CDF330D" w:rsidR="005D52FF" w:rsidRPr="005D52FF" w:rsidRDefault="005D52FF" w:rsidP="005D52FF">
      <w:r w:rsidRPr="00316000">
        <w:rPr>
          <w:noProof/>
        </w:rPr>
        <mc:AlternateContent>
          <mc:Choice Requires="wps">
            <w:drawing>
              <wp:inline distT="0" distB="0" distL="0" distR="0" wp14:anchorId="1D460B8F" wp14:editId="58D34A88">
                <wp:extent cx="304800" cy="304800"/>
                <wp:effectExtent l="0" t="0" r="0" b="0"/>
                <wp:docPr id="1697658317" name="Rechteck 41" descr="Formel zur Berechnung des KBV"/>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21637B" id="Rechteck 41" o:spid="_x0000_s1026" alt="Formel zur Berechnung des KBV"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281ABC6" w14:textId="77777777" w:rsidR="005D52FF" w:rsidRPr="005D52FF" w:rsidRDefault="005D52FF" w:rsidP="005D52FF">
      <w:r w:rsidRPr="005D52FF">
        <w:t>Eine KBV über 1 könnte auf eine Überbewertung hindeuten, während ein Kurs-Buchwert-Verhältnis unter 1 eine Unterbewertung signalisiert. Allerdings wäre dies eine zu einseitige und nicht zielführende Betrachtung. Ein niedriges KBV könnte ebenso bedeuten, dass der Markt anhaltende Verluste einpreist.</w:t>
      </w:r>
    </w:p>
    <w:p w14:paraId="53A7AA16" w14:textId="77777777" w:rsidR="005D52FF" w:rsidRPr="005D52FF" w:rsidRDefault="005D52FF" w:rsidP="005D52FF">
      <w:r w:rsidRPr="005D52FF">
        <w:t>Für eine umfassende Aktienanalyse benötigst du daher weitere Kennzahlen.</w:t>
      </w:r>
    </w:p>
    <w:p w14:paraId="6235020E" w14:textId="77777777" w:rsidR="005D52FF" w:rsidRPr="005D52FF" w:rsidRDefault="005D52FF" w:rsidP="005D52FF">
      <w:pPr>
        <w:rPr>
          <w:b/>
          <w:bCs/>
        </w:rPr>
      </w:pPr>
      <w:r w:rsidRPr="005D52FF">
        <w:rPr>
          <w:b/>
          <w:bCs/>
        </w:rPr>
        <w:t>KCV (Kurs-Cashflow-Verhältnis)</w:t>
      </w:r>
    </w:p>
    <w:p w14:paraId="269CBACA" w14:textId="77777777" w:rsidR="005D52FF" w:rsidRPr="005D52FF" w:rsidRDefault="005D52FF" w:rsidP="005D52FF">
      <w:r w:rsidRPr="005D52FF">
        <w:t>Zur Berechnung des Kurs-Cashflow-Verhältnisses zieht man die Marktkapitalisierung und den </w:t>
      </w:r>
      <w:hyperlink r:id="rId109" w:history="1">
        <w:r w:rsidRPr="005D52FF">
          <w:rPr>
            <w:rStyle w:val="Hyperlink"/>
            <w:color w:val="auto"/>
          </w:rPr>
          <w:t>Cashflow eines Unternehmens</w:t>
        </w:r>
      </w:hyperlink>
      <w:r w:rsidRPr="005D52FF">
        <w:t> heran.</w:t>
      </w:r>
    </w:p>
    <w:p w14:paraId="65B699D8" w14:textId="077E8D5F" w:rsidR="005D52FF" w:rsidRPr="005D52FF" w:rsidRDefault="005D52FF" w:rsidP="005D52FF">
      <w:r w:rsidRPr="00316000">
        <w:rPr>
          <w:noProof/>
        </w:rPr>
        <mc:AlternateContent>
          <mc:Choice Requires="wps">
            <w:drawing>
              <wp:inline distT="0" distB="0" distL="0" distR="0" wp14:anchorId="233638B4" wp14:editId="5964B4F2">
                <wp:extent cx="304800" cy="304800"/>
                <wp:effectExtent l="0" t="0" r="0" b="0"/>
                <wp:docPr id="1749621733" name="Rechteck 4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690786" id="Rechteck 4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938D1BB" w14:textId="77777777" w:rsidR="005D52FF" w:rsidRPr="005D52FF" w:rsidRDefault="005D52FF" w:rsidP="005D52FF">
      <w:r w:rsidRPr="005D52FF">
        <w:lastRenderedPageBreak/>
        <w:t>Den </w:t>
      </w:r>
      <w:r w:rsidRPr="005D52FF">
        <w:rPr>
          <w:b/>
          <w:bCs/>
        </w:rPr>
        <w:t xml:space="preserve">Cashflow und die </w:t>
      </w:r>
      <w:proofErr w:type="spellStart"/>
      <w:r w:rsidRPr="005D52FF">
        <w:rPr>
          <w:b/>
          <w:bCs/>
        </w:rPr>
        <w:t>Cashflowrechnung</w:t>
      </w:r>
      <w:proofErr w:type="spellEnd"/>
      <w:r w:rsidRPr="005D52FF">
        <w:t xml:space="preserve"> stellen wir dir in separaten Ratgebern ausführlicher vor, da es ein wichtiges Thema ist, das eine umfangreiche Erklärung erfordert. Bei der Berechnung verwendet man in der Regel den Cashflow </w:t>
      </w:r>
      <w:proofErr w:type="gramStart"/>
      <w:r w:rsidRPr="005D52FF">
        <w:t>aus laufender</w:t>
      </w:r>
      <w:proofErr w:type="gramEnd"/>
      <w:r w:rsidRPr="005D52FF">
        <w:t xml:space="preserve"> Geschäftstätigkeit (operativer Cashflow).</w:t>
      </w:r>
    </w:p>
    <w:p w14:paraId="03D2B9BF" w14:textId="77777777" w:rsidR="005D52FF" w:rsidRPr="005D52FF" w:rsidRDefault="005D52FF" w:rsidP="005D52FF">
      <w:r w:rsidRPr="005D52FF">
        <w:t>Im Gegensatz zum Jahresüberschuss können wir erst durch die Analyse des Cashflows beurteilen, welche Mittel einem Unternehmen in einem bestimmten Zeitraum zu- und abgeflossen sind.</w:t>
      </w:r>
    </w:p>
    <w:p w14:paraId="462C7A73" w14:textId="77777777" w:rsidR="005D52FF" w:rsidRPr="005D52FF" w:rsidRDefault="005D52FF" w:rsidP="005D52FF">
      <w:pPr>
        <w:rPr>
          <w:b/>
          <w:bCs/>
          <w:lang w:val="en-GB"/>
        </w:rPr>
      </w:pPr>
      <w:proofErr w:type="spellStart"/>
      <w:r w:rsidRPr="005D52FF">
        <w:rPr>
          <w:b/>
          <w:bCs/>
          <w:lang w:val="en-GB"/>
        </w:rPr>
        <w:t>Aktienkennzahl</w:t>
      </w:r>
      <w:proofErr w:type="spellEnd"/>
      <w:r w:rsidRPr="005D52FF">
        <w:rPr>
          <w:b/>
          <w:bCs/>
          <w:lang w:val="en-GB"/>
        </w:rPr>
        <w:t xml:space="preserve"> PEG-Ratio (Price-Earnings-to-Growth-Ratio)</w:t>
      </w:r>
    </w:p>
    <w:p w14:paraId="3362721B" w14:textId="77777777" w:rsidR="005D52FF" w:rsidRPr="005D52FF" w:rsidRDefault="005D52FF" w:rsidP="005D52FF">
      <w:r w:rsidRPr="005D52FF">
        <w:t>Zum Schluss werfen wir noch einen Blick auf das PEG-Ratio. Hierbei wird das KGV ins Verhältnis zum erwarteten Gewinnwachstum gesetzt.</w:t>
      </w:r>
    </w:p>
    <w:p w14:paraId="62C057F6" w14:textId="28E6B4FA" w:rsidR="005D52FF" w:rsidRPr="005D52FF" w:rsidRDefault="005D52FF" w:rsidP="005D52FF">
      <w:r w:rsidRPr="00316000">
        <w:rPr>
          <w:noProof/>
        </w:rPr>
        <mc:AlternateContent>
          <mc:Choice Requires="wps">
            <w:drawing>
              <wp:inline distT="0" distB="0" distL="0" distR="0" wp14:anchorId="722A28DE" wp14:editId="5BC4D330">
                <wp:extent cx="304800" cy="304800"/>
                <wp:effectExtent l="0" t="0" r="0" b="0"/>
                <wp:docPr id="1806514122" name="Rechteck 39" descr="Formel zur Berechnung der PEG-Rati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7CE873" id="Rechteck 39" o:spid="_x0000_s1026" alt="Formel zur Berechnung der PEG-Rati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FB76A0" w14:textId="77777777" w:rsidR="005D52FF" w:rsidRPr="005D52FF" w:rsidRDefault="005D52FF" w:rsidP="005D52FF">
      <w:r w:rsidRPr="005D52FF">
        <w:t>Insbesondere bei jungen Unternehmen oder Wachstumsaktien ist eine Einschätzung, die lediglich auf dem KGV basiert, zu kurz gegriffen. Daher gibt es eine Bewertungskennzahl, die zusätzlich das Gewinnwachstum in die Betrachtung einbezieht.</w:t>
      </w:r>
    </w:p>
    <w:p w14:paraId="55028E13" w14:textId="77777777" w:rsidR="005D52FF" w:rsidRPr="005D52FF" w:rsidRDefault="005D52FF" w:rsidP="005D52FF">
      <w:r w:rsidRPr="005D52FF">
        <w:t>Ein starkes Gewinnwachstum kann ein auf den ersten Blick zu hoch erscheinendes KGV relativieren. Demzufolge lohnt es sich vor allem bei Wachstumswerten das PEG-Ratio genauer anzuschauen.</w:t>
      </w:r>
    </w:p>
    <w:p w14:paraId="5E114059" w14:textId="77777777" w:rsidR="005D52FF" w:rsidRPr="005D52FF" w:rsidRDefault="005D52FF" w:rsidP="005D52FF">
      <w:r w:rsidRPr="005D52FF">
        <w:t>Das war es mit den wichtigsten Bewertungskennzahlen für Aktien. Jetzt stellen wir dir zwei Kennzahlen in Bezug auf die finanzielle Stabilität vor.</w:t>
      </w:r>
    </w:p>
    <w:p w14:paraId="56DE812E" w14:textId="77777777" w:rsidR="005D52FF" w:rsidRPr="005D52FF" w:rsidRDefault="005D52FF" w:rsidP="005D52FF">
      <w:pPr>
        <w:rPr>
          <w:b/>
          <w:bCs/>
        </w:rPr>
      </w:pPr>
      <w:r w:rsidRPr="005D52FF">
        <w:rPr>
          <w:b/>
          <w:bCs/>
        </w:rPr>
        <w:t>5. Kennzahlen zur finanziellen Stabilität eines Unternehmens</w:t>
      </w:r>
    </w:p>
    <w:p w14:paraId="310E9C4D" w14:textId="77777777" w:rsidR="005D52FF" w:rsidRPr="005D52FF" w:rsidRDefault="005D52FF" w:rsidP="005D52FF">
      <w:r w:rsidRPr="005D52FF">
        <w:t>Im Folgenden bekommst du eine kurze Übersicht zur </w:t>
      </w:r>
      <w:r w:rsidRPr="005D52FF">
        <w:rPr>
          <w:b/>
          <w:bCs/>
        </w:rPr>
        <w:t>Eigenkapitalquote</w:t>
      </w:r>
      <w:r w:rsidRPr="005D52FF">
        <w:t> und dem </w:t>
      </w:r>
      <w:r w:rsidRPr="005D52FF">
        <w:rPr>
          <w:b/>
          <w:bCs/>
        </w:rPr>
        <w:t>Verschuldungsgrad</w:t>
      </w:r>
      <w:r w:rsidRPr="005D52FF">
        <w:t>. Beide Kennzahlen geben Aufschluss über die finanzielle Stabilität eines Unternehmens.</w:t>
      </w:r>
    </w:p>
    <w:p w14:paraId="188F009B" w14:textId="77777777" w:rsidR="005D52FF" w:rsidRPr="005D52FF" w:rsidRDefault="005D52FF" w:rsidP="005D52FF">
      <w:pPr>
        <w:rPr>
          <w:b/>
          <w:bCs/>
        </w:rPr>
      </w:pPr>
      <w:r w:rsidRPr="005D52FF">
        <w:rPr>
          <w:b/>
          <w:bCs/>
        </w:rPr>
        <w:t>Eigenkapitalquote: Eigenkapital im Verhältnis zum Gesamtkapital</w:t>
      </w:r>
    </w:p>
    <w:p w14:paraId="4116EA7D" w14:textId="77777777" w:rsidR="005D52FF" w:rsidRPr="005D52FF" w:rsidRDefault="005D52FF" w:rsidP="005D52FF">
      <w:r w:rsidRPr="005D52FF">
        <w:t>Die </w:t>
      </w:r>
      <w:hyperlink r:id="rId110" w:history="1">
        <w:r w:rsidRPr="005D52FF">
          <w:rPr>
            <w:rStyle w:val="Hyperlink"/>
            <w:color w:val="auto"/>
          </w:rPr>
          <w:t>Eigenkapitalquote</w:t>
        </w:r>
      </w:hyperlink>
      <w:r w:rsidRPr="005D52FF">
        <w:t> berechnest du, indem du das Eigenkapital in Relation zur Bilanzsumme setzt.</w:t>
      </w:r>
    </w:p>
    <w:p w14:paraId="272E8F62" w14:textId="2FDBD779" w:rsidR="005D52FF" w:rsidRPr="005D52FF" w:rsidRDefault="005D52FF" w:rsidP="005D52FF">
      <w:r w:rsidRPr="00316000">
        <w:rPr>
          <w:noProof/>
        </w:rPr>
        <mc:AlternateContent>
          <mc:Choice Requires="wps">
            <w:drawing>
              <wp:inline distT="0" distB="0" distL="0" distR="0" wp14:anchorId="566EBC2E" wp14:editId="761C1EF0">
                <wp:extent cx="304800" cy="304800"/>
                <wp:effectExtent l="0" t="0" r="0" b="0"/>
                <wp:docPr id="328534693" name="Rechteck 38" descr="Formel für die Eigenkapitalquot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8B8006" id="Rechteck 38" o:spid="_x0000_s1026" alt="Formel für die Eigenkapitalquot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03F7180" w14:textId="77777777" w:rsidR="005D52FF" w:rsidRPr="005D52FF" w:rsidRDefault="005D52FF" w:rsidP="005D52FF">
      <w:r w:rsidRPr="005D52FF">
        <w:lastRenderedPageBreak/>
        <w:t>Eine </w:t>
      </w:r>
      <w:r w:rsidRPr="005D52FF">
        <w:rPr>
          <w:b/>
          <w:bCs/>
        </w:rPr>
        <w:t>niedrige Eigenkapitalquote (EK-Quote)</w:t>
      </w:r>
      <w:r w:rsidRPr="005D52FF">
        <w:t> bedeutet, dass das betrachtete Unternehmen zur Finanzierung überwiegend Fremdkapital nutzt und nur wenig Eigenkapital in der Bilanz ausweist. Im Gegensatz dazu deutet eine hohe EK-Quote auf ein eher konservativ finanziertes Unternehmen hin, weil der Anteil des Fremdkapitals geringer ausfällt.</w:t>
      </w:r>
    </w:p>
    <w:p w14:paraId="5CF21F9A" w14:textId="77777777" w:rsidR="005D52FF" w:rsidRPr="005D52FF" w:rsidRDefault="005D52FF" w:rsidP="005D52FF">
      <w:r w:rsidRPr="005D52FF">
        <w:t>Jetzt kann man weder eine hohe noch eine niedrige EK-Quote pauschal als gut oder schlecht bezeichnen. Ein gewisser Fremdkapitalanteil ist ohnehin in jedem Unternehmen vorzufinden.</w:t>
      </w:r>
    </w:p>
    <w:p w14:paraId="4FB34A8F" w14:textId="77777777" w:rsidR="005D52FF" w:rsidRPr="005D52FF" w:rsidRDefault="005D52FF" w:rsidP="005D52FF">
      <w:r w:rsidRPr="005D52FF">
        <w:t>Einerseits </w:t>
      </w:r>
      <w:r w:rsidRPr="005D52FF">
        <w:rPr>
          <w:b/>
          <w:bCs/>
        </w:rPr>
        <w:t>verringert eine hohe Eigenkapitalquote die Eigenkapitalrendite</w:t>
      </w:r>
      <w:r w:rsidRPr="005D52FF">
        <w:t>, da das Unternehmen hauptsächlich Eigenkapital statt Fremdkapital eingebracht hat. Andererseits birgt ein zu hoher Anteil an Fremdkapital das Potenzial für eine Überschuldung.</w:t>
      </w:r>
    </w:p>
    <w:p w14:paraId="2C403434" w14:textId="77777777" w:rsidR="005D52FF" w:rsidRPr="005D52FF" w:rsidRDefault="005D52FF" w:rsidP="005D52FF">
      <w:r w:rsidRPr="005D52FF">
        <w:t>Letztlich hängt vieles davon ab, wie stabil das Geschäftsmodell und die daraus resultierenden Umsätze und Gewinne der Aktie sind. Folglich sind die Faktoren Risiko und Rendite sowie der Preis für Fremdkapital entscheidend.</w:t>
      </w:r>
    </w:p>
    <w:p w14:paraId="361F8A14" w14:textId="77777777" w:rsidR="005D52FF" w:rsidRPr="005D52FF" w:rsidRDefault="005D52FF" w:rsidP="005D52FF">
      <w:pPr>
        <w:rPr>
          <w:b/>
          <w:bCs/>
        </w:rPr>
      </w:pPr>
      <w:r w:rsidRPr="005D52FF">
        <w:rPr>
          <w:b/>
          <w:bCs/>
        </w:rPr>
        <w:t>Aktienkennzahl Verschuldungsgrad: Verhältnis von Fremdkapital zu Eigenkapital</w:t>
      </w:r>
    </w:p>
    <w:p w14:paraId="7300FD46" w14:textId="77777777" w:rsidR="005D52FF" w:rsidRPr="005D52FF" w:rsidRDefault="005D52FF" w:rsidP="005D52FF">
      <w:r w:rsidRPr="005D52FF">
        <w:t>Eine weitere Kennzahl zur Einschätzung der finanziellen Stabilität einer Aktie ist der Verschuldungsgrad.</w:t>
      </w:r>
    </w:p>
    <w:p w14:paraId="080168BC" w14:textId="401229AD" w:rsidR="005D52FF" w:rsidRPr="005D52FF" w:rsidRDefault="005D52FF" w:rsidP="005D52FF">
      <w:r w:rsidRPr="00316000">
        <w:rPr>
          <w:noProof/>
        </w:rPr>
        <mc:AlternateContent>
          <mc:Choice Requires="wps">
            <w:drawing>
              <wp:inline distT="0" distB="0" distL="0" distR="0" wp14:anchorId="713605C0" wp14:editId="3B36CAE3">
                <wp:extent cx="304800" cy="304800"/>
                <wp:effectExtent l="0" t="0" r="0" b="0"/>
                <wp:docPr id="1983228077" name="Rechteck 37" descr="Formel für den Verschuldungsgra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09C263" id="Rechteck 37" o:spid="_x0000_s1026" alt="Formel für den Verschuldungsgra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91BA2FA" w14:textId="77777777" w:rsidR="005D52FF" w:rsidRPr="005D52FF" w:rsidRDefault="005D52FF" w:rsidP="005D52FF">
      <w:r w:rsidRPr="005D52FF">
        <w:t>Für die Berechnung des Verschuldungsgrades benötigst du zwei Angaben:</w:t>
      </w:r>
    </w:p>
    <w:p w14:paraId="744830E0" w14:textId="77777777" w:rsidR="005D52FF" w:rsidRPr="005D52FF" w:rsidRDefault="005D52FF" w:rsidP="005D52FF">
      <w:pPr>
        <w:numPr>
          <w:ilvl w:val="0"/>
          <w:numId w:val="35"/>
        </w:numPr>
      </w:pPr>
      <w:r w:rsidRPr="005D52FF">
        <w:t>Fremdkapital</w:t>
      </w:r>
    </w:p>
    <w:p w14:paraId="1087FC56" w14:textId="77777777" w:rsidR="005D52FF" w:rsidRPr="005D52FF" w:rsidRDefault="005D52FF" w:rsidP="005D52FF">
      <w:pPr>
        <w:numPr>
          <w:ilvl w:val="0"/>
          <w:numId w:val="35"/>
        </w:numPr>
      </w:pPr>
      <w:r w:rsidRPr="005D52FF">
        <w:t>Eigenkapital</w:t>
      </w:r>
    </w:p>
    <w:p w14:paraId="4BE82591" w14:textId="77777777" w:rsidR="005D52FF" w:rsidRPr="005D52FF" w:rsidRDefault="005D52FF" w:rsidP="005D52FF">
      <w:r w:rsidRPr="005D52FF">
        <w:t>Diese Finanzkennzahl bezeichnet das </w:t>
      </w:r>
      <w:r w:rsidRPr="005D52FF">
        <w:rPr>
          <w:b/>
          <w:bCs/>
        </w:rPr>
        <w:t>Verhältnis von Fremdkapital zu Eigenkapital</w:t>
      </w:r>
      <w:r w:rsidRPr="005D52FF">
        <w:t>. Sie ist eine Alternative zur Fremdkapitalquote. Auch bei dieser Kennzahl gilt ohne nähere Betrachtung, dass ein höherer Verschuldungsgrad auf eine risikoreichere Aufstellung des Unternehmens hindeutet. Allerdings hat ein sehr niedriger Verschuldungsgrad zur Folge, dass die Eigenkapitalrendite sinkt.</w:t>
      </w:r>
    </w:p>
    <w:p w14:paraId="23F5F99A" w14:textId="77777777" w:rsidR="005D52FF" w:rsidRPr="005D52FF" w:rsidRDefault="005D52FF" w:rsidP="005D52FF">
      <w:r w:rsidRPr="005D52FF">
        <w:t>Du kennst jetzt unsere </w:t>
      </w:r>
      <w:r w:rsidRPr="005D52FF">
        <w:rPr>
          <w:b/>
          <w:bCs/>
        </w:rPr>
        <w:t>Top zehn Aktienkennzahlen</w:t>
      </w:r>
      <w:r w:rsidRPr="005D52FF">
        <w:t>. Zu diesen und vielen weiteren Kennzahlen findest du bei uns ausführliche Artikel.</w:t>
      </w:r>
    </w:p>
    <w:p w14:paraId="2E755F30" w14:textId="77777777" w:rsidR="005D52FF" w:rsidRPr="005D52FF" w:rsidRDefault="005D52FF" w:rsidP="005D52FF">
      <w:pPr>
        <w:rPr>
          <w:b/>
          <w:bCs/>
        </w:rPr>
      </w:pPr>
      <w:r w:rsidRPr="005D52FF">
        <w:rPr>
          <w:b/>
          <w:bCs/>
        </w:rPr>
        <w:lastRenderedPageBreak/>
        <w:t xml:space="preserve">Verwalte dein gesamtes Portfolio mit </w:t>
      </w:r>
      <w:proofErr w:type="spellStart"/>
      <w:r w:rsidRPr="005D52FF">
        <w:rPr>
          <w:b/>
          <w:bCs/>
        </w:rPr>
        <w:t>Parqet</w:t>
      </w:r>
      <w:proofErr w:type="spellEnd"/>
    </w:p>
    <w:p w14:paraId="67D190E6" w14:textId="77777777" w:rsidR="005D52FF" w:rsidRPr="005D52FF" w:rsidRDefault="005D52FF" w:rsidP="005D52FF">
      <w:pPr>
        <w:numPr>
          <w:ilvl w:val="0"/>
          <w:numId w:val="36"/>
        </w:numPr>
      </w:pPr>
      <w:r w:rsidRPr="005D52FF">
        <w:t>Live-Übersicht sämtlicher Depots</w:t>
      </w:r>
    </w:p>
    <w:p w14:paraId="6DB0A6F0" w14:textId="77777777" w:rsidR="005D52FF" w:rsidRPr="005D52FF" w:rsidRDefault="005D52FF" w:rsidP="005D52FF">
      <w:pPr>
        <w:numPr>
          <w:ilvl w:val="0"/>
          <w:numId w:val="36"/>
        </w:numPr>
      </w:pPr>
      <w:r w:rsidRPr="005D52FF">
        <w:t>Automatisch mit Banken verbunden</w:t>
      </w:r>
    </w:p>
    <w:p w14:paraId="2D0127CB" w14:textId="77777777" w:rsidR="005D52FF" w:rsidRPr="005D52FF" w:rsidRDefault="005D52FF" w:rsidP="005D52FF">
      <w:pPr>
        <w:numPr>
          <w:ilvl w:val="0"/>
          <w:numId w:val="36"/>
        </w:numPr>
      </w:pPr>
      <w:r w:rsidRPr="005D52FF">
        <w:t>Steuerreports</w:t>
      </w:r>
    </w:p>
    <w:p w14:paraId="0015F677" w14:textId="77777777" w:rsidR="005D52FF" w:rsidRPr="005D52FF" w:rsidRDefault="005D52FF" w:rsidP="005D52FF">
      <w:pPr>
        <w:rPr>
          <w:b/>
          <w:bCs/>
        </w:rPr>
      </w:pPr>
      <w:r w:rsidRPr="005D52FF">
        <w:rPr>
          <w:b/>
          <w:bCs/>
        </w:rPr>
        <w:t>6. Fazit: Aktienkennzahlen unterstützen dich bei der Bewertung von Aktien</w:t>
      </w:r>
    </w:p>
    <w:p w14:paraId="659CE295" w14:textId="77777777" w:rsidR="005D52FF" w:rsidRPr="005D52FF" w:rsidRDefault="005D52FF" w:rsidP="005D52FF">
      <w:r w:rsidRPr="005D52FF">
        <w:t>Abschließend bekommst du von uns eine Zusammenfassung der wichtigsten Inhalte unseres Ratgebers über Aktienkennzahlen:</w:t>
      </w:r>
    </w:p>
    <w:p w14:paraId="4EAD668A" w14:textId="77777777" w:rsidR="005D52FF" w:rsidRPr="005D52FF" w:rsidRDefault="005D52FF" w:rsidP="005D52FF">
      <w:pPr>
        <w:numPr>
          <w:ilvl w:val="0"/>
          <w:numId w:val="37"/>
        </w:numPr>
      </w:pPr>
      <w:r w:rsidRPr="005D52FF">
        <w:t>Mithilfe von Finanzkennzahlen kannst du eine quantitative Fundamentalanalyse durchführen. Dies ermöglicht es dir, Aktien vor einem Investment zu bewerten und basierend auf Daten eine rationale Anlageentscheidung zu treffen.</w:t>
      </w:r>
    </w:p>
    <w:p w14:paraId="6D439FA3" w14:textId="77777777" w:rsidR="005D52FF" w:rsidRPr="005D52FF" w:rsidRDefault="005D52FF" w:rsidP="005D52FF">
      <w:pPr>
        <w:numPr>
          <w:ilvl w:val="0"/>
          <w:numId w:val="37"/>
        </w:numPr>
      </w:pPr>
      <w:r w:rsidRPr="005D52FF">
        <w:t>Es gibt zahlreiche Finanzkennzahlen, die im Bereich der Aktienanalyse zum Einsatz kommen. Daher ist es besonders wichtig, die Kennzahlen in Kategorien einzuordnen.</w:t>
      </w:r>
    </w:p>
    <w:p w14:paraId="56501272" w14:textId="77777777" w:rsidR="005D52FF" w:rsidRPr="005D52FF" w:rsidRDefault="005D52FF" w:rsidP="005D52FF">
      <w:pPr>
        <w:numPr>
          <w:ilvl w:val="0"/>
          <w:numId w:val="37"/>
        </w:numPr>
      </w:pPr>
      <w:r w:rsidRPr="005D52FF">
        <w:t>Die wichtigsten Kennzahlen der Aktienanalyse messen die finanzielle Stabilität und die Rentabilität eines Unternehmens. Ferner besteht die Möglichkeit, mit diversen Bewertungskennzahlen (KGV, KUV) zu ermitteln, ob eine Aktie eher teuer oder günstig bewertet ist.</w:t>
      </w:r>
    </w:p>
    <w:p w14:paraId="58E07E59" w14:textId="77777777" w:rsidR="005D52FF" w:rsidRPr="005D52FF" w:rsidRDefault="005D52FF" w:rsidP="005D52FF">
      <w:pPr>
        <w:numPr>
          <w:ilvl w:val="0"/>
          <w:numId w:val="37"/>
        </w:numPr>
      </w:pPr>
      <w:r w:rsidRPr="005D52FF">
        <w:t>Ein Unternehmen kann zwar profitabel sein, muss aber deshalb noch lange nicht rentabel wirtschaften. Die Rentabilität setzt den Gewinn/Jahresüberschuss ins Verhältnis zum eingesetzten Kapital.</w:t>
      </w:r>
    </w:p>
    <w:p w14:paraId="375BFB7E" w14:textId="77777777" w:rsidR="005D52FF" w:rsidRPr="005D52FF" w:rsidRDefault="005D52FF" w:rsidP="005D52FF">
      <w:pPr>
        <w:numPr>
          <w:ilvl w:val="0"/>
          <w:numId w:val="37"/>
        </w:numPr>
      </w:pPr>
      <w:r w:rsidRPr="005D52FF">
        <w:t>Neben der quantitativen Aktienanalyse mittels Kennzahlen gibt es noch die qualitative Fundamentalanalyse. Dabei wird primär das Geschäftsmodell eines Unternehmens betrachtet.</w:t>
      </w:r>
    </w:p>
    <w:p w14:paraId="5ECBDE79" w14:textId="77777777" w:rsidR="005D52FF" w:rsidRPr="005D52FF" w:rsidRDefault="005D52FF" w:rsidP="005D52FF">
      <w:r w:rsidRPr="005D52FF">
        <w:t>Aktienkennzahlen sind ein ausgezeichnetes Werkzeug für die Unternehmensanalyse und die Bewertung von Aktien, allerdings gibt es eine große Auswahl an Kennzahlen, wodurch insbesondere Einsteiger den Überblick verlieren könnten. Hinzu kommt noch der Faktor Zeit. Eine umfangreiche Aktienanalyse ist stets mit einem hohen Zeitaufwand verbunden.</w:t>
      </w:r>
    </w:p>
    <w:p w14:paraId="4E22AFA8" w14:textId="77777777" w:rsidR="005D52FF" w:rsidRPr="005D52FF" w:rsidRDefault="005D52FF" w:rsidP="005D52FF">
      <w:r w:rsidRPr="005D52FF">
        <w:lastRenderedPageBreak/>
        <w:t>Ein nicht zu vernachlässigender Faktor ist die Datenqualität. Schließlich sind die Daten die Grundlage für die Berechnung der Aktienkennzahlen, die dann wiederum als Argument für oder gegen ein Investment herangezogen werden.</w:t>
      </w:r>
    </w:p>
    <w:p w14:paraId="23B9A8DC" w14:textId="77777777" w:rsidR="005D52FF" w:rsidRPr="005D52FF" w:rsidRDefault="005D52FF" w:rsidP="005D52FF">
      <w:r w:rsidRPr="005D52FF">
        <w:t>Wenn man all diese Punkte näher betrachtet, so könnte man zum Schluss gelangen, dass eine quantitative Fundamentalanalyse auf Grundlage von Finanzkennzahlen nur für Fortgeschrittene und professionelle Anleger geeignet ist.</w:t>
      </w:r>
    </w:p>
    <w:p w14:paraId="248FB7D2" w14:textId="77777777" w:rsidR="005D52FF" w:rsidRPr="005D52FF" w:rsidRDefault="005D52FF" w:rsidP="005D52FF">
      <w:r w:rsidRPr="005D52FF">
        <w:t>Einsteiger sollten sich daher zunächst mit den Grundlagen vertraut machen und sukzessive ihr Wissen zu den einzelnen Kennzahlen erweitern. Bei uns findest du separate Ratgeber zu allen aufgeführten Finanzkennzahlen.</w:t>
      </w:r>
    </w:p>
    <w:p w14:paraId="7C6A0C59" w14:textId="77777777" w:rsidR="005D52FF" w:rsidRPr="005D52FF" w:rsidRDefault="005D52FF" w:rsidP="005D52FF"/>
    <w:p w14:paraId="30283FD6" w14:textId="77777777" w:rsidR="005D52FF" w:rsidRPr="00316000" w:rsidRDefault="005D52FF" w:rsidP="005D52FF"/>
    <w:p w14:paraId="2A119738" w14:textId="77777777" w:rsidR="005D52FF" w:rsidRPr="00316000" w:rsidRDefault="005D52FF" w:rsidP="005D52FF"/>
    <w:p w14:paraId="44EB4186" w14:textId="77777777" w:rsidR="005D52FF" w:rsidRPr="00316000" w:rsidRDefault="005D52FF" w:rsidP="005D52FF"/>
    <w:p w14:paraId="24A838C8" w14:textId="77777777" w:rsidR="005D52FF" w:rsidRPr="00316000" w:rsidRDefault="005D52FF" w:rsidP="005D52FF"/>
    <w:p w14:paraId="15A97A9D" w14:textId="77777777" w:rsidR="005D52FF" w:rsidRPr="00316000" w:rsidRDefault="005D52FF" w:rsidP="005D52FF"/>
    <w:p w14:paraId="7FC606B9" w14:textId="77777777" w:rsidR="005D52FF" w:rsidRPr="00316000" w:rsidRDefault="005D52FF" w:rsidP="005D52FF"/>
    <w:p w14:paraId="02B0FF9F" w14:textId="77777777" w:rsidR="005D52FF" w:rsidRPr="00316000" w:rsidRDefault="005D52FF" w:rsidP="005D52FF"/>
    <w:p w14:paraId="6C3BC7DE" w14:textId="77777777" w:rsidR="005D52FF" w:rsidRPr="00316000" w:rsidRDefault="005D52FF" w:rsidP="005D52FF"/>
    <w:p w14:paraId="67CF2C18" w14:textId="77777777" w:rsidR="0069769A" w:rsidRPr="00316000" w:rsidRDefault="0069769A" w:rsidP="005D52FF"/>
    <w:p w14:paraId="2BD3C29D" w14:textId="77777777" w:rsidR="0069769A" w:rsidRPr="00316000" w:rsidRDefault="0069769A" w:rsidP="005D52FF"/>
    <w:p w14:paraId="56852A33" w14:textId="77777777" w:rsidR="0069769A" w:rsidRPr="00316000" w:rsidRDefault="0069769A" w:rsidP="005D52FF"/>
    <w:p w14:paraId="119F9E83" w14:textId="77777777" w:rsidR="0069769A" w:rsidRPr="00316000" w:rsidRDefault="0069769A" w:rsidP="005D52FF"/>
    <w:p w14:paraId="53DAFC09" w14:textId="77777777" w:rsidR="0069769A" w:rsidRPr="00316000" w:rsidRDefault="0069769A" w:rsidP="005D52FF"/>
    <w:p w14:paraId="11E9E54C" w14:textId="77777777" w:rsidR="0069769A" w:rsidRPr="00316000" w:rsidRDefault="0069769A" w:rsidP="005D52FF"/>
    <w:p w14:paraId="1E359995" w14:textId="77777777" w:rsidR="0069769A" w:rsidRPr="00316000" w:rsidRDefault="0069769A" w:rsidP="005D52FF"/>
    <w:p w14:paraId="1DFF94CE" w14:textId="77777777" w:rsidR="0069769A" w:rsidRPr="00316000" w:rsidRDefault="0069769A" w:rsidP="005D52FF"/>
    <w:p w14:paraId="2E1D9635" w14:textId="77777777" w:rsidR="0069769A" w:rsidRPr="00316000" w:rsidRDefault="0069769A" w:rsidP="005D52FF"/>
    <w:p w14:paraId="1C65B470" w14:textId="77777777" w:rsidR="0069769A" w:rsidRPr="0069769A" w:rsidRDefault="0069769A" w:rsidP="0069769A">
      <w:pPr>
        <w:rPr>
          <w:b/>
          <w:bCs/>
        </w:rPr>
      </w:pPr>
      <w:r w:rsidRPr="0069769A">
        <w:rPr>
          <w:b/>
          <w:bCs/>
        </w:rPr>
        <w:lastRenderedPageBreak/>
        <w:t>Kennzahlen zu den Basisdaten</w:t>
      </w:r>
    </w:p>
    <w:p w14:paraId="04C7DE5E" w14:textId="77777777" w:rsidR="0069769A" w:rsidRPr="0069769A" w:rsidRDefault="0069769A" w:rsidP="0069769A">
      <w:pPr>
        <w:rPr>
          <w:b/>
          <w:bCs/>
        </w:rPr>
      </w:pPr>
      <w:r w:rsidRPr="0069769A">
        <w:rPr>
          <w:b/>
          <w:bCs/>
        </w:rPr>
        <w:t>#1 – Aktienkurs</w:t>
      </w:r>
    </w:p>
    <w:p w14:paraId="02AA800A" w14:textId="77777777" w:rsidR="0069769A" w:rsidRPr="0069769A" w:rsidRDefault="0069769A" w:rsidP="0069769A">
      <w:r w:rsidRPr="0069769A">
        <w:t>Der Aktienkurs gibt den Preis an, für den ein Unternehmensanteil aktuell gehandelt wird. Gleichzeitig liefert der Aktienkurs durch seine vergangene Entwicklung einen Einblick in den Erfolg oder Misserfolg der letzten Jahre und Jahrzehnte der Aktiengesellschaft.</w:t>
      </w:r>
    </w:p>
    <w:p w14:paraId="61FEA279" w14:textId="77777777" w:rsidR="0069769A" w:rsidRPr="0069769A" w:rsidRDefault="0069769A" w:rsidP="0069769A">
      <w:r w:rsidRPr="0069769A">
        <w:t>Dabei ist ein Unternehmen, dessen Aktie für 100€ gehandelt wird, </w:t>
      </w:r>
      <w:r w:rsidRPr="0069769A">
        <w:rPr>
          <w:u w:val="single"/>
        </w:rPr>
        <w:t>nicht</w:t>
      </w:r>
      <w:r w:rsidRPr="0069769A">
        <w:t> automatisch mehr wert als eine Aktie, die für 10€ gehandelt wird.</w:t>
      </w:r>
    </w:p>
    <w:p w14:paraId="00ABE790" w14:textId="77777777" w:rsidR="0069769A" w:rsidRPr="0069769A" w:rsidRDefault="0069769A" w:rsidP="0069769A">
      <w:r w:rsidRPr="0069769A">
        <w:t>Der Grund: Die Aktienunternehmen geben unterschiedliche Mengen an Aktien heraus. </w:t>
      </w:r>
    </w:p>
    <w:p w14:paraId="536D866E" w14:textId="3D0CEF89" w:rsidR="0069769A" w:rsidRPr="0069769A" w:rsidRDefault="0069769A" w:rsidP="0069769A">
      <w:r w:rsidRPr="0069769A">
        <w:t>Wenn ein Unternehmen 5 Millionen Euro wert ist, aber nur eine einzige Aktie herausgibt, kostet diese eine Aktie 5 Millionen Euro. Trotzdem sind die großen DAX-Konzerne, deren Aktien sich meistens im 1- bis 3-stelligen Bereich bewegen, natürlich viel wertvoller.</w:t>
      </w:r>
    </w:p>
    <w:p w14:paraId="2BCB108A" w14:textId="77777777" w:rsidR="0069769A" w:rsidRPr="0069769A" w:rsidRDefault="0069769A" w:rsidP="0069769A">
      <w:r w:rsidRPr="0069769A">
        <w:t>Merke</w:t>
      </w:r>
    </w:p>
    <w:p w14:paraId="28464B29" w14:textId="77777777" w:rsidR="0069769A" w:rsidRPr="0069769A" w:rsidRDefault="0069769A" w:rsidP="0069769A">
      <w:r w:rsidRPr="0069769A">
        <w:t>Der Aktienkurs allein sagt nichts über die Bewertung einer Aktie aus!</w:t>
      </w:r>
    </w:p>
    <w:p w14:paraId="2BBE333F" w14:textId="77777777" w:rsidR="0069769A" w:rsidRPr="0069769A" w:rsidRDefault="0069769A" w:rsidP="0069769A">
      <w:r w:rsidRPr="0069769A">
        <w:t>Die entscheidende Kennzahl für die aktuelle Bewertung eines Unternehmens ist die…</w:t>
      </w:r>
    </w:p>
    <w:p w14:paraId="0E88E8CB" w14:textId="39532C51" w:rsidR="0069769A" w:rsidRPr="0069769A" w:rsidRDefault="0069769A" w:rsidP="0069769A">
      <w:pPr>
        <w:rPr>
          <w:b/>
          <w:bCs/>
        </w:rPr>
      </w:pPr>
      <w:r w:rsidRPr="0069769A">
        <w:rPr>
          <w:b/>
          <w:bCs/>
        </w:rPr>
        <w:t>#2 – Marktkapitalisierung</w:t>
      </w:r>
    </w:p>
    <w:p w14:paraId="355773E3" w14:textId="77777777" w:rsidR="0069769A" w:rsidRPr="0069769A" w:rsidRDefault="0069769A" w:rsidP="0069769A">
      <w:r w:rsidRPr="0069769A">
        <w:t>Berechnung</w:t>
      </w:r>
    </w:p>
    <w:p w14:paraId="77059185" w14:textId="77777777" w:rsidR="0069769A" w:rsidRPr="0069769A" w:rsidRDefault="0069769A" w:rsidP="0069769A">
      <w:r w:rsidRPr="0069769A">
        <w:t>Marktkapitalisierung = Aktienkurs x Anzahl ausgegebene Aktien</w:t>
      </w:r>
    </w:p>
    <w:p w14:paraId="2BAC9527" w14:textId="77777777" w:rsidR="0069769A" w:rsidRPr="0069769A" w:rsidRDefault="0069769A" w:rsidP="0069769A">
      <w:r w:rsidRPr="0069769A">
        <w:t>Bedeutung: Die Marktkapitalisierung gibt an, wie viel ein Unternehmen aktuell an der Börse wert ist. Deshalb wird diese Kennzahl auch oft als Börsenwert bezeichnet.</w:t>
      </w:r>
    </w:p>
    <w:p w14:paraId="16E2BA22" w14:textId="77777777" w:rsidR="0069769A" w:rsidRPr="0069769A" w:rsidRDefault="0069769A" w:rsidP="0069769A">
      <w:r w:rsidRPr="0069769A">
        <w:t>Fällt der Aktienkurs mal um 10%, hat sich also auch der Börsenwert um 10% (was oft mehreren Milliarden Euro entspricht) verringert.</w:t>
      </w:r>
    </w:p>
    <w:p w14:paraId="130B7056" w14:textId="77777777" w:rsidR="0069769A" w:rsidRPr="0069769A" w:rsidRDefault="0069769A" w:rsidP="0069769A">
      <w:pPr>
        <w:rPr>
          <w:b/>
          <w:bCs/>
        </w:rPr>
      </w:pPr>
      <w:r w:rsidRPr="0069769A">
        <w:rPr>
          <w:b/>
          <w:bCs/>
        </w:rPr>
        <w:t>#3 – Streubesitz</w:t>
      </w:r>
    </w:p>
    <w:p w14:paraId="38E15FBF" w14:textId="77777777" w:rsidR="0069769A" w:rsidRPr="0069769A" w:rsidRDefault="0069769A" w:rsidP="0069769A">
      <w:r w:rsidRPr="0069769A">
        <w:t>Der Streubesitz gibt an, wie viele der ausgegebenen Aktien dem Börsenhandel zur Verfügung stehen.</w:t>
      </w:r>
    </w:p>
    <w:p w14:paraId="3922E752" w14:textId="77777777" w:rsidR="0069769A" w:rsidRPr="0069769A" w:rsidRDefault="0069769A" w:rsidP="0069769A">
      <w:r w:rsidRPr="0069769A">
        <w:lastRenderedPageBreak/>
        <w:t>Welche Aktien stehen dem Handel nicht zur Verfügung? Alle Aktien, die in den Händen von Großaktionären sind. Dazu gehören oft Firmengründer, Großinvestoren, Vermögensverwalter und Investmentfonds.</w:t>
      </w:r>
    </w:p>
    <w:p w14:paraId="0B1112D4" w14:textId="77777777" w:rsidR="0069769A" w:rsidRPr="0069769A" w:rsidRDefault="0069769A" w:rsidP="0069769A">
      <w:r w:rsidRPr="0069769A">
        <w:t>Die Vorteile bei einem großen Streubesitz liegen meistens bei einer hohen Handelbarkeit einer Aktie und einer geringeren Abhängigkeit von den Großaktionären.</w:t>
      </w:r>
    </w:p>
    <w:p w14:paraId="290C00EB" w14:textId="77777777" w:rsidR="0069769A" w:rsidRPr="0069769A" w:rsidRDefault="0069769A" w:rsidP="0069769A">
      <w:r w:rsidRPr="0069769A">
        <w:t>Allerdings können auch gerade Großaktionäre oft langfristiger denken als die breite Masse an Anlegern und lassen sich nicht so schnell verunsichern, was die Schwankungen des Aktienkurses senken kann.</w:t>
      </w:r>
    </w:p>
    <w:p w14:paraId="4C8C1029" w14:textId="77777777" w:rsidR="0069769A" w:rsidRPr="0069769A" w:rsidRDefault="0069769A" w:rsidP="0069769A">
      <w:pPr>
        <w:rPr>
          <w:b/>
          <w:bCs/>
        </w:rPr>
      </w:pPr>
      <w:r w:rsidRPr="0069769A">
        <w:rPr>
          <w:b/>
          <w:bCs/>
        </w:rPr>
        <w:t>#4 – Umsatz</w:t>
      </w:r>
    </w:p>
    <w:p w14:paraId="3454D81A" w14:textId="77777777" w:rsidR="0069769A" w:rsidRPr="0069769A" w:rsidRDefault="0069769A" w:rsidP="0069769A">
      <w:r w:rsidRPr="0069769A">
        <w:t>Der Umsatz sagt noch nichts über die Profitabilität eines Unternehmens aus, ist aber ein Indikator für die Größe eines Unternehmens und fließt in viele andere Kennzahlen mit ein.</w:t>
      </w:r>
    </w:p>
    <w:p w14:paraId="35F323CE" w14:textId="77777777" w:rsidR="0069769A" w:rsidRPr="0069769A" w:rsidRDefault="0069769A" w:rsidP="0069769A">
      <w:r w:rsidRPr="0069769A">
        <w:t>Es ist schlichtweg die Kennzahl, die ohne Berücksichtigung der Kosten angibt: Wie viel hat das Unternehmen eingenommen?</w:t>
      </w:r>
    </w:p>
    <w:p w14:paraId="4BB15ED1" w14:textId="77777777" w:rsidR="0069769A" w:rsidRPr="0069769A" w:rsidRDefault="0069769A" w:rsidP="0069769A">
      <w:r w:rsidRPr="0069769A">
        <w:t>Gerade bei Wachstumsunternehmen, die noch nicht profitabel sind, ist vor allem das Umsatzwachstum relevant und aussagekräftig, sodass du es dort umso stärker in deiner </w:t>
      </w:r>
      <w:hyperlink r:id="rId111" w:tgtFrame="_blank" w:history="1">
        <w:r w:rsidRPr="0069769A">
          <w:rPr>
            <w:rStyle w:val="Hyperlink"/>
            <w:color w:val="auto"/>
          </w:rPr>
          <w:t>Aktienanalyse</w:t>
        </w:r>
      </w:hyperlink>
      <w:r w:rsidRPr="0069769A">
        <w:t> berücksichtigen solltest.</w:t>
      </w:r>
    </w:p>
    <w:p w14:paraId="6E8F4E9E" w14:textId="77777777" w:rsidR="0069769A" w:rsidRPr="0069769A" w:rsidRDefault="0069769A" w:rsidP="0069769A">
      <w:r w:rsidRPr="0069769A">
        <w:t>Aktienkennzahlen zur Profitabilität</w:t>
      </w:r>
    </w:p>
    <w:p w14:paraId="0AC7E34F" w14:textId="77777777" w:rsidR="0069769A" w:rsidRPr="0069769A" w:rsidRDefault="0069769A" w:rsidP="0069769A">
      <w:pPr>
        <w:rPr>
          <w:b/>
          <w:bCs/>
        </w:rPr>
      </w:pPr>
      <w:r w:rsidRPr="0069769A">
        <w:rPr>
          <w:b/>
          <w:bCs/>
        </w:rPr>
        <w:t>#5 – Gewinn</w:t>
      </w:r>
    </w:p>
    <w:p w14:paraId="3168145C" w14:textId="77777777" w:rsidR="0069769A" w:rsidRPr="0069769A" w:rsidRDefault="0069769A" w:rsidP="0069769A">
      <w:r w:rsidRPr="0069769A">
        <w:t>Der Gewinn ist eine der wichtigsten Kennzahlen.</w:t>
      </w:r>
    </w:p>
    <w:p w14:paraId="00E1CBEB" w14:textId="77777777" w:rsidR="0069769A" w:rsidRPr="0069769A" w:rsidRDefault="0069769A" w:rsidP="0069769A">
      <w:r w:rsidRPr="0069769A">
        <w:t>Aber Gewinn ist nicht gleich Gewinn. Hier sind die gängigsten Unterscheidungen das EBITDA, EBIT und der Jahresüberschuss.</w:t>
      </w:r>
    </w:p>
    <w:p w14:paraId="71589637" w14:textId="77777777" w:rsidR="0069769A" w:rsidRPr="0069769A" w:rsidRDefault="0069769A" w:rsidP="0069769A">
      <w:r w:rsidRPr="0069769A">
        <w:t>Du verstehst nur Bahnhof? Keine Angst, das ändern wir sofort.</w:t>
      </w:r>
    </w:p>
    <w:p w14:paraId="6E879D63" w14:textId="46D7E1D0" w:rsidR="0069769A" w:rsidRPr="0069769A" w:rsidRDefault="0069769A" w:rsidP="0069769A"/>
    <w:p w14:paraId="63ADC970" w14:textId="77777777" w:rsidR="0069769A" w:rsidRPr="0069769A" w:rsidRDefault="0069769A" w:rsidP="0069769A">
      <w:r w:rsidRPr="0069769A">
        <w:t>Gewinnberechnung (vereinfacht)</w:t>
      </w:r>
    </w:p>
    <w:p w14:paraId="1D15ABE0" w14:textId="77777777" w:rsidR="0069769A" w:rsidRPr="0069769A" w:rsidRDefault="0069769A" w:rsidP="0069769A">
      <w:r w:rsidRPr="0069769A">
        <w:t>Umsatz</w:t>
      </w:r>
    </w:p>
    <w:p w14:paraId="636F7036" w14:textId="77777777" w:rsidR="0069769A" w:rsidRPr="0069769A" w:rsidRDefault="0069769A" w:rsidP="0069769A">
      <w:r w:rsidRPr="0069769A">
        <w:t>- Produktionskosten</w:t>
      </w:r>
    </w:p>
    <w:p w14:paraId="4530BE87" w14:textId="77777777" w:rsidR="0069769A" w:rsidRPr="0069769A" w:rsidRDefault="0069769A" w:rsidP="0069769A">
      <w:r w:rsidRPr="0069769A">
        <w:t>= EBITDA (Gewinne vor Zinsen, Steuern und Abschreibungen)</w:t>
      </w:r>
    </w:p>
    <w:p w14:paraId="7A0A24FE" w14:textId="77777777" w:rsidR="0069769A" w:rsidRPr="0069769A" w:rsidRDefault="0069769A" w:rsidP="0069769A">
      <w:r w:rsidRPr="0069769A">
        <w:lastRenderedPageBreak/>
        <w:t>- Abschreibungen (Wertverlust von Sachanlagen und immateriellen Gütern)</w:t>
      </w:r>
    </w:p>
    <w:p w14:paraId="723A3050" w14:textId="77777777" w:rsidR="0069769A" w:rsidRPr="0069769A" w:rsidRDefault="0069769A" w:rsidP="0069769A">
      <w:r w:rsidRPr="0069769A">
        <w:t>= EBIT (Gewinne vor Zinsen und Steuern)</w:t>
      </w:r>
    </w:p>
    <w:p w14:paraId="3D5C59A2" w14:textId="77777777" w:rsidR="0069769A" w:rsidRPr="0069769A" w:rsidRDefault="0069769A" w:rsidP="0069769A">
      <w:r w:rsidRPr="0069769A">
        <w:t>- Zinsen</w:t>
      </w:r>
    </w:p>
    <w:p w14:paraId="1AE77D56" w14:textId="77777777" w:rsidR="0069769A" w:rsidRPr="0069769A" w:rsidRDefault="0069769A" w:rsidP="0069769A">
      <w:r w:rsidRPr="0069769A">
        <w:t>- Steuern</w:t>
      </w:r>
    </w:p>
    <w:p w14:paraId="3DC00BC8" w14:textId="77777777" w:rsidR="0069769A" w:rsidRPr="0069769A" w:rsidRDefault="0069769A" w:rsidP="0069769A">
      <w:r w:rsidRPr="0069769A">
        <w:t>= Jahresüberschuss</w:t>
      </w:r>
    </w:p>
    <w:p w14:paraId="0B90D2B3" w14:textId="77777777" w:rsidR="0069769A" w:rsidRPr="0069769A" w:rsidRDefault="0069769A" w:rsidP="0069769A">
      <w:r w:rsidRPr="0069769A">
        <w:t>Bedeutung: Das EBITDA sagt noch nicht viel über den tatsächlichen Gewinn aus, zeigt aber, ob ein Unternehmen aus dem reinen Produktverkauf profitabel ist und lässt dabei andere Kostenpunkte außen vor.</w:t>
      </w:r>
    </w:p>
    <w:p w14:paraId="4DEFC4BD" w14:textId="77777777" w:rsidR="0069769A" w:rsidRPr="0069769A" w:rsidRDefault="0069769A" w:rsidP="0069769A">
      <w:r w:rsidRPr="0069769A">
        <w:t>Das EBIT korrigiert diese Kennzahl um die Abschreibungen (also Wertverluste), die keine Ausgabe darstellen, aber durch einen gesunkenen Wert vom Gewinn abzuziehen sind. Das EBIT wird auch oft als "operatives Ergebnis" bezeichnet.</w:t>
      </w:r>
    </w:p>
    <w:p w14:paraId="081E8E54" w14:textId="6212FF7C" w:rsidR="0069769A" w:rsidRPr="0069769A" w:rsidRDefault="0069769A" w:rsidP="0069769A">
      <w:r w:rsidRPr="0069769A">
        <w:t>Schlussendlich werden als letzte Ausgaben noch die Zinsen für Kredite und die zu zahlenden Steuern abgezogen um festzustellen, wie hoch der letztendliche Gewinn insgesamt war.</w:t>
      </w:r>
    </w:p>
    <w:p w14:paraId="1746E64A" w14:textId="77777777" w:rsidR="0069769A" w:rsidRPr="0069769A" w:rsidRDefault="0069769A" w:rsidP="0069769A">
      <w:r w:rsidRPr="0069769A">
        <w:t>Merke</w:t>
      </w:r>
    </w:p>
    <w:p w14:paraId="15FD7114" w14:textId="77777777" w:rsidR="0069769A" w:rsidRPr="0069769A" w:rsidRDefault="0069769A" w:rsidP="0069769A">
      <w:r w:rsidRPr="0069769A">
        <w:t xml:space="preserve">Das EBITDA </w:t>
      </w:r>
      <w:proofErr w:type="gramStart"/>
      <w:r w:rsidRPr="0069769A">
        <w:t>gibt  an</w:t>
      </w:r>
      <w:proofErr w:type="gramEnd"/>
      <w:r w:rsidRPr="0069769A">
        <w:t xml:space="preserve"> wie profitabel das Kerngeschäft ist, das EBIT inkludiert Abschreibungen und verringert den Gewinn gerade bei kapitalintensiven Unternehmen deutlich, der Jahresüberschuss gibt an, was letztendlich für dich als Aktionär von den Einnahmen </w:t>
      </w:r>
      <w:proofErr w:type="gramStart"/>
      <w:r w:rsidRPr="0069769A">
        <w:t>übrig bleibt</w:t>
      </w:r>
      <w:proofErr w:type="gramEnd"/>
      <w:r w:rsidRPr="0069769A">
        <w:t>.</w:t>
      </w:r>
    </w:p>
    <w:p w14:paraId="36E7CC71" w14:textId="77777777" w:rsidR="0069769A" w:rsidRPr="0069769A" w:rsidRDefault="0069769A" w:rsidP="0069769A">
      <w:pPr>
        <w:rPr>
          <w:b/>
          <w:bCs/>
        </w:rPr>
      </w:pPr>
      <w:r w:rsidRPr="0069769A">
        <w:rPr>
          <w:b/>
          <w:bCs/>
        </w:rPr>
        <w:t>#6 – Gewinnwachstum</w:t>
      </w:r>
    </w:p>
    <w:p w14:paraId="759AE7C6" w14:textId="77777777" w:rsidR="0069769A" w:rsidRPr="0069769A" w:rsidRDefault="0069769A" w:rsidP="0069769A">
      <w:r w:rsidRPr="0069769A">
        <w:t>Das Gewinnwachstum ist schnell erklärt: Diese Aktienkennzahl gibt an, wie stark die Gewinne in einem bestimmten Zeitraum gestiegen sind oder schätzungsweise steigen werden.</w:t>
      </w:r>
    </w:p>
    <w:p w14:paraId="52BA7B7C" w14:textId="77777777" w:rsidR="0069769A" w:rsidRPr="0069769A" w:rsidRDefault="0069769A" w:rsidP="0069769A">
      <w:r w:rsidRPr="0069769A">
        <w:t>Du kannst es also in zwei Richtungen betrachten: Du schaust in die Zukunft oder in die Vergangenheit.</w:t>
      </w:r>
    </w:p>
    <w:p w14:paraId="572014E5" w14:textId="77777777" w:rsidR="0069769A" w:rsidRPr="0069769A" w:rsidRDefault="0069769A" w:rsidP="0069769A">
      <w:r w:rsidRPr="0069769A">
        <w:t>In jedem Fall sind die Schätzungen, die meistens von Analysten aufgestellt werden, mit großer Unsicherheit verbunden: Niemand hat eine Glaskugel.</w:t>
      </w:r>
    </w:p>
    <w:p w14:paraId="04CE6EA9" w14:textId="77777777" w:rsidR="0069769A" w:rsidRPr="0069769A" w:rsidRDefault="0069769A" w:rsidP="0069769A">
      <w:r w:rsidRPr="0069769A">
        <w:t>Nichtsdestotrotz kann das Betrachten des Gewinnwachstums als groben Indikator aus zwei Gründen interessant sein:</w:t>
      </w:r>
    </w:p>
    <w:p w14:paraId="7E77F839" w14:textId="77777777" w:rsidR="0069769A" w:rsidRPr="0069769A" w:rsidRDefault="0069769A" w:rsidP="0069769A">
      <w:pPr>
        <w:numPr>
          <w:ilvl w:val="0"/>
          <w:numId w:val="40"/>
        </w:numPr>
      </w:pPr>
      <w:r w:rsidRPr="0069769A">
        <w:lastRenderedPageBreak/>
        <w:t>Es zeigt dir, ob du es tendenziell mit einem schrumpfenden, stagnierenden oder wachsenden Unternehmen zu tun hast.</w:t>
      </w:r>
    </w:p>
    <w:p w14:paraId="5B7A90B3" w14:textId="77777777" w:rsidR="0069769A" w:rsidRPr="0069769A" w:rsidRDefault="0069769A" w:rsidP="0069769A">
      <w:pPr>
        <w:numPr>
          <w:ilvl w:val="0"/>
          <w:numId w:val="40"/>
        </w:numPr>
      </w:pPr>
      <w:r w:rsidRPr="0069769A">
        <w:t>Du kannst grob erkennen, welche Gewinnerwartungen die Anlegerwelt an die jeweilige Aktie hat, worauf meistens ein Großteil der Aktienbewertung an der Börse beruht, und dies mit deiner eigenen Einschätzung abgleichen.</w:t>
      </w:r>
    </w:p>
    <w:p w14:paraId="1F64F763" w14:textId="6BC9D8B7" w:rsidR="0069769A" w:rsidRPr="0069769A" w:rsidRDefault="0069769A" w:rsidP="0069769A">
      <w:pPr>
        <w:rPr>
          <w:b/>
          <w:bCs/>
        </w:rPr>
      </w:pPr>
      <w:r w:rsidRPr="0069769A">
        <w:rPr>
          <w:b/>
          <w:bCs/>
        </w:rPr>
        <w:t>#7 – Eigenkapitalrendite</w:t>
      </w:r>
    </w:p>
    <w:p w14:paraId="7F7350E0" w14:textId="77777777" w:rsidR="0069769A" w:rsidRPr="0069769A" w:rsidRDefault="0069769A" w:rsidP="0069769A">
      <w:r w:rsidRPr="0069769A">
        <w:t>Berechnung</w:t>
      </w:r>
    </w:p>
    <w:p w14:paraId="05F29F42" w14:textId="77777777" w:rsidR="0069769A" w:rsidRPr="0069769A" w:rsidRDefault="0069769A" w:rsidP="0069769A">
      <w:r w:rsidRPr="0069769A">
        <w:t>Eigenkapitalrendite = Gewinn / Eigenkapital</w:t>
      </w:r>
    </w:p>
    <w:p w14:paraId="47D46072" w14:textId="77777777" w:rsidR="0069769A" w:rsidRPr="0069769A" w:rsidRDefault="0069769A" w:rsidP="0069769A">
      <w:r w:rsidRPr="0069769A">
        <w:t>Bedeutung: Als Aktionär eines Unternehmens bist du Eigenkapitalgeber. Das bedeutet, dass du am Gewinn beteiligt wirst, aber das Risiko der Wertschwankungen und im schlimmsten Fall des Wertverlustes eingehst.</w:t>
      </w:r>
    </w:p>
    <w:p w14:paraId="3984DB78" w14:textId="77777777" w:rsidR="0069769A" w:rsidRPr="0069769A" w:rsidRDefault="0069769A" w:rsidP="0069769A">
      <w:r w:rsidRPr="0069769A">
        <w:t>Das Gegenstück zum Eigenkapital ist das Fremdkapital. Dabei handelt es sich meistens um festverzinsliche Kredite, wie bspw. der klassische Bankkredit.</w:t>
      </w:r>
    </w:p>
    <w:p w14:paraId="2972B017" w14:textId="4566AF9E" w:rsidR="0069769A" w:rsidRPr="0069769A" w:rsidRDefault="0069769A" w:rsidP="0069769A">
      <w:r w:rsidRPr="0069769A">
        <w:t>Die Eigenkapitalrendite als Aktienkennzahl setzt dabei den Gewinn (üblicherweise EBIT oder Jahresüberschuss) ins Verhältnis zu dem von den Aktionären eingesetzten Geld um zu ermitteln, wie rentabel das Aktionärsgeld eingesetzt wird.</w:t>
      </w:r>
    </w:p>
    <w:p w14:paraId="2FDA20EC" w14:textId="77777777" w:rsidR="0069769A" w:rsidRPr="0069769A" w:rsidRDefault="0069769A" w:rsidP="0069769A">
      <w:r w:rsidRPr="0069769A">
        <w:t>Merke</w:t>
      </w:r>
    </w:p>
    <w:p w14:paraId="5E2DCAE9" w14:textId="77777777" w:rsidR="0069769A" w:rsidRPr="0069769A" w:rsidRDefault="0069769A" w:rsidP="0069769A">
      <w:r w:rsidRPr="0069769A">
        <w:t>Je höher die Eigenkapitalrendite, desto rentabler wirtschaftet das Unternehmen mit deinem Geld.</w:t>
      </w:r>
    </w:p>
    <w:p w14:paraId="1DCE29EF" w14:textId="77777777" w:rsidR="0069769A" w:rsidRPr="0069769A" w:rsidRDefault="0069769A" w:rsidP="0069769A">
      <w:r w:rsidRPr="0069769A">
        <w:t>Kennzahlen zur Aktienbewertung</w:t>
      </w:r>
    </w:p>
    <w:p w14:paraId="62455734" w14:textId="3F855B5C" w:rsidR="0069769A" w:rsidRPr="0069769A" w:rsidRDefault="0069769A" w:rsidP="0069769A">
      <w:pPr>
        <w:rPr>
          <w:b/>
          <w:bCs/>
        </w:rPr>
      </w:pPr>
      <w:r w:rsidRPr="0069769A">
        <w:rPr>
          <w:b/>
          <w:bCs/>
        </w:rPr>
        <w:t>#8 – Kurs-Gewinn-Verhältnis (KGV)</w:t>
      </w:r>
    </w:p>
    <w:p w14:paraId="192F455A" w14:textId="77777777" w:rsidR="0069769A" w:rsidRPr="0069769A" w:rsidRDefault="0069769A" w:rsidP="0069769A">
      <w:r w:rsidRPr="0069769A">
        <w:t>Berechnung</w:t>
      </w:r>
    </w:p>
    <w:p w14:paraId="458450E8" w14:textId="77777777" w:rsidR="0069769A" w:rsidRPr="0069769A" w:rsidRDefault="0069769A" w:rsidP="0069769A">
      <w:r w:rsidRPr="0069769A">
        <w:t>Kurs-Gewinn-Verhältnis = Aktienkurs / Gewinn je Aktie</w:t>
      </w:r>
    </w:p>
    <w:p w14:paraId="0020AB81" w14:textId="77777777" w:rsidR="0069769A" w:rsidRPr="0069769A" w:rsidRDefault="0069769A" w:rsidP="0069769A">
      <w:r w:rsidRPr="0069769A">
        <w:t>Bedeutung: Das KGV ist die Mutter aller Kennzahlen zur Aktienbewertung.</w:t>
      </w:r>
    </w:p>
    <w:p w14:paraId="008AAC0C" w14:textId="220D182D" w:rsidR="0069769A" w:rsidRPr="0069769A" w:rsidRDefault="0069769A" w:rsidP="0069769A">
      <w:r w:rsidRPr="0069769A">
        <w:t>Sie setzt den Preis, den du für eine Aktie zahlst (= Aktienkurs) ins Verhältnis zu dem Gewinn, der aktuell auf diese Aktie entfällt (= Gewinn pro Aktie).</w:t>
      </w:r>
    </w:p>
    <w:p w14:paraId="62F6F17B" w14:textId="77777777" w:rsidR="0069769A" w:rsidRPr="0069769A" w:rsidRDefault="0069769A" w:rsidP="0069769A">
      <w:r w:rsidRPr="0069769A">
        <w:t>Beispiel</w:t>
      </w:r>
    </w:p>
    <w:p w14:paraId="369AEB89" w14:textId="77777777" w:rsidR="0069769A" w:rsidRPr="0069769A" w:rsidRDefault="0069769A" w:rsidP="0069769A">
      <w:r w:rsidRPr="0069769A">
        <w:lastRenderedPageBreak/>
        <w:t>Beträgt der Gewinn pro Aktie 10€ und du zahlst 120€ pro Aktie, beträgt das KGV 12. Bei einem KGV von 12 zahlst du also das 12-fache der aktuellen Gewinne.</w:t>
      </w:r>
    </w:p>
    <w:p w14:paraId="704AAF13" w14:textId="77777777" w:rsidR="0069769A" w:rsidRPr="0069769A" w:rsidRDefault="0069769A" w:rsidP="0069769A">
      <w:r w:rsidRPr="0069769A">
        <w:t>Ein niedriges KGV spricht dabei für eine günstige Bewertung, ein hohes für eine teure.</w:t>
      </w:r>
    </w:p>
    <w:p w14:paraId="7C2B509A" w14:textId="77777777" w:rsidR="0069769A" w:rsidRPr="0069769A" w:rsidRDefault="0069769A" w:rsidP="0069769A">
      <w:r w:rsidRPr="0069769A">
        <w:t>Ein niedriges KGV ist gleichzeitig oft ein Indikator für schwierige oder unsichere Zukunftsausschichten, wohingegen ein hohes KGV oft bei Unternehmen zu sehen ist, denen ein hohes und starkes Wachstum prognostiziert wird.</w:t>
      </w:r>
    </w:p>
    <w:p w14:paraId="24C028F2" w14:textId="77777777" w:rsidR="0069769A" w:rsidRPr="0069769A" w:rsidRDefault="0069769A" w:rsidP="0069769A">
      <w:r w:rsidRPr="0069769A">
        <w:t>Trotzdem - oder viel mehr gerade wegen dieser Schwierigkeiten und der damit einhergehenden günstigeren Bewertung - haben sich in Studien Aktien mit niedrigem KGV statistisch eher bewährt und es stellt gleichzeitig eine zentrale Kennzahl im beliebten </w:t>
      </w:r>
      <w:hyperlink r:id="rId112" w:history="1">
        <w:r w:rsidRPr="0069769A">
          <w:rPr>
            <w:rStyle w:val="Hyperlink"/>
            <w:color w:val="auto"/>
          </w:rPr>
          <w:t>Value-</w:t>
        </w:r>
        <w:proofErr w:type="spellStart"/>
        <w:r w:rsidRPr="0069769A">
          <w:rPr>
            <w:rStyle w:val="Hyperlink"/>
            <w:color w:val="auto"/>
          </w:rPr>
          <w:t>Investing</w:t>
        </w:r>
        <w:proofErr w:type="spellEnd"/>
        <w:r w:rsidRPr="0069769A">
          <w:rPr>
            <w:rStyle w:val="Hyperlink"/>
            <w:color w:val="auto"/>
          </w:rPr>
          <w:t xml:space="preserve"> nach Warren Buffett</w:t>
        </w:r>
      </w:hyperlink>
      <w:r w:rsidRPr="0069769A">
        <w:t> dar.</w:t>
      </w:r>
    </w:p>
    <w:p w14:paraId="53585595" w14:textId="25DC747A" w:rsidR="0069769A" w:rsidRPr="0069769A" w:rsidRDefault="0069769A" w:rsidP="0069769A">
      <w:r w:rsidRPr="0069769A">
        <w:t>Beispiele dafür sind Unternehmen wie </w:t>
      </w:r>
      <w:hyperlink r:id="rId113" w:history="1">
        <w:r w:rsidRPr="0069769A">
          <w:rPr>
            <w:rStyle w:val="Hyperlink"/>
            <w:color w:val="auto"/>
          </w:rPr>
          <w:t>Amazon</w:t>
        </w:r>
      </w:hyperlink>
      <w:r w:rsidRPr="0069769A">
        <w:t>, </w:t>
      </w:r>
      <w:hyperlink r:id="rId114" w:history="1">
        <w:r w:rsidRPr="0069769A">
          <w:rPr>
            <w:rStyle w:val="Hyperlink"/>
            <w:color w:val="auto"/>
          </w:rPr>
          <w:t>Tesla</w:t>
        </w:r>
      </w:hyperlink>
      <w:r w:rsidRPr="0069769A">
        <w:t> oder auch Facebook in der Anfangsphase.</w:t>
      </w:r>
    </w:p>
    <w:p w14:paraId="7ED8175B" w14:textId="77777777" w:rsidR="0069769A" w:rsidRPr="0069769A" w:rsidRDefault="0069769A" w:rsidP="0069769A">
      <w:r w:rsidRPr="0069769A">
        <w:t>Merke</w:t>
      </w:r>
    </w:p>
    <w:p w14:paraId="43050348" w14:textId="77777777" w:rsidR="0069769A" w:rsidRPr="0069769A" w:rsidRDefault="0069769A" w:rsidP="0069769A">
      <w:r w:rsidRPr="0069769A">
        <w:t>Kurs-Gewinn-Verhältnisse von 12 - 16 gelten als durchschnittlich. Alles darunter spricht für eine niedrige Bewertung und pessimistischere Zukunftserwartungen, alle Werte darüber für eine höhere Bewertung und damit einhergehend eine höhere Erwartungshaltung an die Gewinne der Zukunft.</w:t>
      </w:r>
    </w:p>
    <w:p w14:paraId="03E81CE6" w14:textId="1A74783A" w:rsidR="0069769A" w:rsidRPr="0069769A" w:rsidRDefault="0069769A" w:rsidP="0069769A">
      <w:pPr>
        <w:rPr>
          <w:b/>
          <w:bCs/>
        </w:rPr>
      </w:pPr>
      <w:r w:rsidRPr="0069769A">
        <w:rPr>
          <w:b/>
          <w:bCs/>
        </w:rPr>
        <w:t>#9 – Kurs-Umsatz-Verhältnis (KUV)</w:t>
      </w:r>
    </w:p>
    <w:p w14:paraId="7AA95C46" w14:textId="77777777" w:rsidR="0069769A" w:rsidRPr="0069769A" w:rsidRDefault="0069769A" w:rsidP="0069769A">
      <w:r w:rsidRPr="0069769A">
        <w:t>Berechnung</w:t>
      </w:r>
    </w:p>
    <w:p w14:paraId="4E45D686" w14:textId="77777777" w:rsidR="0069769A" w:rsidRPr="0069769A" w:rsidRDefault="0069769A" w:rsidP="0069769A">
      <w:r w:rsidRPr="0069769A">
        <w:t>Kurs-Umsatz-Verhältnis = Aktienkurs / Umsatz je Aktie</w:t>
      </w:r>
    </w:p>
    <w:p w14:paraId="6843BE80" w14:textId="77777777" w:rsidR="0069769A" w:rsidRPr="0069769A" w:rsidRDefault="0069769A" w:rsidP="0069769A">
      <w:r w:rsidRPr="0069769A">
        <w:t>Bedeutung: Das KUV verfährt nach dem gleichen Prinzip wie das KGV, nur das hier der Umsatz statt des Gewinns ins Verhältnis zum Aktienkurs gesetzt wird.</w:t>
      </w:r>
    </w:p>
    <w:p w14:paraId="09F01CF4" w14:textId="77777777" w:rsidR="0069769A" w:rsidRPr="0069769A" w:rsidRDefault="0069769A" w:rsidP="0069769A">
      <w:r w:rsidRPr="0069769A">
        <w:t>Die Aussage ist also: Wie viel Geld nimmt das Unternehmen pro Euro, den du in die Aktie investierst, ein?</w:t>
      </w:r>
    </w:p>
    <w:p w14:paraId="5B93780F" w14:textId="77777777" w:rsidR="0069769A" w:rsidRPr="0069769A" w:rsidRDefault="0069769A" w:rsidP="0069769A">
      <w:r w:rsidRPr="0069769A">
        <w:t>Dabei solltest du beachten, dass der Vergleich von Unternehmen mit dieser Kennzahl in erster Linie branchenintern Sinn macht:</w:t>
      </w:r>
    </w:p>
    <w:p w14:paraId="4371B2DD" w14:textId="77777777" w:rsidR="0069769A" w:rsidRPr="0069769A" w:rsidRDefault="0069769A" w:rsidP="0069769A">
      <w:r w:rsidRPr="0069769A">
        <w:t>Kapitalintensive Unternehmen wie bspw. Automobilhersteller haben tendenziell höhere KUVs als Technologieunternehmen, die oft mit wenig Kapital auskommen.</w:t>
      </w:r>
    </w:p>
    <w:p w14:paraId="7DF911AD" w14:textId="6A9B0394" w:rsidR="0069769A" w:rsidRPr="0069769A" w:rsidRDefault="0069769A" w:rsidP="0069769A">
      <w:pPr>
        <w:rPr>
          <w:b/>
          <w:bCs/>
        </w:rPr>
      </w:pPr>
      <w:r w:rsidRPr="0069769A">
        <w:rPr>
          <w:b/>
          <w:bCs/>
        </w:rPr>
        <w:t>#10 – Kurs-Cashflow-Verhältnis (KCV)</w:t>
      </w:r>
    </w:p>
    <w:p w14:paraId="57281674" w14:textId="77777777" w:rsidR="0069769A" w:rsidRPr="0069769A" w:rsidRDefault="0069769A" w:rsidP="0069769A">
      <w:r w:rsidRPr="0069769A">
        <w:lastRenderedPageBreak/>
        <w:t>Berechnung</w:t>
      </w:r>
    </w:p>
    <w:p w14:paraId="37F23CAE" w14:textId="77777777" w:rsidR="0069769A" w:rsidRPr="0069769A" w:rsidRDefault="0069769A" w:rsidP="0069769A">
      <w:r w:rsidRPr="0069769A">
        <w:t>Kurs-Cashflow-Verhältnis = Aktienkurs / Cashflow je Aktie</w:t>
      </w:r>
    </w:p>
    <w:p w14:paraId="630E9F33" w14:textId="77777777" w:rsidR="0069769A" w:rsidRPr="0069769A" w:rsidRDefault="0069769A" w:rsidP="0069769A">
      <w:r w:rsidRPr="0069769A">
        <w:t>Bedeutung: Die Aktienkennzahlen des KCVs und des KGVs sind ähnlich - mit einem kleinen, aber feinen Unterschied:</w:t>
      </w:r>
    </w:p>
    <w:p w14:paraId="42FE4603" w14:textId="77777777" w:rsidR="0069769A" w:rsidRPr="0069769A" w:rsidRDefault="0069769A" w:rsidP="0069769A">
      <w:r w:rsidRPr="0069769A">
        <w:t>Hier beim KCV werden nicht die Gewinne betrachtet, sondern die Zahlungsflüsse. Ein simples Beispiel:</w:t>
      </w:r>
    </w:p>
    <w:p w14:paraId="2FD0BCCE" w14:textId="77777777" w:rsidR="0069769A" w:rsidRPr="0069769A" w:rsidRDefault="0069769A" w:rsidP="0069769A">
      <w:r w:rsidRPr="0069769A">
        <w:t>Kauft ein Unternehmen ein Auto für 50.000€, ändert sich am Gewinn vorerst nichts bis auf den Wertverlust von womöglich 8.000€ im 1. Jahr, da das Auto einen Restwert von 42.000€ hat.</w:t>
      </w:r>
    </w:p>
    <w:p w14:paraId="75E7EAE6" w14:textId="77777777" w:rsidR="0069769A" w:rsidRPr="0069769A" w:rsidRDefault="0069769A" w:rsidP="0069769A">
      <w:r w:rsidRPr="0069769A">
        <w:t xml:space="preserve">Der Cashflow sinkt dadurch jedoch um die vollen 50.000€, da dieses Geld aus dem Unternehmen </w:t>
      </w:r>
      <w:proofErr w:type="gramStart"/>
      <w:r w:rsidRPr="0069769A">
        <w:t>heraus fließt</w:t>
      </w:r>
      <w:proofErr w:type="gramEnd"/>
      <w:r w:rsidRPr="0069769A">
        <w:t>. Es steht dem Unternehmen also nicht für andere Zwecke zur Verfügung.</w:t>
      </w:r>
    </w:p>
    <w:p w14:paraId="5D2B5F02" w14:textId="77777777" w:rsidR="0069769A" w:rsidRPr="0069769A" w:rsidRDefault="0069769A" w:rsidP="0069769A">
      <w:r w:rsidRPr="0069769A">
        <w:t>Das zeigt uns, was die Vor- und Nachteile des KCVs sind:</w:t>
      </w:r>
    </w:p>
    <w:p w14:paraId="63E8A777" w14:textId="77777777" w:rsidR="0069769A" w:rsidRPr="0069769A" w:rsidRDefault="0069769A" w:rsidP="0069769A">
      <w:r w:rsidRPr="0069769A">
        <w:t>Während ein Gewinn mit buchhalterischen Methoden beeinflusst werden kann, ist das beim KCV weniger möglich. Dies ist der Vorteil des KCVs und deshalb wird es oft zur Ergänzung bei der Aktienbewertung herangezogen.</w:t>
      </w:r>
    </w:p>
    <w:p w14:paraId="6F6D74F7" w14:textId="77777777" w:rsidR="0069769A" w:rsidRPr="0069769A" w:rsidRDefault="0069769A" w:rsidP="0069769A">
      <w:r w:rsidRPr="0069769A">
        <w:t>Der Nachteil dieser Aktienkennzahl: Durch hohe einmalige Investitionen kann das KCV eines einzelnen Jahres starken Schwankungen unterliegen.</w:t>
      </w:r>
    </w:p>
    <w:p w14:paraId="405C0DD4" w14:textId="0F3256A6" w:rsidR="0069769A" w:rsidRPr="0069769A" w:rsidRDefault="0069769A" w:rsidP="0069769A">
      <w:pPr>
        <w:rPr>
          <w:b/>
          <w:bCs/>
        </w:rPr>
      </w:pPr>
      <w:r w:rsidRPr="0069769A">
        <w:rPr>
          <w:b/>
          <w:bCs/>
        </w:rPr>
        <w:t>#11 – Kurs-Buchwert-Verhältnis (KBV)</w:t>
      </w:r>
    </w:p>
    <w:p w14:paraId="268B669E" w14:textId="77777777" w:rsidR="0069769A" w:rsidRPr="0069769A" w:rsidRDefault="0069769A" w:rsidP="0069769A">
      <w:r w:rsidRPr="0069769A">
        <w:t>Berechnung</w:t>
      </w:r>
    </w:p>
    <w:p w14:paraId="4CEC84C1" w14:textId="77777777" w:rsidR="0069769A" w:rsidRPr="0069769A" w:rsidRDefault="0069769A" w:rsidP="0069769A">
      <w:r w:rsidRPr="0069769A">
        <w:t>Kurs-Buchwert-Verhältnis = Aktienkurs / Buchwert je Aktie</w:t>
      </w:r>
    </w:p>
    <w:p w14:paraId="28ADB349" w14:textId="77777777" w:rsidR="0069769A" w:rsidRPr="0069769A" w:rsidRDefault="0069769A" w:rsidP="0069769A">
      <w:r w:rsidRPr="0069769A">
        <w:t>Bedeutung: Das KBV ist eine Kennzahl mit langer Tradition in der Fundamentalanalyse und Unternehmensbewertung. Während die vorherigen Aktienkennzahlen eher ertragsorientiert waren, ist das KBV substanzorientiert.</w:t>
      </w:r>
    </w:p>
    <w:p w14:paraId="2AC3C2D3" w14:textId="77777777" w:rsidR="0069769A" w:rsidRPr="0069769A" w:rsidRDefault="0069769A" w:rsidP="0069769A">
      <w:r w:rsidRPr="0069769A">
        <w:t>Der Buchwert besteht vereinfacht gesagt aus dem Eigenkapital, das ein Unternehmen besitzt.</w:t>
      </w:r>
    </w:p>
    <w:p w14:paraId="696C9B51" w14:textId="50D432BA" w:rsidR="0069769A" w:rsidRPr="0069769A" w:rsidRDefault="0069769A" w:rsidP="0069769A">
      <w:r w:rsidRPr="0069769A">
        <w:t>Das KBV gibt also an, wie hoch das Vermögen ist, das auf jeden Euro entfällt, den du in das Aktienunternehmen investierst.</w:t>
      </w:r>
    </w:p>
    <w:p w14:paraId="068F6B10" w14:textId="77777777" w:rsidR="0069769A" w:rsidRPr="0069769A" w:rsidRDefault="0069769A" w:rsidP="0069769A">
      <w:r w:rsidRPr="0069769A">
        <w:t>Beispiel</w:t>
      </w:r>
    </w:p>
    <w:p w14:paraId="470B0939" w14:textId="77777777" w:rsidR="0069769A" w:rsidRPr="0069769A" w:rsidRDefault="0069769A" w:rsidP="0069769A">
      <w:r w:rsidRPr="0069769A">
        <w:lastRenderedPageBreak/>
        <w:t>Auf eine Aktie der Aktienboss AG entfallen 30€ Buchwert. Notiert der Aktienkurs bei 30€ entspricht das einem KBV von 1, also entspricht der Buchwert dem Marktwert.</w:t>
      </w:r>
    </w:p>
    <w:p w14:paraId="0D6DA355" w14:textId="77777777" w:rsidR="0069769A" w:rsidRPr="0069769A" w:rsidRDefault="0069769A" w:rsidP="0069769A">
      <w:r w:rsidRPr="0069769A">
        <w:t>Liegt der Aktienkurs höher steigt das KBV und die Aktie ist teurer bewertet und umgekehrt.</w:t>
      </w:r>
    </w:p>
    <w:p w14:paraId="421F9C44" w14:textId="77777777" w:rsidR="0069769A" w:rsidRPr="0069769A" w:rsidRDefault="0069769A" w:rsidP="0069769A">
      <w:r w:rsidRPr="0069769A">
        <w:t>Ja, es gibt tatsächlich Aktien, bei denen du 1€ bezahlst und dafür mehr Geld, also bspw. 1,20€, an Unternehmenskapital erhältst. Das geht meistens mit Verlusterwartungen für die nächsten Jahre einher, die das Eigenkapital senken können.</w:t>
      </w:r>
    </w:p>
    <w:p w14:paraId="026CEA82" w14:textId="75443DE3" w:rsidR="0069769A" w:rsidRPr="0069769A" w:rsidRDefault="0069769A" w:rsidP="0069769A">
      <w:pPr>
        <w:rPr>
          <w:b/>
          <w:bCs/>
        </w:rPr>
      </w:pPr>
      <w:r w:rsidRPr="0069769A">
        <w:rPr>
          <w:b/>
          <w:bCs/>
        </w:rPr>
        <w:t>#12 – Dividendenrendite</w:t>
      </w:r>
    </w:p>
    <w:p w14:paraId="276D3A5F" w14:textId="77777777" w:rsidR="0069769A" w:rsidRPr="0069769A" w:rsidRDefault="0069769A" w:rsidP="0069769A">
      <w:r w:rsidRPr="0069769A">
        <w:t>Berechnung</w:t>
      </w:r>
    </w:p>
    <w:p w14:paraId="24650A62" w14:textId="77777777" w:rsidR="0069769A" w:rsidRPr="0069769A" w:rsidRDefault="0069769A" w:rsidP="0069769A">
      <w:r w:rsidRPr="0069769A">
        <w:t>Dividendenrendite = Dividende / Aktienkurs</w:t>
      </w:r>
    </w:p>
    <w:p w14:paraId="2A9EB192" w14:textId="6A75E1A0" w:rsidR="0069769A" w:rsidRPr="0069769A" w:rsidRDefault="0069769A" w:rsidP="0069769A">
      <w:r w:rsidRPr="0069769A">
        <w:t>Bedeutung: Die Dividendenrendite gibt an, wie hoch die Ausschüttung pro Euro, den du investierst, zuletzt ausgefallen ist.</w:t>
      </w:r>
    </w:p>
    <w:p w14:paraId="250F00B0" w14:textId="77777777" w:rsidR="0069769A" w:rsidRPr="0069769A" w:rsidRDefault="0069769A" w:rsidP="0069769A">
      <w:r w:rsidRPr="0069769A">
        <w:t>Beispiel</w:t>
      </w:r>
    </w:p>
    <w:p w14:paraId="4B9A20D3" w14:textId="77777777" w:rsidR="0069769A" w:rsidRPr="0069769A" w:rsidRDefault="0069769A" w:rsidP="0069769A">
      <w:r w:rsidRPr="0069769A">
        <w:t>Beträgt der Aktienkurs 100€ und es werden 3€ pro Aktie ausgeschüttet, beträgt die Dividendenrendite 3%.</w:t>
      </w:r>
    </w:p>
    <w:p w14:paraId="72EA2407" w14:textId="77777777" w:rsidR="0069769A" w:rsidRPr="0069769A" w:rsidRDefault="0069769A" w:rsidP="0069769A">
      <w:r w:rsidRPr="0069769A">
        <w:t>Eine Dividende wird vor allem von Dividenden-Investoren sehr geschätzt, die das Geld manuell reinvestieren wollen oder sich das Leben mit einem passiven Einkommen versüßen wollen.</w:t>
      </w:r>
    </w:p>
    <w:p w14:paraId="1B751788" w14:textId="77777777" w:rsidR="0069769A" w:rsidRPr="0069769A" w:rsidRDefault="0069769A" w:rsidP="0069769A">
      <w:r w:rsidRPr="0069769A">
        <w:t>Aktienkennzahlen zur finanziellen Stabilität</w:t>
      </w:r>
    </w:p>
    <w:p w14:paraId="0BA4654A" w14:textId="71BEFE24" w:rsidR="0069769A" w:rsidRPr="0069769A" w:rsidRDefault="0069769A" w:rsidP="0069769A">
      <w:pPr>
        <w:rPr>
          <w:b/>
          <w:bCs/>
        </w:rPr>
      </w:pPr>
      <w:r w:rsidRPr="0069769A">
        <w:rPr>
          <w:b/>
          <w:bCs/>
        </w:rPr>
        <w:t>#13 – Eigenkapitalquote (EKQ)</w:t>
      </w:r>
    </w:p>
    <w:p w14:paraId="3CCE8E8A" w14:textId="77777777" w:rsidR="0069769A" w:rsidRPr="0069769A" w:rsidRDefault="0069769A" w:rsidP="0069769A">
      <w:r w:rsidRPr="0069769A">
        <w:t>Berechnung</w:t>
      </w:r>
    </w:p>
    <w:p w14:paraId="5B3F28FC" w14:textId="77777777" w:rsidR="0069769A" w:rsidRPr="0069769A" w:rsidRDefault="0069769A" w:rsidP="0069769A">
      <w:r w:rsidRPr="0069769A">
        <w:t>Eigenkapitalquote = Eigenkapital / Bilanzsumme</w:t>
      </w:r>
    </w:p>
    <w:p w14:paraId="2114381F" w14:textId="77777777" w:rsidR="0069769A" w:rsidRPr="0069769A" w:rsidRDefault="0069769A" w:rsidP="0069769A">
      <w:r w:rsidRPr="0069769A">
        <w:t>Bedeutung: Was Eigenkapital ist habe ich dir bereits bei der Eigenkapitalrendite erklärt.</w:t>
      </w:r>
    </w:p>
    <w:p w14:paraId="32E06745" w14:textId="7D17A825" w:rsidR="0069769A" w:rsidRPr="0069769A" w:rsidRDefault="0069769A" w:rsidP="0069769A">
      <w:r w:rsidRPr="0069769A">
        <w:t>Über die Rendite hinaus ist die Quote des Eigenkapitals allerdings eine zentrale Kennzahl für die finanzielle Stabilität eines Unternehmens:</w:t>
      </w:r>
    </w:p>
    <w:p w14:paraId="65E6A139" w14:textId="77777777" w:rsidR="0069769A" w:rsidRPr="0069769A" w:rsidRDefault="0069769A" w:rsidP="0069769A">
      <w:r w:rsidRPr="0069769A">
        <w:t>Merke</w:t>
      </w:r>
    </w:p>
    <w:p w14:paraId="5BC3FBC5" w14:textId="77777777" w:rsidR="0069769A" w:rsidRPr="0069769A" w:rsidRDefault="0069769A" w:rsidP="0069769A">
      <w:r w:rsidRPr="0069769A">
        <w:lastRenderedPageBreak/>
        <w:t>Je höher der Eigenkapitalanteil ist, desto kreditwürdiger und weniger krisenanfällig wird ein Unternehmen eingeschätzt.</w:t>
      </w:r>
    </w:p>
    <w:p w14:paraId="089E9C45" w14:textId="77777777" w:rsidR="0069769A" w:rsidRPr="0069769A" w:rsidRDefault="0069769A" w:rsidP="0069769A">
      <w:r w:rsidRPr="0069769A">
        <w:t>Liegt die EK-Quote bei 100%, bedeutet das, dass keine Schulden vorhanden sind und das gesamte Kapital von den Eigenkapitalgebern stammt.</w:t>
      </w:r>
    </w:p>
    <w:p w14:paraId="47DDC587" w14:textId="77777777" w:rsidR="0069769A" w:rsidRPr="0069769A" w:rsidRDefault="0069769A" w:rsidP="0069769A">
      <w:r w:rsidRPr="0069769A">
        <w:t>Eine EK-Quote von 100% gibt es allerdings kaum, da sie meistens nicht wünschenswert ist: Oft ist es viel rentabler einen günstigen Kredit für eine profitable Investition aufzunehmen, statt neues Eigenkapital einzusetzen und den Gewinn mit mehr Anlegern teilen zu müssen.</w:t>
      </w:r>
    </w:p>
    <w:p w14:paraId="02653926" w14:textId="386C8F46" w:rsidR="0069769A" w:rsidRPr="0069769A" w:rsidRDefault="0069769A" w:rsidP="0069769A">
      <w:r w:rsidRPr="0069769A">
        <w:t>Eine EK-Quote von 0% bedeutet dagegen, dass kein Kapital von Eigenkapitalgebern (mehr) vorhanden ist und das Unternehmen komplett auf geliehenem Geld aufgebaut ist.</w:t>
      </w:r>
    </w:p>
    <w:p w14:paraId="004E0CDF" w14:textId="77777777" w:rsidR="0069769A" w:rsidRPr="0069769A" w:rsidRDefault="0069769A" w:rsidP="0069769A">
      <w:r w:rsidRPr="0069769A">
        <w:t>Merke</w:t>
      </w:r>
    </w:p>
    <w:p w14:paraId="4D5084FB" w14:textId="77777777" w:rsidR="0069769A" w:rsidRPr="0069769A" w:rsidRDefault="0069769A" w:rsidP="0069769A">
      <w:r w:rsidRPr="0069769A">
        <w:t>Die Eigenkapitalquote sollte dabei eher bei einem Vergleich innerhalb einer Branche verwendet werden, da die EK-Quoten bei Kreditinstituten üblicherweise viel geringer sind als bei kapitalintensiven Unternehmen.</w:t>
      </w:r>
    </w:p>
    <w:p w14:paraId="1AAA2C63" w14:textId="0A234F15" w:rsidR="0069769A" w:rsidRPr="0069769A" w:rsidRDefault="0069769A" w:rsidP="0069769A">
      <w:pPr>
        <w:rPr>
          <w:b/>
          <w:bCs/>
        </w:rPr>
      </w:pPr>
      <w:r w:rsidRPr="0069769A">
        <w:rPr>
          <w:b/>
          <w:bCs/>
        </w:rPr>
        <w:t>#14 – Verschuldungsgrad</w:t>
      </w:r>
    </w:p>
    <w:p w14:paraId="0D759F25" w14:textId="77777777" w:rsidR="0069769A" w:rsidRPr="0069769A" w:rsidRDefault="0069769A" w:rsidP="0069769A">
      <w:r w:rsidRPr="0069769A">
        <w:t>Berechnung</w:t>
      </w:r>
    </w:p>
    <w:p w14:paraId="7467055C" w14:textId="77777777" w:rsidR="0069769A" w:rsidRPr="0069769A" w:rsidRDefault="0069769A" w:rsidP="0069769A">
      <w:r w:rsidRPr="0069769A">
        <w:t>Verschuldungsgrad = Fremdkapital / Eigenkapital</w:t>
      </w:r>
    </w:p>
    <w:p w14:paraId="2F45A018" w14:textId="77777777" w:rsidR="0069769A" w:rsidRPr="0069769A" w:rsidRDefault="0069769A" w:rsidP="0069769A">
      <w:r w:rsidRPr="0069769A">
        <w:t>Bedeutung: Der Verschuldungsgrad hat eine ähnliche Aussage wie die Eigenkapitalquote, unterscheidet sich aber in seiner Berechnung.</w:t>
      </w:r>
    </w:p>
    <w:p w14:paraId="46174684" w14:textId="43148DF8" w:rsidR="0069769A" w:rsidRPr="0069769A" w:rsidRDefault="0069769A" w:rsidP="0069769A">
      <w:r w:rsidRPr="0069769A">
        <w:t>Hier gelten daher die gleichen Gesetze: Je höher der Verschuldungsgrad, desto riskanter ist ein Unternehmen generell einzuschätzen.</w:t>
      </w:r>
    </w:p>
    <w:p w14:paraId="05F91F88" w14:textId="77777777" w:rsidR="0069769A" w:rsidRPr="0069769A" w:rsidRDefault="0069769A" w:rsidP="0069769A">
      <w:r w:rsidRPr="0069769A">
        <w:t>Beispiel</w:t>
      </w:r>
    </w:p>
    <w:p w14:paraId="413B5542" w14:textId="77777777" w:rsidR="0069769A" w:rsidRPr="0069769A" w:rsidRDefault="0069769A" w:rsidP="0069769A">
      <w:r w:rsidRPr="0069769A">
        <w:t>Ein Unternehmen hat eine Bilanzsumme von 10 Mrd. Euro. Davon entfallen 4 Mrd. Euro auf das Eigenkapital und 6 Mrd. Euro auf das Fremdkapital. Damit beträgt der Verschuldungsgrad 150% (6 Mrd. Euro / 4 Mrd. Euro).</w:t>
      </w:r>
    </w:p>
    <w:p w14:paraId="454BED25" w14:textId="757EF22C" w:rsidR="0069769A" w:rsidRPr="0069769A" w:rsidRDefault="0069769A" w:rsidP="0069769A">
      <w:pPr>
        <w:rPr>
          <w:b/>
          <w:bCs/>
        </w:rPr>
      </w:pPr>
      <w:r w:rsidRPr="0069769A">
        <w:rPr>
          <w:b/>
          <w:bCs/>
        </w:rPr>
        <w:t>#15 – Zinsdeckungsgrad</w:t>
      </w:r>
    </w:p>
    <w:p w14:paraId="0CD58BEC" w14:textId="77777777" w:rsidR="0069769A" w:rsidRPr="0069769A" w:rsidRDefault="0069769A" w:rsidP="0069769A">
      <w:r w:rsidRPr="0069769A">
        <w:t>Berechnung</w:t>
      </w:r>
    </w:p>
    <w:p w14:paraId="77658A4A" w14:textId="77777777" w:rsidR="0069769A" w:rsidRPr="0069769A" w:rsidRDefault="0069769A" w:rsidP="0069769A">
      <w:r w:rsidRPr="0069769A">
        <w:t>Zinsdeckungsgrad = EBIT / Zinsaufwand</w:t>
      </w:r>
    </w:p>
    <w:p w14:paraId="0D772382" w14:textId="77777777" w:rsidR="0069769A" w:rsidRPr="0069769A" w:rsidRDefault="0069769A" w:rsidP="0069769A">
      <w:r w:rsidRPr="0069769A">
        <w:lastRenderedPageBreak/>
        <w:t>Bedeutung: Die letzte Aktienkennzahl, der Zinsdeckungsgrad, gibt an, inwiefern es ein Unternehmen schafft die Zinsen seiner Kredite zurückzubezahlen.</w:t>
      </w:r>
    </w:p>
    <w:p w14:paraId="2E99F7FC" w14:textId="77777777" w:rsidR="0069769A" w:rsidRPr="0069769A" w:rsidRDefault="0069769A" w:rsidP="0069769A">
      <w:r w:rsidRPr="0069769A">
        <w:t>Dazu wird der Gewinn (meistens EBIT oder EBITDA) ins Verhältnis zu den zu zahlenden Zinsen für das Fremdkapital gesetzt.</w:t>
      </w:r>
    </w:p>
    <w:p w14:paraId="63CB5C81" w14:textId="77777777" w:rsidR="0069769A" w:rsidRPr="0069769A" w:rsidRDefault="0069769A" w:rsidP="0069769A">
      <w:r w:rsidRPr="0069769A">
        <w:t>Dabei greift diese Kennzahl oft Hand in Hand mit dem Verschuldungsgrad, da die Zinsbelastung i.d.R. dann höher ist, wenn auch der Verschuldungsgrad höher ist.</w:t>
      </w:r>
    </w:p>
    <w:p w14:paraId="0BA8B887" w14:textId="77777777" w:rsidR="0069769A" w:rsidRPr="0069769A" w:rsidRDefault="0069769A" w:rsidP="0069769A">
      <w:r w:rsidRPr="0069769A">
        <w:t>Liegt der Zinsdeckungsgrad unter 1,0 sollten bei dir die Alarmglocken läuten: </w:t>
      </w:r>
    </w:p>
    <w:p w14:paraId="62BBC997" w14:textId="77777777" w:rsidR="0069769A" w:rsidRPr="0069769A" w:rsidRDefault="0069769A" w:rsidP="0069769A">
      <w:r w:rsidRPr="0069769A">
        <w:t>Das Unternehmen hat es dann zuletzt nicht geschafft, einen Gewinn zu erwirtschaften, der ausreichen würde, um die Zinsen der Kredite zu decken.</w:t>
      </w:r>
    </w:p>
    <w:p w14:paraId="7B6615AB" w14:textId="77777777" w:rsidR="0069769A" w:rsidRPr="00316000" w:rsidRDefault="0069769A" w:rsidP="005D52FF"/>
    <w:p w14:paraId="3914C080" w14:textId="77777777" w:rsidR="00B97EE9" w:rsidRPr="00316000" w:rsidRDefault="00B97EE9" w:rsidP="005D52FF"/>
    <w:p w14:paraId="19848874" w14:textId="77777777" w:rsidR="00B97EE9" w:rsidRPr="00316000" w:rsidRDefault="00B97EE9" w:rsidP="005D52FF"/>
    <w:p w14:paraId="475054EE" w14:textId="77777777" w:rsidR="00B97EE9" w:rsidRPr="00316000" w:rsidRDefault="00B97EE9" w:rsidP="005D52FF"/>
    <w:p w14:paraId="27EA7DB3" w14:textId="77777777" w:rsidR="00B97EE9" w:rsidRPr="00316000" w:rsidRDefault="00B97EE9" w:rsidP="005D52FF"/>
    <w:p w14:paraId="0F09F66F" w14:textId="77777777" w:rsidR="00B97EE9" w:rsidRPr="00316000" w:rsidRDefault="00B97EE9" w:rsidP="005D52FF"/>
    <w:p w14:paraId="053D35FD" w14:textId="77777777" w:rsidR="00B97EE9" w:rsidRPr="00316000" w:rsidRDefault="00B97EE9" w:rsidP="005D52FF"/>
    <w:p w14:paraId="64166B9B" w14:textId="77777777" w:rsidR="00B97EE9" w:rsidRPr="00316000" w:rsidRDefault="00B97EE9" w:rsidP="005D52FF"/>
    <w:p w14:paraId="37C6EAD5" w14:textId="77777777" w:rsidR="00E15ABE" w:rsidRPr="00E15ABE" w:rsidRDefault="00E15ABE" w:rsidP="00E15ABE">
      <w:pPr>
        <w:spacing w:line="256" w:lineRule="auto"/>
        <w:jc w:val="left"/>
        <w:rPr>
          <w:rFonts w:ascii="Aptos" w:eastAsia="Aptos" w:hAnsi="Aptos" w:cs="Times New Roman"/>
          <w:sz w:val="22"/>
        </w:rPr>
      </w:pPr>
      <w:r w:rsidRPr="00E15ABE">
        <w:rPr>
          <w:rFonts w:ascii="Aptos" w:eastAsia="Aptos" w:hAnsi="Aptos" w:cs="Times New Roman"/>
          <w:sz w:val="22"/>
        </w:rPr>
        <w:t>Kennzahlen zu Ertrag und Rentabilität</w:t>
      </w:r>
    </w:p>
    <w:p w14:paraId="652BAF8A" w14:textId="77777777" w:rsidR="00E15ABE" w:rsidRPr="00E15ABE" w:rsidRDefault="00E15ABE" w:rsidP="00E15ABE">
      <w:pPr>
        <w:spacing w:line="256" w:lineRule="auto"/>
        <w:jc w:val="left"/>
        <w:rPr>
          <w:rFonts w:ascii="Aptos" w:eastAsia="Aptos" w:hAnsi="Aptos" w:cs="Times New Roman"/>
          <w:sz w:val="22"/>
        </w:rPr>
      </w:pPr>
      <w:r w:rsidRPr="00E15ABE">
        <w:rPr>
          <w:rFonts w:ascii="Aptos" w:eastAsia="Aptos" w:hAnsi="Aptos" w:cs="Times New Roman"/>
          <w:sz w:val="22"/>
        </w:rPr>
        <w:t>Gewinnmaximierung ist eines der wichtigsten Unternehmensziele in der Betriebswirtschaftslehre. Gewinn entsteht dabei durch den Einsatz von Kapital unter Unsicherheit. Ein Bäcker benötigt etwa eine Filiale, eine Backstube und Waren, um mit diesem Kapital die operative Tätigkeit durchzuführen und einen Gewinn zu erzielen. Um den Erfolg einer Unternehmung zu messen, müssen daher beide Seiten der Gleichung betrachtet werden: Gewinn und benötigtes Kapital. Je größer der Gewinn und je geringer die dazu notwendige Kapitalbasis, desto rentabler wirtschaftet ein Unternehmen. Die Rentabilität stellt daher ein wichtiges Maß der Unternehmensbewertung dar. Dieses Kapitel beschäftigt sich mit der Frage, wie Rentabilität gemessen werden kann und welche Aussagekraft diesen Ergebnissen zukommt. Anhand von Fallbeispielen werden verschiedene Rentabilitätskennzahlen erläutert, die als grundlegende Werkzeuge der Unternehmensbewertung dienen. Der Gewinn oder Jahresüberschuss ist die meistbeachtete betriebswirtschaftliche Kenngröße. Die Aussagekraft dieser Erfolgsgröße lässt allerdings nur einen begrenzten Rückschluss auf den Wert eines Unternehmens zu, solange dieser nicht in Bezug zu anderen Kenngrößen gesetzt wird. Betrachten wir dazu die Entwicklung der Konzernergebnisse zweier fiktiver Unternehmen.</w:t>
      </w:r>
    </w:p>
    <w:p w14:paraId="57FA29E2" w14:textId="77777777" w:rsidR="00E15ABE" w:rsidRPr="00E15ABE" w:rsidRDefault="00E15ABE" w:rsidP="00E15ABE">
      <w:pPr>
        <w:spacing w:line="256" w:lineRule="auto"/>
        <w:jc w:val="left"/>
        <w:rPr>
          <w:rFonts w:ascii="Aptos" w:eastAsia="Aptos" w:hAnsi="Aptos" w:cs="Times New Roman"/>
          <w:sz w:val="22"/>
        </w:rPr>
      </w:pPr>
      <w:r w:rsidRPr="00E15ABE">
        <w:rPr>
          <w:rFonts w:ascii="Aptos" w:eastAsia="Aptos" w:hAnsi="Aptos" w:cs="Times New Roman"/>
          <w:sz w:val="22"/>
        </w:rPr>
        <w:lastRenderedPageBreak/>
        <w:t>1. Eigenkapitalrendite</w:t>
      </w:r>
    </w:p>
    <w:p w14:paraId="33259A65" w14:textId="77777777" w:rsidR="00E15ABE" w:rsidRPr="00E15ABE" w:rsidRDefault="00E15ABE" w:rsidP="00E15ABE">
      <w:pPr>
        <w:spacing w:line="256" w:lineRule="auto"/>
        <w:jc w:val="left"/>
        <w:rPr>
          <w:rFonts w:ascii="Aptos" w:eastAsia="Aptos" w:hAnsi="Aptos" w:cs="Times New Roman"/>
          <w:sz w:val="22"/>
        </w:rPr>
      </w:pPr>
      <w:r w:rsidRPr="00E15ABE">
        <w:rPr>
          <w:rFonts w:ascii="Aptos" w:eastAsia="Aptos" w:hAnsi="Aptos" w:cs="Times New Roman"/>
          <w:sz w:val="22"/>
        </w:rPr>
        <w:t>Die Eigenkapitalrendite gibt die Verzinsung des von den Eigenkapitalgebern eingebrachten Kapitals an. Zur Berechnung dieser wichtigen Kennzahl wird der erwirtschaftete Jahresüberschuss mit dem durchschnittlichen Eigenkapital des Geschäftsjahres ins Verhältnis gesetzt. Es ist wichtig, den Jahresüberschuss und das Eigenkapital nach Anteilen Dritter bei der Berechnung heranzuziehen, um nur Erfolgsgrößen zu berücksichtigen, die den Aktionären auch tatsächlich zustehen. In Nenner wird das durchschnittliche Eigenkapital herangezogen, da mit diesem über das Jahr verteilt der Gewinn erzielt wurde.</w:t>
      </w:r>
    </w:p>
    <w:p w14:paraId="44A0DF9F" w14:textId="77777777" w:rsidR="00E15ABE" w:rsidRPr="00E15ABE" w:rsidRDefault="00E15ABE" w:rsidP="00E15ABE">
      <w:pPr>
        <w:spacing w:line="256" w:lineRule="auto"/>
        <w:jc w:val="left"/>
        <w:rPr>
          <w:rFonts w:ascii="Aptos" w:eastAsia="Aptos" w:hAnsi="Aptos" w:cs="Times New Roman"/>
          <w:sz w:val="22"/>
        </w:rPr>
      </w:pPr>
      <w:r w:rsidRPr="00E15ABE">
        <w:rPr>
          <w:rFonts w:ascii="Aptos" w:eastAsia="Aptos" w:hAnsi="Aptos" w:cs="Times New Roman"/>
          <w:sz w:val="22"/>
        </w:rPr>
        <w:t>Das Ergebnis gibt die Verzinsung des eingebrachten Kapitals wieder und bietet Investoren eine Vergleichsgröße zwischen verschiedenen Anlagen. Auf Beispiel 2.1 angewandt ergibt sich für Unternehmen A im Jahr 2020 eine Eigenkapitalrendite von 2 % (100 € / 5.000 €). Hätten die Investoren dagegen das Kapital auf dem Bankkonto angelegt, wäre die Rendite bei vernachlässigbarem Risiko gegebenenfalls vorteilhafter gewesen. Unternehmen B lieferte seinen Eignern dagegen im selben Jahr trotz stagnierender Gewinne eine Verzinsung ihres Kapitals von 20 % (1.000 € / 5.000 €). Eine niedrige Eigenkapitalrendite lässt auf den ineffizienten Einsatz von Kapital oder eine Überbewertung der Aktiva (und damit des Eigenkapitals) schließen. Die Eigenkapitalrendite stellt aufgrund der Verbindung von Gewinn und Eigenkapital die zentrale Rentabilitätskennzahl für Eigenkapitalgeber dar. Wie in Kapitel 8 gezeigt wird, gewinnen Unternehmen an Wert, wenn diese ihr Eigenkapital mit einer hohen Rate bei geringem Risiko steigern können. Die Eigenkapitalrendite gibt diese Steigerungsrate an. Verteilung der Eigenkapitalrendite im S&amp;P 500 Die folgende Übersicht bildet die Verteilung der Eigenkapitalrenditen (3-jähriger Durchschnitt) der S&amp;P 500-Unternehmen ab. Diese Aufstellung soll einen Überblick verschaffen, wie eine gegebene Eigenkapitalrendite im Marktumfeld einzuschätzen ist. Der Median der Eigenkapitalrenditen liegt bei 15,2 %. Rund 72 % der Werte liegen unterhalb von 25 %.</w:t>
      </w:r>
    </w:p>
    <w:p w14:paraId="6AAFA2D0" w14:textId="77777777" w:rsidR="00E15ABE" w:rsidRPr="00E15ABE" w:rsidRDefault="00E15ABE" w:rsidP="00E15ABE">
      <w:pPr>
        <w:spacing w:line="256" w:lineRule="auto"/>
        <w:jc w:val="left"/>
        <w:rPr>
          <w:rFonts w:ascii="Aptos" w:eastAsia="Aptos" w:hAnsi="Aptos" w:cs="Times New Roman"/>
          <w:sz w:val="22"/>
        </w:rPr>
      </w:pPr>
      <w:r w:rsidRPr="00E15ABE">
        <w:rPr>
          <w:rFonts w:ascii="Aptos" w:eastAsia="Aptos" w:hAnsi="Aptos" w:cs="Times New Roman"/>
          <w:sz w:val="22"/>
        </w:rPr>
        <w:t xml:space="preserve">Eine hohe Eigenkapitalrendite ist nicht zwingend Folge einer sehr guten operativen Leistung eines Unternehmens, sondern unterliegt auch finanzpolitischen Entscheidungen. Die Betrachtung der Formel für die Eigenkapitalrendite ergibt zwei Wege zur Steigerung der Rentabilität: Einerseits kann die Eigenkapitalrendite durch eine Erhöhung des Gewinns, andererseits aber auch durch eine Reduktion der Eigenkapitalbasis gesteigert werden. Unternehmen mit ausreichender Stabilität reduzieren daher teilweise ihre Eigenkapitalbasis durch Aktienrückkäufe oder Dividendenausschüttungen, um die Eigenkapitalrendite zu steigern. Das nächste Beispiel verdeutlicht anhand der US-amerikanischen </w:t>
      </w:r>
      <w:proofErr w:type="spellStart"/>
      <w:r w:rsidRPr="00E15ABE">
        <w:rPr>
          <w:rFonts w:ascii="Aptos" w:eastAsia="Aptos" w:hAnsi="Aptos" w:cs="Times New Roman"/>
          <w:sz w:val="22"/>
        </w:rPr>
        <w:t>Yum</w:t>
      </w:r>
      <w:proofErr w:type="spellEnd"/>
      <w:r w:rsidRPr="00E15ABE">
        <w:rPr>
          <w:rFonts w:ascii="Aptos" w:eastAsia="Aptos" w:hAnsi="Aptos" w:cs="Times New Roman"/>
          <w:sz w:val="22"/>
        </w:rPr>
        <w:t xml:space="preserve">! Brands, wie durch ausgeprägte Rückkäufe das Eigenkapital übermäßig stark gesenkt werden kann. Da diese Praxis vor allem im angelsächsischen Bereich verbreitet ist, sind dort sehr hohe Eigenkapitalrenditen keine Seltenheit. Diese Form der Rentabilitätssteigerung weist jedoch auch Risiken auf, da eine ausreichende Eigenkapitalbasis in Krisenzeiten als Sicherheitspuffer wirkt. Die Erhöhung der Eigenkapitalrendite durch Aktienrückkäufe geht also in der Regel mit einer Erhöhung des Risikos einher. Dieses Vorgehen sollte daher nur von Unternehmen mit sehr sicheren Zahlungsströmen durchgeführt werden. Die Eigenkapitalrendite sollte aus diesem Grund im Zusammenhang mit dem Verschuldungsgrad, der Eigenkapitalquote (beide </w:t>
      </w:r>
      <w:proofErr w:type="gramStart"/>
      <w:r w:rsidRPr="00E15ABE">
        <w:rPr>
          <w:rFonts w:ascii="Aptos" w:eastAsia="Aptos" w:hAnsi="Aptos" w:cs="Times New Roman"/>
          <w:sz w:val="22"/>
        </w:rPr>
        <w:t>Kapitel  3</w:t>
      </w:r>
      <w:proofErr w:type="gramEnd"/>
      <w:r w:rsidRPr="00E15ABE">
        <w:rPr>
          <w:rFonts w:ascii="Aptos" w:eastAsia="Aptos" w:hAnsi="Aptos" w:cs="Times New Roman"/>
          <w:sz w:val="22"/>
        </w:rPr>
        <w:t>) und dem Geschäftsmodell (</w:t>
      </w:r>
      <w:proofErr w:type="gramStart"/>
      <w:r w:rsidRPr="00E15ABE">
        <w:rPr>
          <w:rFonts w:ascii="Aptos" w:eastAsia="Aptos" w:hAnsi="Aptos" w:cs="Times New Roman"/>
          <w:sz w:val="22"/>
        </w:rPr>
        <w:t>Kapitel  5</w:t>
      </w:r>
      <w:proofErr w:type="gramEnd"/>
      <w:r w:rsidRPr="00E15ABE">
        <w:rPr>
          <w:rFonts w:ascii="Aptos" w:eastAsia="Aptos" w:hAnsi="Aptos" w:cs="Times New Roman"/>
          <w:sz w:val="22"/>
        </w:rPr>
        <w:t xml:space="preserve">) bewertet werden. Im Fall von </w:t>
      </w:r>
      <w:proofErr w:type="spellStart"/>
      <w:r w:rsidRPr="00E15ABE">
        <w:rPr>
          <w:rFonts w:ascii="Aptos" w:eastAsia="Aptos" w:hAnsi="Aptos" w:cs="Times New Roman"/>
          <w:sz w:val="22"/>
        </w:rPr>
        <w:t>Yum</w:t>
      </w:r>
      <w:proofErr w:type="spellEnd"/>
      <w:r w:rsidRPr="00E15ABE">
        <w:rPr>
          <w:rFonts w:ascii="Aptos" w:eastAsia="Aptos" w:hAnsi="Aptos" w:cs="Times New Roman"/>
          <w:sz w:val="22"/>
        </w:rPr>
        <w:t xml:space="preserve"> </w:t>
      </w:r>
      <w:proofErr w:type="gramStart"/>
      <w:r w:rsidRPr="00E15ABE">
        <w:rPr>
          <w:rFonts w:ascii="Aptos" w:eastAsia="Aptos" w:hAnsi="Aptos" w:cs="Times New Roman"/>
          <w:sz w:val="22"/>
        </w:rPr>
        <w:t>Brands!,</w:t>
      </w:r>
      <w:proofErr w:type="gramEnd"/>
      <w:r w:rsidRPr="00E15ABE">
        <w:rPr>
          <w:rFonts w:ascii="Aptos" w:eastAsia="Aptos" w:hAnsi="Aptos" w:cs="Times New Roman"/>
          <w:sz w:val="22"/>
        </w:rPr>
        <w:t xml:space="preserve"> der größten Fast-Food-Kette der Welt, ist dieses Vorgehen durchaus legitim. Zwar hat der Konzern sein bilanzielles Eigenkapital durch Aktienrückkäufe und andere Einflüsse bis tief in den negativen Bereich gesenkt, jedoch ist das Geschäftsmodell als äußerst robust einzuschätzen, sodass selbst diese extreme Art der Rentabilitätssteigerung als vertretbar einzustufen ist. Dieser Konzern bildet dabei jedoch eine Ausnahme. Zyklische Branchen wie der Maschinenbau benötigen beispielsweise eine ausreichende Eigenkapitalbasis, um auch in </w:t>
      </w:r>
      <w:proofErr w:type="spellStart"/>
      <w:r w:rsidRPr="00E15ABE">
        <w:rPr>
          <w:rFonts w:ascii="Aptos" w:eastAsia="Aptos" w:hAnsi="Aptos" w:cs="Times New Roman"/>
          <w:sz w:val="22"/>
        </w:rPr>
        <w:t>Abschwungphasen</w:t>
      </w:r>
      <w:proofErr w:type="spellEnd"/>
      <w:r w:rsidRPr="00E15ABE">
        <w:rPr>
          <w:rFonts w:ascii="Aptos" w:eastAsia="Aptos" w:hAnsi="Aptos" w:cs="Times New Roman"/>
          <w:sz w:val="22"/>
        </w:rPr>
        <w:t xml:space="preserve"> ihre Flexibilität zu wahren.</w:t>
      </w:r>
    </w:p>
    <w:p w14:paraId="6F05ED69" w14:textId="77777777" w:rsidR="00E15ABE" w:rsidRPr="00E15ABE" w:rsidRDefault="00E15ABE" w:rsidP="00E15ABE">
      <w:pPr>
        <w:spacing w:line="256" w:lineRule="auto"/>
        <w:jc w:val="left"/>
        <w:rPr>
          <w:rFonts w:ascii="Aptos" w:eastAsia="Aptos" w:hAnsi="Aptos" w:cs="Times New Roman"/>
          <w:sz w:val="22"/>
        </w:rPr>
      </w:pPr>
      <w:r w:rsidRPr="00E15ABE">
        <w:rPr>
          <w:rFonts w:ascii="Aptos" w:eastAsia="Aptos" w:hAnsi="Aptos" w:cs="Times New Roman"/>
          <w:sz w:val="22"/>
        </w:rPr>
        <w:lastRenderedPageBreak/>
        <w:t>2. Umsatzrendite</w:t>
      </w:r>
    </w:p>
    <w:p w14:paraId="5171CBE8" w14:textId="77777777" w:rsidR="00E15ABE" w:rsidRPr="00E15ABE" w:rsidRDefault="00E15ABE" w:rsidP="00E15ABE">
      <w:pPr>
        <w:spacing w:line="256" w:lineRule="auto"/>
        <w:jc w:val="left"/>
        <w:rPr>
          <w:rFonts w:ascii="Aptos" w:eastAsia="Aptos" w:hAnsi="Aptos" w:cs="Times New Roman"/>
          <w:sz w:val="22"/>
        </w:rPr>
      </w:pPr>
      <w:r w:rsidRPr="00E15ABE">
        <w:rPr>
          <w:rFonts w:ascii="Aptos" w:eastAsia="Aptos" w:hAnsi="Aptos" w:cs="Times New Roman"/>
          <w:sz w:val="22"/>
        </w:rPr>
        <w:t xml:space="preserve">Die Umsatzrentabilität gibt an, wie viel Cent Gewinn durch einen Euro an Umsatz erwirtschaftet werden. Insbesondere bei gering verschuldeten Unternehmen mit einer exzellenten Marktstellung sind sehr hohe Umsatzrenditen vorzufinden. Bei Konzernabschlüssen muss zur Berechnung der Umsatzrendite stets das Ergebnis vor dem Abzug von Minderheitsanteilen herangezogen werden. Maßgeblichen Einfluss auf die Umsatzrendite haben die Marktmacht und das Kostenmanagement des Unternehmens. Je ausgeprägter die Fähigkeit, die Preise anzupassen und gleichzeitig die Kosten zu senken, desto höher fällt die Umsatzrendite aus. Aus diesem Grund verfügen Unternehmen, die in einem Monopol oder Oligopol wirtschaften, in der Regel über hohe Umsatzrenditen. Zudem sind hohe oder zunehmende Umsatzrenditen oft ein Zeichen für das Vorliegen einer Fixkostendegression. Die Kehrseite bilden klassischerweise Händler, die keine Produkte herstellen, sondern als Intermediär auftreten. In dieser Branche liegen die Umsatzrenditen für gewöhnlich im niedrigen einstelligen Bereich. Eine Erhöhung der Rendite kann in der Regel nur über Kostensenkungen oder Volumenausdehnung stattfinden. Dies erklärt auch, weshalb im Massengütermarkt die absolute Größe einer der wichtigsten Einflussfaktoren ist, um annehmbare Renditen zu erzielen. </w:t>
      </w:r>
    </w:p>
    <w:p w14:paraId="15A85960" w14:textId="77777777" w:rsidR="00E15ABE" w:rsidRPr="00E15ABE" w:rsidRDefault="00E15ABE" w:rsidP="00E15ABE">
      <w:pPr>
        <w:spacing w:line="256" w:lineRule="auto"/>
        <w:jc w:val="left"/>
        <w:rPr>
          <w:rFonts w:ascii="Aptos" w:eastAsia="Aptos" w:hAnsi="Aptos" w:cs="Times New Roman"/>
          <w:sz w:val="22"/>
        </w:rPr>
      </w:pPr>
      <w:r w:rsidRPr="00E15ABE">
        <w:rPr>
          <w:rFonts w:ascii="Aptos" w:eastAsia="Aptos" w:hAnsi="Aptos" w:cs="Times New Roman"/>
          <w:sz w:val="22"/>
        </w:rPr>
        <w:t>3. EBIT/EBITDA-Marge</w:t>
      </w:r>
    </w:p>
    <w:p w14:paraId="76798666"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 xml:space="preserve">In einigen Lehrbüchern wird die Berechnung der Umsatzrendite im Zähler, neben dem Jahresüberschuss, noch um Steuern und Zinsen erweitert. Da nun aber Zinsen und Steuern reale Aufwendungen darstellen, sollten diese konsequenterweise abgezogen werden. Eine niedrige Steuerquote, beispielsweise aufgrund eines Konzernsitzes in der Schweiz, ist ein Wettbewerbsvorteil, da dem Unternehmen durch die geringeren Steuerzahlungen mehr Gewinn pro Einheit Umsatz zur Verfügung steht. Zum Vergleich von Unternehmen in einer Branche oder über verschiedene Regionen hinweg kann es dennoch hilfreich sein, die EBIT-Marge, also das Verhältnis von operativem Gewinn zu Umsatz, zu berechnen. Ohne Rücksicht auf Unterschiede in der Zins- und Steuerlast kann so die eigentliche operative Leistung des Unternehmens quantifiziert werden. Eine Erweiterung der EBIT-Marge kann durch Hinzuzählen der Abschreibungen zum operativen Ergebnis erzielt werden. Das EBITDA gibt somit den Gewinn vor Zinsen, Steuern und Abschreibungen an. </w:t>
      </w:r>
    </w:p>
    <w:p w14:paraId="2F25DEAF"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 xml:space="preserve">Kapitalumschlag Die Umschlaghäufigkeit des Kapitals gibt Aufschluss darüber, wie produktiv Kapital im Unternehmen eingesetzt wird. Ein hoher Kapitalumschlag bedeutet, dass Kapital schnell wieder in das Unternehmen zurückfließt und somit insgesamt weniger Kapital benötigt wird, um ein gegebenes Geschäftsvolumen durchzuführen. Aufgrund der engen Verknüpfung zwischen Geschäftsmodell und Kapitalbedarf ist eine Vergleichbarkeit dieser Kennzahl nur im Branchenkontext zulässig. </w:t>
      </w:r>
      <w:proofErr w:type="gramStart"/>
      <w:r w:rsidRPr="00E15ABE">
        <w:rPr>
          <w:rFonts w:ascii="Aptos" w:eastAsia="Aptos" w:hAnsi="Aptos" w:cs="Times New Roman"/>
          <w:sz w:val="22"/>
        </w:rPr>
        <w:t>Weiter verbreitet</w:t>
      </w:r>
      <w:proofErr w:type="gramEnd"/>
      <w:r w:rsidRPr="00E15ABE">
        <w:rPr>
          <w:rFonts w:ascii="Aptos" w:eastAsia="Aptos" w:hAnsi="Aptos" w:cs="Times New Roman"/>
          <w:sz w:val="22"/>
        </w:rPr>
        <w:t xml:space="preserve"> und aussagekräftiger ist die Anwendung der Kennzahl bei Einzelunternehmen im Zeitverlauf. Es verwundert daher nicht, dass der Return on Investment (</w:t>
      </w:r>
      <w:proofErr w:type="spellStart"/>
      <w:r w:rsidRPr="00E15ABE">
        <w:rPr>
          <w:rFonts w:ascii="Aptos" w:eastAsia="Aptos" w:hAnsi="Aptos" w:cs="Times New Roman"/>
          <w:sz w:val="22"/>
        </w:rPr>
        <w:t>RoI</w:t>
      </w:r>
      <w:proofErr w:type="spellEnd"/>
      <w:r w:rsidRPr="00E15ABE">
        <w:rPr>
          <w:rFonts w:ascii="Aptos" w:eastAsia="Aptos" w:hAnsi="Aptos" w:cs="Times New Roman"/>
          <w:sz w:val="22"/>
        </w:rPr>
        <w:t xml:space="preserve">) und der Kapitalumschlag eines Unternehmens direkt miteinander verbunden sind: Dieses Kennzahlensystem wurde 1919 von Donaldson Brown, einem Ingenieur des US-Unternehmens Du Pont de Nemours, entwickelt und wird deshalb auch als Du-Pont-Schema bezeichnet. Das ausführliche Du-Pont-Schema gliedert den Return on Investment noch weiter in seine Einzelteile auf und zeigt, welche Einflussfaktoren auf die drei Bestandteile der </w:t>
      </w:r>
      <w:proofErr w:type="spellStart"/>
      <w:r w:rsidRPr="00E15ABE">
        <w:rPr>
          <w:rFonts w:ascii="Aptos" w:eastAsia="Aptos" w:hAnsi="Aptos" w:cs="Times New Roman"/>
          <w:sz w:val="22"/>
        </w:rPr>
        <w:t>RoI</w:t>
      </w:r>
      <w:proofErr w:type="spellEnd"/>
      <w:r w:rsidRPr="00E15ABE">
        <w:rPr>
          <w:rFonts w:ascii="Aptos" w:eastAsia="Aptos" w:hAnsi="Aptos" w:cs="Times New Roman"/>
          <w:sz w:val="22"/>
        </w:rPr>
        <w:t xml:space="preserve">-Formel (Umsatz, Kapital, Betriebsergebnis) wirken. Die Analyse der oben angegebenen Formel ergibt, dass der Return on Investment zum einen durch einen hohen Kapitalumschlag (erster Bruch) und zum anderen durch eine hohe Betriebsergebnismarge (zweiter Bruch) gesteigert werden kann. Die Betriebsergebnismarge entspricht näherungsweise der Umsatzrendite und wird durch die Marktstellung und das Kostenmanagement bestimmt. Der Kapitalumschlag ist dagegen abhängig von Geschäftsmodell und Investitionspolitik. Wie kann in der Realität eine Verbesserung des </w:t>
      </w:r>
      <w:r w:rsidRPr="00E15ABE">
        <w:rPr>
          <w:rFonts w:ascii="Aptos" w:eastAsia="Aptos" w:hAnsi="Aptos" w:cs="Times New Roman"/>
          <w:sz w:val="22"/>
        </w:rPr>
        <w:lastRenderedPageBreak/>
        <w:t>Kapitalumschlags erreicht werden? Unternehmen können beispielsweise ihre Vorräte schlanker gestalten, nicht oder nur spärlich benutzte Maschinen verkaufen und Forderungen per Factoring abbauen oder durch Anreize wie Skonti schneller einfordern. Diese Maßnahmen, welche hauptsächlich das Working Capital Management betreffen, werden in Kapitel 4 näher beschrieben.</w:t>
      </w:r>
    </w:p>
    <w:p w14:paraId="5ADC9B24"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3. Gesamtkapitalrendite</w:t>
      </w:r>
    </w:p>
    <w:p w14:paraId="5C389D6D"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Da der bereits vorgestellte Return on Investment in Abwandlungen auch mit dem Jahresüberschuss oder anderen Ergebnisgrößen anstatt dem Betriebsergebnis verrechnet wird, ist an dieser Stelle die Gesamtkapitalrendite noch einmal explizit aufgeführt. Die Gesamtkapitalrendite berücksichtigt neben dem Reingewinn des Unternehmens auch die gezahlten Zinsen und setzt diese ins Verhältnis mit dem von Fremd- und Eigenkapitalgebern eingebrachten Kapital. Wie auch bei der Eigenkapitalrendite oder dem Kapitalumschlag müssen die Ergebnisgrößten mit dem durchschnittlich gebundenen Kapital ins Verhältnis gesetzt werden, um die jährlichen Stromgrößten (hier: Jahresüberschuss und Fremdkapitalzinsen) mit den stichtagsabhängigen Bilanzzahlen (hier: Bilanzsumme) sinnvoll vergleichen zu können. Gegenüber der Eigenkapitalrendite hat die Gesamtkapitalrendite den Vorteil, nicht durch finanzpolitische Effekte verzerrt zu sein. Sie drückt also die Rendite aller Kapitalgeber aus, weshalb die Fremdkapitalzinsen als Ertrag der Fremdkapitalgeber hinzugerechnet werden. Der zuvor angesprochene Return on Investment ist eine Variante der Gesamtkapitalrendite.</w:t>
      </w:r>
    </w:p>
    <w:p w14:paraId="02FC4747"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 xml:space="preserve">4. Return on Capital </w:t>
      </w:r>
      <w:proofErr w:type="spellStart"/>
      <w:r w:rsidRPr="00E15ABE">
        <w:rPr>
          <w:rFonts w:ascii="Aptos" w:eastAsia="Aptos" w:hAnsi="Aptos" w:cs="Times New Roman"/>
          <w:sz w:val="22"/>
        </w:rPr>
        <w:t>Employed</w:t>
      </w:r>
      <w:proofErr w:type="spellEnd"/>
    </w:p>
    <w:p w14:paraId="234718C1"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 xml:space="preserve">Die zuvor dargestellten Kennzahlen zur Messung der Rentabilität haben allesamt Schwachpunkte. So kann beispielsweise die Eigenkapitalrendite durch fremdfinanzierte Aktienrückkäufe oder Sonderausschüttungen künstlich erhöht werden. Hohe Gewinnmargen sind dagegen grundsätzlich zu begrüßen, jedoch müssen diese stets vor dem Hintergrund des dazu eingesetzten Kapitals betrachtet werden. Die oben eingeführte Kennzahl zur Gesamtkapitalrendite löst dieses Problem teilweise, bildet jedoch nicht den Einfluss der Finanzierung durch die Zulieferer ab; schließlich stellen die Verbindlichkeiten aus Lieferungen und Leistungen eine Form der kostenlosen Finanzierung dar und sollten daher nicht im Zähler mit abgebildet werden. Die vollständigste Kennzahl zur Messung der Rentabilität stellt daher der Return on Capital </w:t>
      </w:r>
      <w:proofErr w:type="spellStart"/>
      <w:r w:rsidRPr="00E15ABE">
        <w:rPr>
          <w:rFonts w:ascii="Aptos" w:eastAsia="Aptos" w:hAnsi="Aptos" w:cs="Times New Roman"/>
          <w:sz w:val="22"/>
        </w:rPr>
        <w:t>Employed</w:t>
      </w:r>
      <w:proofErr w:type="spellEnd"/>
      <w:r w:rsidRPr="00E15ABE">
        <w:rPr>
          <w:rFonts w:ascii="Aptos" w:eastAsia="Aptos" w:hAnsi="Aptos" w:cs="Times New Roman"/>
          <w:sz w:val="22"/>
        </w:rPr>
        <w:t xml:space="preserve"> („ROCE“) dar, welcher diese Punkte miteinbezieht. Der Return on Capital </w:t>
      </w:r>
      <w:proofErr w:type="spellStart"/>
      <w:r w:rsidRPr="00E15ABE">
        <w:rPr>
          <w:rFonts w:ascii="Aptos" w:eastAsia="Aptos" w:hAnsi="Aptos" w:cs="Times New Roman"/>
          <w:sz w:val="22"/>
        </w:rPr>
        <w:t>Employed</w:t>
      </w:r>
      <w:proofErr w:type="spellEnd"/>
      <w:r w:rsidRPr="00E15ABE">
        <w:rPr>
          <w:rFonts w:ascii="Aptos" w:eastAsia="Aptos" w:hAnsi="Aptos" w:cs="Times New Roman"/>
          <w:sz w:val="22"/>
        </w:rPr>
        <w:t xml:space="preserve"> gibt an, wie rentabel das gebundene Kapital eines Unternehmens eingesetzt wird. Das Capital </w:t>
      </w:r>
      <w:proofErr w:type="spellStart"/>
      <w:r w:rsidRPr="00E15ABE">
        <w:rPr>
          <w:rFonts w:ascii="Aptos" w:eastAsia="Aptos" w:hAnsi="Aptos" w:cs="Times New Roman"/>
          <w:sz w:val="22"/>
        </w:rPr>
        <w:t>Employed</w:t>
      </w:r>
      <w:proofErr w:type="spellEnd"/>
      <w:r w:rsidRPr="00E15ABE">
        <w:rPr>
          <w:rFonts w:ascii="Aptos" w:eastAsia="Aptos" w:hAnsi="Aptos" w:cs="Times New Roman"/>
          <w:sz w:val="22"/>
        </w:rPr>
        <w:t xml:space="preserve"> berechnet sich durch Addition von Anlagevermögen und Working Capital, abzüglich der Zahlungsmittel (Netto Working Capital). Diese Kenngröße gibt das betriebsnotwendige, gebundene Kapital an, mit dem das Unternehmen das operative Geschäft betreibt. Die Verbindlichkeiten gegenüber Lieferanten werden abgezogen, da es sich hierbei um zinslose Kredite handelt. Der Abzug der Zahlungsmittel erfolgt, da diese zum Großteil nicht zur operativen Tätigkeit benötigt werden. Folglich ergibt das Capital </w:t>
      </w:r>
      <w:proofErr w:type="spellStart"/>
      <w:r w:rsidRPr="00E15ABE">
        <w:rPr>
          <w:rFonts w:ascii="Aptos" w:eastAsia="Aptos" w:hAnsi="Aptos" w:cs="Times New Roman"/>
          <w:sz w:val="22"/>
        </w:rPr>
        <w:t>Employed</w:t>
      </w:r>
      <w:proofErr w:type="spellEnd"/>
      <w:r w:rsidRPr="00E15ABE">
        <w:rPr>
          <w:rFonts w:ascii="Aptos" w:eastAsia="Aptos" w:hAnsi="Aptos" w:cs="Times New Roman"/>
          <w:sz w:val="22"/>
        </w:rPr>
        <w:t xml:space="preserve"> in Summe den Betrag, der netto tatsächlich investiert werden müsste, um das Unternehmen abzubilden. Eine zweite, simplere Berechnungsart des Capital </w:t>
      </w:r>
      <w:proofErr w:type="spellStart"/>
      <w:r w:rsidRPr="00E15ABE">
        <w:rPr>
          <w:rFonts w:ascii="Aptos" w:eastAsia="Aptos" w:hAnsi="Aptos" w:cs="Times New Roman"/>
          <w:sz w:val="22"/>
        </w:rPr>
        <w:t>Employed</w:t>
      </w:r>
      <w:proofErr w:type="spellEnd"/>
      <w:r w:rsidRPr="00E15ABE">
        <w:rPr>
          <w:rFonts w:ascii="Aptos" w:eastAsia="Aptos" w:hAnsi="Aptos" w:cs="Times New Roman"/>
          <w:sz w:val="22"/>
        </w:rPr>
        <w:t xml:space="preserve"> ergibt sich durch Addition von Eigenkapital und </w:t>
      </w:r>
      <w:proofErr w:type="spellStart"/>
      <w:r w:rsidRPr="00E15ABE">
        <w:rPr>
          <w:rFonts w:ascii="Aptos" w:eastAsia="Aptos" w:hAnsi="Aptos" w:cs="Times New Roman"/>
          <w:sz w:val="22"/>
        </w:rPr>
        <w:t>NettoFinanzverbindlichkeiten</w:t>
      </w:r>
      <w:proofErr w:type="spellEnd"/>
      <w:r w:rsidRPr="00E15ABE">
        <w:rPr>
          <w:rFonts w:ascii="Aptos" w:eastAsia="Aptos" w:hAnsi="Aptos" w:cs="Times New Roman"/>
          <w:sz w:val="22"/>
        </w:rPr>
        <w:t xml:space="preserve">, also dem durch das operative Geschäft </w:t>
      </w:r>
      <w:proofErr w:type="gramStart"/>
      <w:r w:rsidRPr="00E15ABE">
        <w:rPr>
          <w:rFonts w:ascii="Aptos" w:eastAsia="Aptos" w:hAnsi="Aptos" w:cs="Times New Roman"/>
          <w:sz w:val="22"/>
        </w:rPr>
        <w:t>zu verzinsende Kapital</w:t>
      </w:r>
      <w:proofErr w:type="gramEnd"/>
      <w:r w:rsidRPr="00E15ABE">
        <w:rPr>
          <w:rFonts w:ascii="Aptos" w:eastAsia="Aptos" w:hAnsi="Aptos" w:cs="Times New Roman"/>
          <w:sz w:val="22"/>
        </w:rPr>
        <w:t xml:space="preserve">. In der Praxis empfiehlt sich die Berechnung des eingesetzten Kapitals über die Aktivseite, insbesondere bei der Betrachtung im Zeitverlauf, wie die untenstehenden Beispiele illustrieren. Je höher die Kapitalrenditen und je höher das absolut intern </w:t>
      </w:r>
      <w:proofErr w:type="spellStart"/>
      <w:r w:rsidRPr="00E15ABE">
        <w:rPr>
          <w:rFonts w:ascii="Aptos" w:eastAsia="Aptos" w:hAnsi="Aptos" w:cs="Times New Roman"/>
          <w:sz w:val="22"/>
        </w:rPr>
        <w:t>reinvestierbare</w:t>
      </w:r>
      <w:proofErr w:type="spellEnd"/>
      <w:r w:rsidRPr="00E15ABE">
        <w:rPr>
          <w:rFonts w:ascii="Aptos" w:eastAsia="Aptos" w:hAnsi="Aptos" w:cs="Times New Roman"/>
          <w:sz w:val="22"/>
        </w:rPr>
        <w:t xml:space="preserve"> Kapital, desto attraktiver das Unternehmen. Zwar ist in der Theorie ein Unternehmen mit hohen Wachstumsraten </w:t>
      </w:r>
      <w:proofErr w:type="gramStart"/>
      <w:r w:rsidRPr="00E15ABE">
        <w:rPr>
          <w:rFonts w:ascii="Aptos" w:eastAsia="Aptos" w:hAnsi="Aptos" w:cs="Times New Roman"/>
          <w:sz w:val="22"/>
        </w:rPr>
        <w:t>ohne der Notwendigkeit</w:t>
      </w:r>
      <w:proofErr w:type="gramEnd"/>
      <w:r w:rsidRPr="00E15ABE">
        <w:rPr>
          <w:rFonts w:ascii="Aptos" w:eastAsia="Aptos" w:hAnsi="Aptos" w:cs="Times New Roman"/>
          <w:sz w:val="22"/>
        </w:rPr>
        <w:t xml:space="preserve"> von Reinvestitionen noch wertvoller (da die gesamten Zahlungsströme sofort ausgeschüttet werden könnten), jedoch ist dies in der Praxis nur sehr selten vorzufinden. Wie bereits erwähnt kommt dem Return on Capital </w:t>
      </w:r>
      <w:proofErr w:type="spellStart"/>
      <w:r w:rsidRPr="00E15ABE">
        <w:rPr>
          <w:rFonts w:ascii="Aptos" w:eastAsia="Aptos" w:hAnsi="Aptos" w:cs="Times New Roman"/>
          <w:sz w:val="22"/>
        </w:rPr>
        <w:t>Employed</w:t>
      </w:r>
      <w:proofErr w:type="spellEnd"/>
      <w:r w:rsidRPr="00E15ABE">
        <w:rPr>
          <w:rFonts w:ascii="Aptos" w:eastAsia="Aptos" w:hAnsi="Aptos" w:cs="Times New Roman"/>
          <w:sz w:val="22"/>
        </w:rPr>
        <w:t xml:space="preserve">, also der </w:t>
      </w:r>
      <w:r w:rsidRPr="00E15ABE">
        <w:rPr>
          <w:rFonts w:ascii="Aptos" w:eastAsia="Aptos" w:hAnsi="Aptos" w:cs="Times New Roman"/>
          <w:sz w:val="22"/>
        </w:rPr>
        <w:lastRenderedPageBreak/>
        <w:t>Rendite auf das eingesetzte Kapital, eine überragende Rolle in der Analyse von Unternehmen zu, da diese interne Verzinsung des Kapitals als regelrechter Turbo dienen kann, wenn Kapital schlau allokiert wird.</w:t>
      </w:r>
    </w:p>
    <w:p w14:paraId="798D7329"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5. Umsatzverdienstrate</w:t>
      </w:r>
    </w:p>
    <w:p w14:paraId="4287F4F0"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Die Umsatzverdienstrate (UVR) zeigt an, wie viel Cent Cashflow pro Euro Umsatz generiert werden. Im Gegensatz zu anderen Kennzahlen lässt sich für die Umsatzverdienstrate kein idealer Wert festlegen, es gilt schlicht: je mehr, desto besser. Die Umsatzverdienstrate weist Ähnlichkeiten mit der Umsatzrendite auf, wobei letztere zahlungsunwirksame GuV-Positionen und Working-Capital-Investitionen nicht berücksichtigt. Die Umsatzverdienstrate ist folglich die genauere Kennzahl, sie ist durch die vielen Einflussfaktoren aber auch schwankungsanfälliger und schwieriger zu interpretieren.</w:t>
      </w:r>
    </w:p>
    <w:p w14:paraId="74CC7D91" w14:textId="77777777" w:rsidR="00E15ABE" w:rsidRPr="00E15ABE" w:rsidRDefault="00E15ABE" w:rsidP="00E15ABE">
      <w:pPr>
        <w:spacing w:line="256" w:lineRule="auto"/>
        <w:rPr>
          <w:rFonts w:ascii="Aptos" w:eastAsia="Aptos" w:hAnsi="Aptos" w:cs="Times New Roman"/>
          <w:b/>
          <w:bCs/>
          <w:sz w:val="22"/>
        </w:rPr>
      </w:pPr>
      <w:r w:rsidRPr="00E15ABE">
        <w:rPr>
          <w:rFonts w:ascii="Aptos" w:eastAsia="Aptos" w:hAnsi="Aptos" w:cs="Times New Roman"/>
          <w:b/>
          <w:bCs/>
          <w:sz w:val="22"/>
        </w:rPr>
        <w:t>Kennzahlen zur finanziellen Stabilität</w:t>
      </w:r>
    </w:p>
    <w:p w14:paraId="63FA1078"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 xml:space="preserve">Eine langfristige Kapitalanlage muss zwei grundlegende Kriterien erfüllen: Zum einen sollte die Investition eine angemessene Rendite auf das eingesetzte Kapital abwerfen. Messgrößen zu dieser Problematik wurden in </w:t>
      </w:r>
      <w:proofErr w:type="gramStart"/>
      <w:r w:rsidRPr="00E15ABE">
        <w:rPr>
          <w:rFonts w:ascii="Aptos" w:eastAsia="Aptos" w:hAnsi="Aptos" w:cs="Times New Roman"/>
          <w:sz w:val="22"/>
        </w:rPr>
        <w:t>Kapitel  2</w:t>
      </w:r>
      <w:proofErr w:type="gramEnd"/>
      <w:r w:rsidRPr="00E15ABE">
        <w:rPr>
          <w:rFonts w:ascii="Aptos" w:eastAsia="Aptos" w:hAnsi="Aptos" w:cs="Times New Roman"/>
          <w:sz w:val="22"/>
        </w:rPr>
        <w:t xml:space="preserve"> bereits vorgestellt. Zum anderen kann ein Unternehmen nur dann langfristig erfolgreich wirtschaften, wenn es über eine solide Finanzierung und Kapitalstruktur verfügt. Das folgende Kapitel liefert Kennzahlen zur Überprüfung und Quantifizierung der finanziellen Lage eines Unternehmens. Obwohl die Rentabilitätskennzahlen zuerst vorgestellt wurden, ist die Bedeutung der finanziellen Stabilität schwerlich zu überschätzen. Gerade in der Wirtschaft ist Murphys Gesetz aktueller denn je: Alles, was schiefgehen kann, wird auch irgendwann schiefgehen.</w:t>
      </w:r>
    </w:p>
    <w:p w14:paraId="0B56C1E9"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Eigenkapitalquote</w:t>
      </w:r>
    </w:p>
    <w:p w14:paraId="1A59B3DB"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 xml:space="preserve">Die Eigenkapitalquote gibt den Anteil des Eigenkapitals am Gesamtkapital eines Unternehmens an. Eine hohe Eigenkapitalquote kennzeichnet in der Regel besonders konservativ finanzierte Unternehmen. Je höher die Eigenkapitalquote, desto geringer ist die Verschuldung eines Unternehmens. Gegenüber Eigenkapital hat Fremdkapital jedoch den Vorteil der steuerlichen Abzugsfähigkeit, da Fremdkapitalzinsen die Steuerlast eines Unternehmens senken können. Zudem ist Fremdkapital günstiger als Eigenkapital, da Gläubiger im Insolvenzfall vorrangig bedient werden und somit weniger Risiko ausgesetzt sind. Die Eigenkapitalgeber hingegen werden erst nach vollständiger Bedienung der Fremdkapitalgeber berücksichtigt. Ein gewisser Fremdkapitalanteil ist daher in jedem Unternehmen vorzufinden und auch sinnvoll, da beispielsweise die Vorräte teilweise durch Lieferantenkredite finanziert werden oder kurzfristig Liquidität aus Kreditlinien abgerufen werden muss. Mit steigendem Fremdkapitalanteil erhöht sich jedoch das Risiko einer Unternehmung, da die Zinslast zunimmt. Gerade in </w:t>
      </w:r>
      <w:proofErr w:type="spellStart"/>
      <w:r w:rsidRPr="00E15ABE">
        <w:rPr>
          <w:rFonts w:ascii="Aptos" w:eastAsia="Aptos" w:hAnsi="Aptos" w:cs="Times New Roman"/>
          <w:sz w:val="22"/>
        </w:rPr>
        <w:t>Abschwungphasen</w:t>
      </w:r>
      <w:proofErr w:type="spellEnd"/>
      <w:r w:rsidRPr="00E15ABE">
        <w:rPr>
          <w:rFonts w:ascii="Aptos" w:eastAsia="Aptos" w:hAnsi="Aptos" w:cs="Times New Roman"/>
          <w:sz w:val="22"/>
        </w:rPr>
        <w:t xml:space="preserve"> ist der fixe Charakter von Zinszahlungen problematisch für Unternehmen, die in zyklischen oder </w:t>
      </w:r>
      <w:proofErr w:type="spellStart"/>
      <w:r w:rsidRPr="00E15ABE">
        <w:rPr>
          <w:rFonts w:ascii="Aptos" w:eastAsia="Aptos" w:hAnsi="Aptos" w:cs="Times New Roman"/>
          <w:sz w:val="22"/>
        </w:rPr>
        <w:t>geringmargigen</w:t>
      </w:r>
      <w:proofErr w:type="spellEnd"/>
      <w:r w:rsidRPr="00E15ABE">
        <w:rPr>
          <w:rFonts w:ascii="Aptos" w:eastAsia="Aptos" w:hAnsi="Aptos" w:cs="Times New Roman"/>
          <w:sz w:val="22"/>
        </w:rPr>
        <w:t xml:space="preserve"> Branchen wirtschaften. Die These von Paracelsus gilt auch für Fremdkapital: Allein die Menge macht das Gift. Im Gegensatz zu Fremdkapital weist Eigenkapital weder eine Endfälligkeit noch einen Zwang zu Dividendenzahlungen auf. So kann in schwierigen Marktphasen Liquidität im Unternehmen gehalten und die Flexibilität substanziell erhöht werden. Langfristig orientierte Anleger sollten Unternehmen bevorzugen, die eine ausreichend hohe Eigenkapitalquote aufweisen, um auch extreme </w:t>
      </w:r>
      <w:proofErr w:type="spellStart"/>
      <w:r w:rsidRPr="00E15ABE">
        <w:rPr>
          <w:rFonts w:ascii="Aptos" w:eastAsia="Aptos" w:hAnsi="Aptos" w:cs="Times New Roman"/>
          <w:sz w:val="22"/>
        </w:rPr>
        <w:t>Abschwungphasen</w:t>
      </w:r>
      <w:proofErr w:type="spellEnd"/>
      <w:r w:rsidRPr="00E15ABE">
        <w:rPr>
          <w:rFonts w:ascii="Aptos" w:eastAsia="Aptos" w:hAnsi="Aptos" w:cs="Times New Roman"/>
          <w:sz w:val="22"/>
        </w:rPr>
        <w:t xml:space="preserve"> zu überstehen. Die genaue Höhe richtet sich nach dem Geschäftsmodell und der Volatilität der Gewinne. Start-ups mit einem besonders großen Maß an Ungewissheit sollten daher eine möglichst hohe Eigenkapitalquote als Vorsorge für schlechte Zeiten anstreben, während etablierte und wenig volatile Geschäftsmodelle wie beispielsweise das von Nestlé oder Procter &amp; </w:t>
      </w:r>
      <w:proofErr w:type="spellStart"/>
      <w:r w:rsidRPr="00E15ABE">
        <w:rPr>
          <w:rFonts w:ascii="Aptos" w:eastAsia="Aptos" w:hAnsi="Aptos" w:cs="Times New Roman"/>
          <w:sz w:val="22"/>
        </w:rPr>
        <w:t>Gamble</w:t>
      </w:r>
      <w:proofErr w:type="spellEnd"/>
      <w:r w:rsidRPr="00E15ABE">
        <w:rPr>
          <w:rFonts w:ascii="Aptos" w:eastAsia="Aptos" w:hAnsi="Aptos" w:cs="Times New Roman"/>
          <w:sz w:val="22"/>
        </w:rPr>
        <w:t xml:space="preserve"> auch relativ geringe Eigenkapitalquoten überdauern können. Übersteigt die Eigenkapitalquote den je nach </w:t>
      </w:r>
      <w:r w:rsidRPr="00E15ABE">
        <w:rPr>
          <w:rFonts w:ascii="Aptos" w:eastAsia="Aptos" w:hAnsi="Aptos" w:cs="Times New Roman"/>
          <w:sz w:val="22"/>
        </w:rPr>
        <w:lastRenderedPageBreak/>
        <w:t xml:space="preserve">Geschäftsmodell angemessenen Zielkorridor, sinkt die Rentabilität, ohne die Sicherheit maßgeblich zu erhöhen. Die Eigenkapitalquote sollte daher sowohl aus Risiko- als auch aus Renditegesichtspunkten beurteilt werden. Da Fremdkapital günstiger als Eigenkapital ist, tendieren viele Unternehmenslenker in guten Zeiten dazu, den Wert ihres Unternehmens mit geliehenem Kapital zu erhöhen. Folgendes Beispiel soll diesen Hebel- oder </w:t>
      </w:r>
      <w:proofErr w:type="spellStart"/>
      <w:r w:rsidRPr="00E15ABE">
        <w:rPr>
          <w:rFonts w:ascii="Aptos" w:eastAsia="Aptos" w:hAnsi="Aptos" w:cs="Times New Roman"/>
          <w:sz w:val="22"/>
        </w:rPr>
        <w:t>Leverage</w:t>
      </w:r>
      <w:proofErr w:type="spellEnd"/>
      <w:r w:rsidRPr="00E15ABE">
        <w:rPr>
          <w:rFonts w:ascii="Aptos" w:eastAsia="Aptos" w:hAnsi="Aptos" w:cs="Times New Roman"/>
          <w:sz w:val="22"/>
        </w:rPr>
        <w:t>-Effekt beschreiben, der in vielen Fällen Unternehmen bereits in Schieflage gebracht hat.</w:t>
      </w:r>
    </w:p>
    <w:p w14:paraId="7E55927A" w14:textId="77777777" w:rsidR="00E15ABE" w:rsidRPr="00E15ABE" w:rsidRDefault="00E15ABE" w:rsidP="00E15ABE">
      <w:pPr>
        <w:spacing w:line="256" w:lineRule="auto"/>
        <w:rPr>
          <w:rFonts w:ascii="Aptos" w:eastAsia="Aptos" w:hAnsi="Aptos" w:cs="Times New Roman"/>
          <w:sz w:val="22"/>
        </w:rPr>
      </w:pPr>
      <w:proofErr w:type="spellStart"/>
      <w:r w:rsidRPr="00E15ABE">
        <w:rPr>
          <w:rFonts w:ascii="Aptos" w:eastAsia="Aptos" w:hAnsi="Aptos" w:cs="Times New Roman"/>
          <w:sz w:val="22"/>
        </w:rPr>
        <w:t>Gearing</w:t>
      </w:r>
      <w:proofErr w:type="spellEnd"/>
    </w:p>
    <w:p w14:paraId="33E13BD2"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 xml:space="preserve">Zur Beurteilung der finanziellen Stabilität stellt das </w:t>
      </w:r>
      <w:proofErr w:type="spellStart"/>
      <w:r w:rsidRPr="00E15ABE">
        <w:rPr>
          <w:rFonts w:ascii="Aptos" w:eastAsia="Aptos" w:hAnsi="Aptos" w:cs="Times New Roman"/>
          <w:sz w:val="22"/>
        </w:rPr>
        <w:t>Gearing</w:t>
      </w:r>
      <w:proofErr w:type="spellEnd"/>
      <w:r w:rsidRPr="00E15ABE">
        <w:rPr>
          <w:rFonts w:ascii="Aptos" w:eastAsia="Aptos" w:hAnsi="Aptos" w:cs="Times New Roman"/>
          <w:sz w:val="22"/>
        </w:rPr>
        <w:t xml:space="preserve"> die wichtigste Kennzahl dar. Es gibt an, zu welchem Grad die Nettofinanzverbindlichkeiten (d. h. Finanzverbindlichkeiten abzüglich flüssiger Mittel) durch Eigenkapital gedeckt sind. Durch die Verbindung von Finanzverbindlichkeiten, Cash-Bestand und Eigenkapital enthält diese Kennzahl alle elementaren Bilanzbestandteile hinsichtlich der finanziellen Stabilität eines Unternehmens. Im Gegensatz zur Eigenkapitalquote, die indirekt alle Verbindlichkeiten mit einbezieht, beachtet das </w:t>
      </w:r>
      <w:proofErr w:type="spellStart"/>
      <w:r w:rsidRPr="00E15ABE">
        <w:rPr>
          <w:rFonts w:ascii="Aptos" w:eastAsia="Aptos" w:hAnsi="Aptos" w:cs="Times New Roman"/>
          <w:sz w:val="22"/>
        </w:rPr>
        <w:t>Gearing</w:t>
      </w:r>
      <w:proofErr w:type="spellEnd"/>
      <w:r w:rsidRPr="00E15ABE">
        <w:rPr>
          <w:rFonts w:ascii="Aptos" w:eastAsia="Aptos" w:hAnsi="Aptos" w:cs="Times New Roman"/>
          <w:sz w:val="22"/>
        </w:rPr>
        <w:t xml:space="preserve"> lediglich die zinstragenden Verbindlichkeiten (Finanzverbindlichkeiten). Hohe Bestände an Verbindlichkeiten aus Lieferungen und Leistungen werden somit positiv gewertet, da </w:t>
      </w:r>
      <w:proofErr w:type="gramStart"/>
      <w:r w:rsidRPr="00E15ABE">
        <w:rPr>
          <w:rFonts w:ascii="Aptos" w:eastAsia="Aptos" w:hAnsi="Aptos" w:cs="Times New Roman"/>
          <w:sz w:val="22"/>
        </w:rPr>
        <w:t>diese unverzinsliche Kredite</w:t>
      </w:r>
      <w:proofErr w:type="gramEnd"/>
      <w:r w:rsidRPr="00E15ABE">
        <w:rPr>
          <w:rFonts w:ascii="Aptos" w:eastAsia="Aptos" w:hAnsi="Aptos" w:cs="Times New Roman"/>
          <w:sz w:val="22"/>
        </w:rPr>
        <w:t xml:space="preserve"> darstellen. Da diesen in der Regel Forderungen und Vorräte gegenüberstehen, ist ein hoher Bestand an Verbindlichkeiten aus Lieferungen und Leistungen unter normalen Umständen nicht kritisch zu sehen. Ein niedriges </w:t>
      </w:r>
      <w:proofErr w:type="spellStart"/>
      <w:r w:rsidRPr="00E15ABE">
        <w:rPr>
          <w:rFonts w:ascii="Aptos" w:eastAsia="Aptos" w:hAnsi="Aptos" w:cs="Times New Roman"/>
          <w:sz w:val="22"/>
        </w:rPr>
        <w:t>Gearing</w:t>
      </w:r>
      <w:proofErr w:type="spellEnd"/>
      <w:r w:rsidRPr="00E15ABE">
        <w:rPr>
          <w:rFonts w:ascii="Aptos" w:eastAsia="Aptos" w:hAnsi="Aptos" w:cs="Times New Roman"/>
          <w:sz w:val="22"/>
        </w:rPr>
        <w:t xml:space="preserve"> gibt somit eine geringe Nettoverschuldung an, folglich gilt bei dieser Kennzahl die Schlussfolgerung: Je niedriger das </w:t>
      </w:r>
      <w:proofErr w:type="spellStart"/>
      <w:r w:rsidRPr="00E15ABE">
        <w:rPr>
          <w:rFonts w:ascii="Aptos" w:eastAsia="Aptos" w:hAnsi="Aptos" w:cs="Times New Roman"/>
          <w:sz w:val="22"/>
        </w:rPr>
        <w:t>Gearing</w:t>
      </w:r>
      <w:proofErr w:type="spellEnd"/>
      <w:r w:rsidRPr="00E15ABE">
        <w:rPr>
          <w:rFonts w:ascii="Aptos" w:eastAsia="Aptos" w:hAnsi="Aptos" w:cs="Times New Roman"/>
          <w:sz w:val="22"/>
        </w:rPr>
        <w:t xml:space="preserve">, desto geringer ist die tatsächliche Verschuldung des Unternehmens. Verfügt ein Unternehmen über mehr liquide Mittel als Finanzverbindlichkeiten, so ist es als schuldenfrei anzusehen. Das </w:t>
      </w:r>
      <w:proofErr w:type="spellStart"/>
      <w:r w:rsidRPr="00E15ABE">
        <w:rPr>
          <w:rFonts w:ascii="Aptos" w:eastAsia="Aptos" w:hAnsi="Aptos" w:cs="Times New Roman"/>
          <w:sz w:val="22"/>
        </w:rPr>
        <w:t>Gearing</w:t>
      </w:r>
      <w:proofErr w:type="spellEnd"/>
      <w:r w:rsidRPr="00E15ABE">
        <w:rPr>
          <w:rFonts w:ascii="Aptos" w:eastAsia="Aptos" w:hAnsi="Aptos" w:cs="Times New Roman"/>
          <w:sz w:val="22"/>
        </w:rPr>
        <w:t xml:space="preserve"> ist in diesem Fall negativ. Aus Rendite/Risiko-Gesichtspunkten ist ein </w:t>
      </w:r>
      <w:proofErr w:type="spellStart"/>
      <w:r w:rsidRPr="00E15ABE">
        <w:rPr>
          <w:rFonts w:ascii="Aptos" w:eastAsia="Aptos" w:hAnsi="Aptos" w:cs="Times New Roman"/>
          <w:sz w:val="22"/>
        </w:rPr>
        <w:t>Gearing</w:t>
      </w:r>
      <w:proofErr w:type="spellEnd"/>
      <w:r w:rsidRPr="00E15ABE">
        <w:rPr>
          <w:rFonts w:ascii="Aptos" w:eastAsia="Aptos" w:hAnsi="Aptos" w:cs="Times New Roman"/>
          <w:sz w:val="22"/>
        </w:rPr>
        <w:t xml:space="preserve"> von 10–20 % als ideal anzusehen, da in diesem Bereich weder zu viele liquide Mittel gehortet werden, noch die finanzielle Stabilität vernachlässigt wird. Werte zwischen 20 und 50 % sind weiterhin als gut einzustufen. Ab einem </w:t>
      </w:r>
      <w:proofErr w:type="spellStart"/>
      <w:r w:rsidRPr="00E15ABE">
        <w:rPr>
          <w:rFonts w:ascii="Aptos" w:eastAsia="Aptos" w:hAnsi="Aptos" w:cs="Times New Roman"/>
          <w:sz w:val="22"/>
        </w:rPr>
        <w:t>Gearing</w:t>
      </w:r>
      <w:proofErr w:type="spellEnd"/>
      <w:r w:rsidRPr="00E15ABE">
        <w:rPr>
          <w:rFonts w:ascii="Aptos" w:eastAsia="Aptos" w:hAnsi="Aptos" w:cs="Times New Roman"/>
          <w:sz w:val="22"/>
        </w:rPr>
        <w:t xml:space="preserve"> von 70 % ist die finanzielle Stabilität des Unternehmens hingegen kritisch. Übersteigt der Wert 100 %, sollte über eine Kapitalerhöhung oder eine substanzielle Entschuldung nachgedacht werden, da in diesem Fall die Nettofinanzschulden das Eigenkapital übersteigen.</w:t>
      </w:r>
    </w:p>
    <w:p w14:paraId="62C0B789"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Dynamischer Verschuldungsgrad</w:t>
      </w:r>
    </w:p>
    <w:p w14:paraId="164DF137"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 xml:space="preserve">Diese Kennzahl gibt die theoretische Schuldentilgungsdauer in Jahren an, sofern das Unternehmen seinen gesamten Free-Cashflow zur Schuldentilgung nutzt. Da dieser mitunter deutlich schwankt, sollte ein sinnvoller Durchschnitt des </w:t>
      </w:r>
      <w:proofErr w:type="spellStart"/>
      <w:r w:rsidRPr="00E15ABE">
        <w:rPr>
          <w:rFonts w:ascii="Aptos" w:eastAsia="Aptos" w:hAnsi="Aptos" w:cs="Times New Roman"/>
          <w:sz w:val="22"/>
        </w:rPr>
        <w:t>FreeCashflows</w:t>
      </w:r>
      <w:proofErr w:type="spellEnd"/>
      <w:r w:rsidRPr="00E15ABE">
        <w:rPr>
          <w:rFonts w:ascii="Aptos" w:eastAsia="Aptos" w:hAnsi="Aptos" w:cs="Times New Roman"/>
          <w:sz w:val="22"/>
        </w:rPr>
        <w:t xml:space="preserve"> der letzten Jahre verwendet werden. Der dynamische Verschuldungsgrad hat gegenüber dem </w:t>
      </w:r>
      <w:proofErr w:type="spellStart"/>
      <w:r w:rsidRPr="00E15ABE">
        <w:rPr>
          <w:rFonts w:ascii="Aptos" w:eastAsia="Aptos" w:hAnsi="Aptos" w:cs="Times New Roman"/>
          <w:sz w:val="22"/>
        </w:rPr>
        <w:t>Gearing</w:t>
      </w:r>
      <w:proofErr w:type="spellEnd"/>
      <w:r w:rsidRPr="00E15ABE">
        <w:rPr>
          <w:rFonts w:ascii="Aptos" w:eastAsia="Aptos" w:hAnsi="Aptos" w:cs="Times New Roman"/>
          <w:sz w:val="22"/>
        </w:rPr>
        <w:t xml:space="preserve"> den Vorteil, dass auch die Einkommensseite betrachtet wird. Im Extremfall könnte auch ein Unternehmen mit niedrigem </w:t>
      </w:r>
      <w:proofErr w:type="spellStart"/>
      <w:r w:rsidRPr="00E15ABE">
        <w:rPr>
          <w:rFonts w:ascii="Aptos" w:eastAsia="Aptos" w:hAnsi="Aptos" w:cs="Times New Roman"/>
          <w:sz w:val="22"/>
        </w:rPr>
        <w:t>Gearing</w:t>
      </w:r>
      <w:proofErr w:type="spellEnd"/>
      <w:r w:rsidRPr="00E15ABE">
        <w:rPr>
          <w:rFonts w:ascii="Aptos" w:eastAsia="Aptos" w:hAnsi="Aptos" w:cs="Times New Roman"/>
          <w:sz w:val="22"/>
        </w:rPr>
        <w:t xml:space="preserve"> in finanzielle Schwierigkeiten geraten, sobald keine Cashflows mehr erwirtschaftet werden, um die Schulden zu bedienen. Beim dynamischen Verschuldungsgrad sind Werte unter 2 Jahren als sehr gut anzusehen, ab 5 Jahren ist der Verschuldungsgrad als kritisch einzustufen. Bei Wachstumsunternehmen, die aufgrund hoher Investitionen in der kurzen Frist oft niedrige oder negative Free-Cashflows aufweisen, sollte ein sinnvoller, mittelfristig zu erwartender Free-Cashflow verwendet werden. Sehr stabile Geschäftsmodelle mit geringen Reinvestitionsraten können unter Umständen mit großen Mengen an Fremdkapital finanziert sein, ohne dadurch übermäßig an finanzieller Stabilität einzubüßen. Das Beispiel der amerikanischen Fast-Food-Kette </w:t>
      </w:r>
      <w:proofErr w:type="spellStart"/>
      <w:r w:rsidRPr="00E15ABE">
        <w:rPr>
          <w:rFonts w:ascii="Aptos" w:eastAsia="Aptos" w:hAnsi="Aptos" w:cs="Times New Roman"/>
          <w:sz w:val="22"/>
        </w:rPr>
        <w:t>Yum</w:t>
      </w:r>
      <w:proofErr w:type="spellEnd"/>
      <w:r w:rsidRPr="00E15ABE">
        <w:rPr>
          <w:rFonts w:ascii="Aptos" w:eastAsia="Aptos" w:hAnsi="Aptos" w:cs="Times New Roman"/>
          <w:sz w:val="22"/>
        </w:rPr>
        <w:t xml:space="preserve">! Brands verdeutlicht die ergänzende Aussagekraft des dynamischen Verschuldungsgrades in Kombination mit dem </w:t>
      </w:r>
      <w:proofErr w:type="spellStart"/>
      <w:r w:rsidRPr="00E15ABE">
        <w:rPr>
          <w:rFonts w:ascii="Aptos" w:eastAsia="Aptos" w:hAnsi="Aptos" w:cs="Times New Roman"/>
          <w:sz w:val="22"/>
        </w:rPr>
        <w:t>Gearing</w:t>
      </w:r>
      <w:proofErr w:type="spellEnd"/>
      <w:r w:rsidRPr="00E15ABE">
        <w:rPr>
          <w:rFonts w:ascii="Aptos" w:eastAsia="Aptos" w:hAnsi="Aptos" w:cs="Times New Roman"/>
          <w:sz w:val="22"/>
        </w:rPr>
        <w:t>.</w:t>
      </w:r>
    </w:p>
    <w:p w14:paraId="472B9AC7"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 xml:space="preserve">Net </w:t>
      </w:r>
      <w:proofErr w:type="spellStart"/>
      <w:r w:rsidRPr="00E15ABE">
        <w:rPr>
          <w:rFonts w:ascii="Aptos" w:eastAsia="Aptos" w:hAnsi="Aptos" w:cs="Times New Roman"/>
          <w:sz w:val="22"/>
        </w:rPr>
        <w:t>Debt</w:t>
      </w:r>
      <w:proofErr w:type="spellEnd"/>
      <w:r w:rsidRPr="00E15ABE">
        <w:rPr>
          <w:rFonts w:ascii="Aptos" w:eastAsia="Aptos" w:hAnsi="Aptos" w:cs="Times New Roman"/>
          <w:sz w:val="22"/>
        </w:rPr>
        <w:t>/EBITDA</w:t>
      </w:r>
    </w:p>
    <w:p w14:paraId="6EDDAF4A"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lastRenderedPageBreak/>
        <w:t xml:space="preserve">Die Kennzahl Net </w:t>
      </w:r>
      <w:proofErr w:type="spellStart"/>
      <w:r w:rsidRPr="00E15ABE">
        <w:rPr>
          <w:rFonts w:ascii="Aptos" w:eastAsia="Aptos" w:hAnsi="Aptos" w:cs="Times New Roman"/>
          <w:sz w:val="22"/>
        </w:rPr>
        <w:t>Debt</w:t>
      </w:r>
      <w:proofErr w:type="spellEnd"/>
      <w:r w:rsidRPr="00E15ABE">
        <w:rPr>
          <w:rFonts w:ascii="Aptos" w:eastAsia="Aptos" w:hAnsi="Aptos" w:cs="Times New Roman"/>
          <w:sz w:val="22"/>
        </w:rPr>
        <w:t>/EBITDA vergleicht die Nettoverschuldung des Unternehmens, d. h. die Finanzverbindlichkeiten abzüglich der liquiden Mittel, mit dem Ergebnis vor Zinsen, Steuern und Abschreibungen. Das EBITDA stellt den Betrag dar, der zur Bedienung der Zinslast in der kurzen Frist verwendet werden kann. Da das EBITDA zudem näherungsweise dem Brutto-Cashflow entspricht, kann mit dieser Kennzahl gemessen werden, wie sicher die Rückzahlung der Finanzverbindlichkeiten ist. Je stärker die Verbindlichkeiten durch das EBITDA gedeckt sind, desto größer ist die Wahrscheinlichkeit einer vollständigen Rückzahlung. Das EBITDA berechnet sich durch Addition der Abschreibungen zum operativen Ergebnis (EBIT). Das Verhältnis von Nettoschulden zu EBITDA ist inzwischen die meistverbreitete Messlatte für die Verschuldung eines Unternehmens. Allerdings weist diese Kennzahl auch eklatante Schwächen auf. Viele Unternehmen setzen inzwischen eine angepasste (</w:t>
      </w:r>
      <w:proofErr w:type="spellStart"/>
      <w:r w:rsidRPr="00E15ABE">
        <w:rPr>
          <w:rFonts w:ascii="Aptos" w:eastAsia="Aptos" w:hAnsi="Aptos" w:cs="Times New Roman"/>
          <w:sz w:val="22"/>
        </w:rPr>
        <w:t>adjusted</w:t>
      </w:r>
      <w:proofErr w:type="spellEnd"/>
      <w:r w:rsidRPr="00E15ABE">
        <w:rPr>
          <w:rFonts w:ascii="Aptos" w:eastAsia="Aptos" w:hAnsi="Aptos" w:cs="Times New Roman"/>
          <w:sz w:val="22"/>
        </w:rPr>
        <w:t>) Version des EBITDA an, rechnen also gewisse Sonderaufwendungen heraus, wobei hier der Kreativität oft keine Grenzen gesetzt sind. Bei der Berechnung dieser Kennzahl ist also darauf zu achten, einen realistischen Wert im Zähler anzusetzen. Wichtig ist ebenfalls, wie viel Zahlungsfluss aus dem EBITDA erzielt wird, der dann tatsächlich zur Schuldentilgung verwendet werden kann. Deshalb ist es immer ratsam, diese Kennziffer vor dem Hintergrund des nachhaltigen Investitionsbedarfs und dem Steueraufwand des Unternehmens einzuschätzen.</w:t>
      </w:r>
    </w:p>
    <w:p w14:paraId="499A9268"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Sachinvestitionsquote</w:t>
      </w:r>
    </w:p>
    <w:p w14:paraId="49EF889B"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 xml:space="preserve">Stellen Sie sich vor, Sie besitzen ein Unternehmen, das jährlich einen Gewinn von 5 Mio. € abwirft. Um diesen Gewinn zu generieren und wettbewerbsfähig zu bleiben, müssen aber alle 2 Jahre 10 Mio. € in neue Anlagen investiert werden. Letztendlich kann dem Unternehmen also kein Geld entzogen werden, trotz jährlicher Gewinne. Die Sachinvestitionsquote beschreibt diesen Sachverhalt als Verhältnis von Sachinvestitionen zu operativem Cashflow. In der Praxis wird häufig anstatt des operativen Cashflows auch die Cash </w:t>
      </w:r>
      <w:proofErr w:type="spellStart"/>
      <w:r w:rsidRPr="00E15ABE">
        <w:rPr>
          <w:rFonts w:ascii="Aptos" w:eastAsia="Aptos" w:hAnsi="Aptos" w:cs="Times New Roman"/>
          <w:sz w:val="22"/>
        </w:rPr>
        <w:t>Earnings</w:t>
      </w:r>
      <w:proofErr w:type="spellEnd"/>
      <w:r w:rsidRPr="00E15ABE">
        <w:rPr>
          <w:rFonts w:ascii="Aptos" w:eastAsia="Aptos" w:hAnsi="Aptos" w:cs="Times New Roman"/>
          <w:sz w:val="22"/>
        </w:rPr>
        <w:t>, also der Jahresüberschuss zuzüglich Abschreibungen und anderen zahlungsunwirksamen Positionen verwendet, da der operative Cashflow bei vielen Unternehmen durch Working-Capital-Veränderungen deutlichen Schwankungen unterworfen ist. Die Überlegungen aus dem Eingangsbeispiel verdeutlichen, dass eine Sachinvestitionsquote von über 100 % langfristig jedes Unternehmen ruiniert. Wer über Jahre mehr Geld ausgibt, als operativ zufließt, ist über kurz oder lang auf Kredite angewiesen, die zur Überschuldung führen können. Dies erklärt auch das langfristig schwache Abschneiden von vielen kapitalintensiven Branchen wie Automobilhersteller, Luftfahrt oder Stahlerzeugung. Langfristig orientierte Investoren sind in der Regel an Unternehmen interessiert, die Jahr für Jahr hohe Gewinne auf das eingesetzte Kapital abwerfen und einen nur geringen Kapitalbedarf aufweisen oder deren Investitionen hohe Kapitalrenditen erzeugen. Ist ein Unternehmen in der Lage seinen operativen Cashflow zu steigern und gleichzeitig die Sachinvestitionen niedrig zu halten, so zeugt dies oft von hohen Kapitalrenditen</w:t>
      </w:r>
    </w:p>
    <w:p w14:paraId="05588093"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Anlagenabnutzungsgrad</w:t>
      </w:r>
    </w:p>
    <w:p w14:paraId="2F4927D9"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 xml:space="preserve">Geringe Sachinvestitionsquoten sind in der Regel als Wettbewerbsvorteil oder gerade als Folge eines solchen zu werten. Jedoch können niedrige Sachinvestitionsquoten auch aufgrund eines verringerten Investitionsvolumens auftreten, was generell negativ zu beurteilen ist. Auch Unternehmen aus wenig kapitalintensiven Branchen sollten nie an den Investitionen sparen, da beispielsweise im IT-Bereich oder durch modernere Dämmungen der Fabriken Effizienzsteigerungen möglich sind. Lucent Microsystems reduzierte durch die Einführung eines Oracle Enterprise Systems beispielsweise die Durchlaufzeit ihrer Geschäftsprozesse von mehr als einer Woche auf weniger als 8 Stunden und steigerte seine EBIT-Marge nur durch eingesparte Logistikkosten um einen halben Prozentpunkt. Colgate Palmolive erreichte durch die Einführung eines SAP-Systems gar eine Halbierung der Zeit zwischen Auftragseingang und Auslieferung. Ein </w:t>
      </w:r>
      <w:r w:rsidRPr="00E15ABE">
        <w:rPr>
          <w:rFonts w:ascii="Aptos" w:eastAsia="Aptos" w:hAnsi="Aptos" w:cs="Times New Roman"/>
          <w:sz w:val="22"/>
        </w:rPr>
        <w:lastRenderedPageBreak/>
        <w:t>findiger Manager könnte jedoch auf die Idee kommen, durch den konsequenten Verzicht auf Investitionen kurzfristig den Free-Cashflow zu erhöhen. Derartige Praktiken lassen sich mithilfe des Anlagenabnutzungsgrades überprüfen. Diese Kennzahl lässt sich als Indikator für das Alter der Sachanlagen anwenden. Der Anlagenabnutzungsgrad sagt nun aus, zu welchem Anteil das Anlagevermögen bereits abgeschrieben ist. Ein hoher Wert gibt folglich an, dass in Zukunft hohe Investitionen nötig sind, um alte Anlagen zu ersetzen. Insbesondere der Vergleich mit Branchenkonkurrenten ist hier von Interesse.</w:t>
      </w:r>
    </w:p>
    <w:p w14:paraId="248A7C43"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Wachstumsquote</w:t>
      </w:r>
    </w:p>
    <w:p w14:paraId="6FCDD44E"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Eine dynamischere Kennzahl mit ähnlichem Ziel, die Wachstumsquote, setzt die getätigten Investitionen und Abschreibungen ins Verhältnis. Für gewöhnlich ist Wachstum mit entsprechenden Investitionen verbunden. Übersteigen die Investitionen die jährlichen Abschreibungen, so befindet sich das Unternehmen meist in einer expansiven Phase. Liegt der Wert dagegen unter 100 %, ist zu prüfen, ob das Unternehmen entweder die Abschreibungsraten zu hoch ansetzt, auf Kosten seiner Substanz lebt oder geringere Investitionen gerechtfertigt sind, da die Wachstumsdynamik abgenommen hat. Ein weiterer Grund kann in technologische Veränderungen zu finden sein. Wechselt beispielsweise ein Kaufhaus komplett auf den eCommerce-Kanal, so werden die Sachinvestitionen stark abnehmen, da im eCommerce geringere Investitionen anfallen. Die Abschreibungen und Investitionen (</w:t>
      </w:r>
      <w:proofErr w:type="spellStart"/>
      <w:r w:rsidRPr="00E15ABE">
        <w:rPr>
          <w:rFonts w:ascii="Aptos" w:eastAsia="Aptos" w:hAnsi="Aptos" w:cs="Times New Roman"/>
          <w:sz w:val="22"/>
        </w:rPr>
        <w:t>capital</w:t>
      </w:r>
      <w:proofErr w:type="spellEnd"/>
      <w:r w:rsidRPr="00E15ABE">
        <w:rPr>
          <w:rFonts w:ascii="Aptos" w:eastAsia="Aptos" w:hAnsi="Aptos" w:cs="Times New Roman"/>
          <w:sz w:val="22"/>
        </w:rPr>
        <w:t xml:space="preserve"> </w:t>
      </w:r>
      <w:proofErr w:type="spellStart"/>
      <w:r w:rsidRPr="00E15ABE">
        <w:rPr>
          <w:rFonts w:ascii="Aptos" w:eastAsia="Aptos" w:hAnsi="Aptos" w:cs="Times New Roman"/>
          <w:sz w:val="22"/>
        </w:rPr>
        <w:t>expenditures</w:t>
      </w:r>
      <w:proofErr w:type="spellEnd"/>
      <w:r w:rsidRPr="00E15ABE">
        <w:rPr>
          <w:rFonts w:ascii="Aptos" w:eastAsia="Aptos" w:hAnsi="Aptos" w:cs="Times New Roman"/>
          <w:sz w:val="22"/>
        </w:rPr>
        <w:t xml:space="preserve">, kurz CAPEX) zur Berechnung der Kennzahl für die jeweilige Periode finden sich in der </w:t>
      </w:r>
      <w:proofErr w:type="spellStart"/>
      <w:r w:rsidRPr="00E15ABE">
        <w:rPr>
          <w:rFonts w:ascii="Aptos" w:eastAsia="Aptos" w:hAnsi="Aptos" w:cs="Times New Roman"/>
          <w:sz w:val="22"/>
        </w:rPr>
        <w:t>Cashflowrechnung</w:t>
      </w:r>
      <w:proofErr w:type="spellEnd"/>
      <w:r w:rsidRPr="00E15ABE">
        <w:rPr>
          <w:rFonts w:ascii="Aptos" w:eastAsia="Aptos" w:hAnsi="Aptos" w:cs="Times New Roman"/>
          <w:sz w:val="22"/>
        </w:rPr>
        <w:t>.</w:t>
      </w:r>
    </w:p>
    <w:p w14:paraId="4656967E"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Cash-Burn-Rate</w:t>
      </w:r>
    </w:p>
    <w:p w14:paraId="02D837D1"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Insbesondere junge und schnell wachsende Unternehmen weisen einen Kapitalbedarf auf, der die operativen Cashflows oft übersteigt. Da starkes Wachstum in der Regel mit hohen Investitionen in das Umlaufvermögen einhergeht (z. B. für ausreichende Vorratsbestände), würde die herkömmliche Bewertung auf Basis von Zahlungsströmen stets zu einem negativen Ergebnis kommen. Zwar ist eine gesunde Skepsis gegenüber jungen Unternehmen gerade in Boomphasen angebracht, jedoch sind auch in diesem Bereich interessante Investitionsideen zu finden. Die Cash-Burn-Rate zeigt an, wie lange ein Unternehmen maximal defizitär wirtschaften kann. Bei defizitären Unternehmen bietet sich der Vergleich von Verlust (im Betrag) und Eigenkapital an. Diese Kennzahl gibt die maximale Anzahl an verkraftbaren Verlustjahren an. Je näher dieser Wert dem Nullpunkt kommt, desto notwendiger wird eine Kapitalerhöhung, um eine Überschuldung abzuwenden. Weist die Cash-Burn-Rate (C-B-R) beispielsweise einen Wert von 5 Jahren auf, so bedeutet dies, dass erst nach 5 konstanten Verlustjahren das Eigenkapital aufgezehrt wäre. Es ist zu beachten, dass der Investor in einem solchen Fall über eine fundierte Einschätzung verfügen sollte, wann das Unternehmen den Break-</w:t>
      </w:r>
      <w:proofErr w:type="spellStart"/>
      <w:r w:rsidRPr="00E15ABE">
        <w:rPr>
          <w:rFonts w:ascii="Aptos" w:eastAsia="Aptos" w:hAnsi="Aptos" w:cs="Times New Roman"/>
          <w:sz w:val="22"/>
        </w:rPr>
        <w:t>evenPunkt</w:t>
      </w:r>
      <w:proofErr w:type="spellEnd"/>
      <w:r w:rsidRPr="00E15ABE">
        <w:rPr>
          <w:rFonts w:ascii="Aptos" w:eastAsia="Aptos" w:hAnsi="Aptos" w:cs="Times New Roman"/>
          <w:sz w:val="22"/>
        </w:rPr>
        <w:t xml:space="preserve"> erreichen kann. Ist dieser beispielsweise nach 2 Jahren erreicht, so genügen die Rücklagen. Eine solche Prognose ist dabei immer unter pessimistischen Annahmen zu treffen, da bei Nichteintreffen unter Umständen ein Totalverlust droht.</w:t>
      </w:r>
    </w:p>
    <w:p w14:paraId="3BE210D0"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Umlauf- und Anlagenintensität</w:t>
      </w:r>
    </w:p>
    <w:p w14:paraId="6AABC4C4"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 xml:space="preserve">Je größer der Anteil des Umlaufvermögens an der Bilanzsumme, desto ausgeprägter ist die Flexibilität des Unternehmens. Da Umlaufvermögen per Definition kurzfristig gebundenes Kapital darstellt, bedeutet eine hohe Umlaufintensität gleichzeitig ein großes Maß an Anpassungsfähigkeit. Insbesondere in schnelllebigen Branchen ist Flexibilität die Grundvoraussetzung, um langfristig bestehen zu können. Weist ein Unternehmen beispielsweise eine geringe Umlaufintensität auf, so ist ein großer Teil der Vermögenswerte im Anlagevermögen gebunden. Dies können zum Beispiel Fabrikgebäude und Maschinen sein. Ändert nun ein Trend </w:t>
      </w:r>
      <w:r w:rsidRPr="00E15ABE">
        <w:rPr>
          <w:rFonts w:ascii="Aptos" w:eastAsia="Aptos" w:hAnsi="Aptos" w:cs="Times New Roman"/>
          <w:sz w:val="22"/>
        </w:rPr>
        <w:lastRenderedPageBreak/>
        <w:t>wie der Elektroantrieb im Automobilsektor eine ganze Branche, so müssen die Anlagegüter erneuert werden, was in der Regel kostspielig ist. Gleichwohl bedeutet eine hohe Umlaufintensität nicht per se hohe Flexibilität. Gegebenenfalls kann das Unternehmen seine Vorräte nicht verkaufen oder Forderungen nicht eintreiben. In diesem Fall deutet ein Anschwellen des Umlaufvermögens auf existenzielle Probleme hin. Das Gegenstück zur Umlaufintensität stellt die Anlagenintensität dar. Eine hohe Anlagenintensität birgt dabei teilweise Risiken, da nicht schnell auf Markttrends reagiert werden kann. Ein Händler mit einer sehr geringen Anlagenintensität kann beispielsweise sehr schnell auf Trends reagieren, indem er stets die Produkte ins Sortiment nimmt, die gerade nachgefragt werden. Die Produzenten dieser Produkte können dagegen oft nicht flexibel auf Nachfrageänderungen reagieren, da Maschinen in der Regel nur bestimmte Produkte herstellen können. Unternehmen mit einer hohen Anlagenintensität sollten daher stets über eine hohe Planbarkeit verfügen, wodurch das Risiko von neuen Markttrends und Nachfrageänderungen minimiert wird.</w:t>
      </w:r>
    </w:p>
    <w:p w14:paraId="5AA895CD"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Anlagendeckungsgrad I und II</w:t>
      </w:r>
    </w:p>
    <w:p w14:paraId="1087CA51"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 xml:space="preserve">Die „Goldene Bilanzregel“ verlangt, dass langfristiges Vermögen langfristig finanziert sein sollte, um Finanzengpässe zu vermeiden. Da neben dem Eigenkapital das langfristige Fremdkapital dem Unternehmen ebenfalls über mehrere Jahre zur Verfügung steht, dieses im Gegensatz zu Ersterem aber eine Fälligkeit aufweist, bietet sich zur Bewertung des Finanzierungsgrads eine Aufteilung in zwei verwandte Kennzahlen an. Die Anlagendeckung I beschreibt die prozentuale Deckung des Anlagevermögens durch Eigenkapital. Da Unternehmen zudem noch langfristiges Fremdkapital zur Verfügung steht, ist ein Zielwert zwischen 70 und 90 % ausreichend. Durch Hinzuziehen des langfristigen Fremdkapitals ergibt sich die Anlagendeckung zweiten Grades. Ein Wert von über 100 % sagt aus, dass neben dem Anlagevermögen auch ein Teil des Umlaufvermögens langfristig finanziert ist. Der Zielwert ist im Bereich von 130 % anzusiedeln. Insbesondere bei zyklischen oder finanziell angeschlagenen Unternehmen ist diese Kennzahl wichtig. Eine Anlagendeckung II von unter 100 % birgt die latente Gefahr von Zahlungsschwierigkeiten bei der Begleichung von kurzfristigen Verbindlichkeiten. In Deutschland war die </w:t>
      </w:r>
      <w:proofErr w:type="spellStart"/>
      <w:r w:rsidRPr="00E15ABE">
        <w:rPr>
          <w:rFonts w:ascii="Aptos" w:eastAsia="Aptos" w:hAnsi="Aptos" w:cs="Times New Roman"/>
          <w:sz w:val="22"/>
        </w:rPr>
        <w:t>Hypo</w:t>
      </w:r>
      <w:proofErr w:type="spellEnd"/>
      <w:r w:rsidRPr="00E15ABE">
        <w:rPr>
          <w:rFonts w:ascii="Aptos" w:eastAsia="Aptos" w:hAnsi="Aptos" w:cs="Times New Roman"/>
          <w:sz w:val="22"/>
        </w:rPr>
        <w:t xml:space="preserve"> Real Estate eines der prominentesten Opfer der Nichtbeachtung dieser Kennzahl. Langfristige Kredite wurden kurzfristig finanziert, um aus dem Zinsunterschied Gewinn zu ziehen – die Folgen sind bekannt.</w:t>
      </w:r>
    </w:p>
    <w:p w14:paraId="44694E08"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Goodwill-Anteil</w:t>
      </w:r>
    </w:p>
    <w:p w14:paraId="16E3631F" w14:textId="77777777" w:rsidR="00E15ABE" w:rsidRPr="00E15ABE" w:rsidRDefault="00E15ABE" w:rsidP="00E15ABE">
      <w:pPr>
        <w:spacing w:line="256" w:lineRule="auto"/>
        <w:rPr>
          <w:rFonts w:ascii="Aptos" w:eastAsia="Aptos" w:hAnsi="Aptos" w:cs="Times New Roman"/>
          <w:sz w:val="22"/>
        </w:rPr>
      </w:pPr>
      <w:r w:rsidRPr="00E15ABE">
        <w:rPr>
          <w:rFonts w:ascii="Aptos" w:eastAsia="Aptos" w:hAnsi="Aptos" w:cs="Times New Roman"/>
          <w:sz w:val="22"/>
        </w:rPr>
        <w:t xml:space="preserve">Sechs Jahre nachdem Vodafone die Firma Mannesmann für die Rekordsumme von 112 Mrd. £ übernommen hatte, vermeldete der britische Mobilfunkanbieter im Jahr 2006 einen Verlust nach Steuern in Höhe von 21,8 Mrd. £. Was war passiert? Das britische Unternehmen hatte den Wert Mannesmanns zu hoch angesetzt und sah sich angesichts der nicht eintretenden Erwartungen gezwungen, den in der Bilanz ausgewiesenen Wert entsprechend anzupassen. Eine </w:t>
      </w:r>
      <w:proofErr w:type="spellStart"/>
      <w:r w:rsidRPr="00E15ABE">
        <w:rPr>
          <w:rFonts w:ascii="Aptos" w:eastAsia="Aptos" w:hAnsi="Aptos" w:cs="Times New Roman"/>
          <w:sz w:val="22"/>
        </w:rPr>
        <w:t>GoodwillAbschreibung</w:t>
      </w:r>
      <w:proofErr w:type="spellEnd"/>
      <w:r w:rsidRPr="00E15ABE">
        <w:rPr>
          <w:rFonts w:ascii="Aptos" w:eastAsia="Aptos" w:hAnsi="Aptos" w:cs="Times New Roman"/>
          <w:sz w:val="22"/>
        </w:rPr>
        <w:t xml:space="preserve"> in Milliardenhöhe war die Folge. Zur Erinnerung: Goodwill oder Geschäfts- und Firmenwert ist der Aufpreis, den der Erwerber auf den Buchwert des Zielunternehmens bezahlt. Unternehmen müssen jährlich einen sogenannten „</w:t>
      </w:r>
      <w:proofErr w:type="spellStart"/>
      <w:r w:rsidRPr="00E15ABE">
        <w:rPr>
          <w:rFonts w:ascii="Aptos" w:eastAsia="Aptos" w:hAnsi="Aptos" w:cs="Times New Roman"/>
          <w:sz w:val="22"/>
        </w:rPr>
        <w:t>Impairment</w:t>
      </w:r>
      <w:proofErr w:type="spellEnd"/>
      <w:r w:rsidRPr="00E15ABE">
        <w:rPr>
          <w:rFonts w:ascii="Aptos" w:eastAsia="Aptos" w:hAnsi="Aptos" w:cs="Times New Roman"/>
          <w:sz w:val="22"/>
        </w:rPr>
        <w:t xml:space="preserve">-Test“ des ausgewiesenen Goodwills in der Bilanz durchführen. Dieser Werthaltigkeitstest überprüft, ob die Höhe des Vermögenswertes Goodwill in der Bilanz gerechtfertigt ist. Sollte dies nicht der Fall sein, erfolgt eine außerplanmäßige Abschreibung, die den Gewinn entsprechend belastet. Eine jährliche, planmäßige Abschreibung des Goodwills wird nach der geltenden internationalen Rechnungslegung nicht durchgeführt. Goodwill stellt eine Gefahr für die Bilanzrelationen dar, da viele Unternehmen den Wert übernommener Firmen häufig zu optimistisch angesetzt haben und mitunter deutliche Abschreibungen in den Folgejahren verbuchen mussten. Oft ist dies die direkte Folge von zu hohen Kaufpreisen bei Übernahmen, welche sich in im Nachhinein durchgeführten </w:t>
      </w:r>
      <w:proofErr w:type="spellStart"/>
      <w:r w:rsidRPr="00E15ABE">
        <w:rPr>
          <w:rFonts w:ascii="Aptos" w:eastAsia="Aptos" w:hAnsi="Aptos" w:cs="Times New Roman"/>
          <w:sz w:val="22"/>
        </w:rPr>
        <w:t>Impairment</w:t>
      </w:r>
      <w:proofErr w:type="spellEnd"/>
      <w:r w:rsidRPr="00E15ABE">
        <w:rPr>
          <w:rFonts w:ascii="Aptos" w:eastAsia="Aptos" w:hAnsi="Aptos" w:cs="Times New Roman"/>
          <w:sz w:val="22"/>
        </w:rPr>
        <w:t xml:space="preserve">-Tests als überteuert herausstellen. Dennoch ist Goodwill nicht per se zu verteufeln, </w:t>
      </w:r>
      <w:r w:rsidRPr="00E15ABE">
        <w:rPr>
          <w:rFonts w:ascii="Aptos" w:eastAsia="Aptos" w:hAnsi="Aptos" w:cs="Times New Roman"/>
          <w:sz w:val="22"/>
        </w:rPr>
        <w:lastRenderedPageBreak/>
        <w:t>da einige Unternehmen ohne Zweifel mehr als ihr bilanzielles Eigenkapital wert sind. Ein hoher Goodwill-Anteil in der Bilanz birgt die Gefahr von außerplanmäßigen Abschreibungen, die das Eigenkapital mindern. Aus diesem Grund sollte der ausgewiesene Goodwill keinen signifikanten Anteil am Eigenkapital haben. Als Faustregel kann ein Maximalverhältnis von 30 % festgehalten werden. Selbst im Fall einer Abschreibung des Goodwills sind so in der Regel weiterhin solide Bilanzkennzahlen gewährleistet. Zwar sind Abschreibungen nicht liquiditätswirksam und ziehen somit keine Auszahlungen nach sich, jedoch ist diese Art von Abschreibungen immer direkte Folge einer Überbewertung der eigenen Vermögensgegenstände, was nie positiv zu bewerten ist. Der Goodwill sollte daher im Analyseprozess einer eigenen Werthaltigkeitsprüfung unterzogen werden. Stellt sich dieser als minderwertig heraus, ist eine entsprechende Verrechnung mit dem Eigenkapital notwendig. Der genauen Bereinigung und Aufbereitung der Bilanz ist am Ende von Kapitel 8 ein eigener Abschnitt gewidmet.</w:t>
      </w:r>
    </w:p>
    <w:p w14:paraId="4A710275" w14:textId="77777777" w:rsidR="00B97EE9" w:rsidRPr="00316000" w:rsidRDefault="00B97EE9" w:rsidP="005D52FF"/>
    <w:p w14:paraId="675C1CD0" w14:textId="77777777" w:rsidR="00E15ABE" w:rsidRPr="00316000" w:rsidRDefault="00E15ABE" w:rsidP="005D52FF"/>
    <w:p w14:paraId="1339FB87" w14:textId="77777777" w:rsidR="00E15ABE" w:rsidRPr="00316000" w:rsidRDefault="00E15ABE" w:rsidP="005D52FF"/>
    <w:p w14:paraId="052C29E6" w14:textId="77777777" w:rsidR="00E15ABE" w:rsidRPr="00316000" w:rsidRDefault="00E15ABE" w:rsidP="005D52FF"/>
    <w:p w14:paraId="3B0585C7" w14:textId="77777777" w:rsidR="00E15ABE" w:rsidRPr="00316000" w:rsidRDefault="00E15ABE" w:rsidP="005D52FF"/>
    <w:p w14:paraId="763620C9" w14:textId="77777777" w:rsidR="00E15ABE" w:rsidRPr="00316000" w:rsidRDefault="00E15ABE" w:rsidP="005D52FF"/>
    <w:p w14:paraId="058FEA02" w14:textId="77777777" w:rsidR="00E15ABE" w:rsidRPr="00316000" w:rsidRDefault="00E15ABE" w:rsidP="005D52FF"/>
    <w:p w14:paraId="10DBF313" w14:textId="77777777" w:rsidR="00E15ABE" w:rsidRPr="00316000" w:rsidRDefault="00E15ABE" w:rsidP="005D52FF"/>
    <w:p w14:paraId="2B263BF6" w14:textId="77777777" w:rsidR="00E15ABE" w:rsidRPr="00316000" w:rsidRDefault="00E15ABE" w:rsidP="005D52FF"/>
    <w:p w14:paraId="34149046" w14:textId="77777777" w:rsidR="00E15ABE" w:rsidRPr="00316000" w:rsidRDefault="00E15ABE" w:rsidP="005D52FF"/>
    <w:p w14:paraId="3437820F" w14:textId="77777777" w:rsidR="00E15ABE" w:rsidRPr="00E15ABE" w:rsidRDefault="00E15ABE" w:rsidP="00E15ABE">
      <w:pPr>
        <w:spacing w:line="256" w:lineRule="auto"/>
        <w:jc w:val="left"/>
        <w:rPr>
          <w:rFonts w:eastAsia="Calibri" w:cs="Arial"/>
          <w:b/>
          <w:bCs/>
          <w:szCs w:val="24"/>
          <w:u w:val="single"/>
        </w:rPr>
      </w:pPr>
      <w:r w:rsidRPr="00E15ABE">
        <w:rPr>
          <w:rFonts w:eastAsia="Calibri" w:cs="Arial"/>
          <w:b/>
          <w:bCs/>
          <w:szCs w:val="24"/>
          <w:u w:val="single"/>
        </w:rPr>
        <w:t>Formelsammlung</w:t>
      </w:r>
    </w:p>
    <w:p w14:paraId="50855217" w14:textId="77777777" w:rsidR="00E15ABE" w:rsidRPr="00E15ABE" w:rsidRDefault="00E15ABE" w:rsidP="00E15ABE">
      <w:pPr>
        <w:keepNext/>
        <w:keepLines/>
        <w:spacing w:before="600" w:after="120"/>
        <w:jc w:val="left"/>
        <w:outlineLvl w:val="0"/>
        <w:rPr>
          <w:rFonts w:eastAsia="Times New Roman" w:cs="Times New Roman"/>
          <w:sz w:val="22"/>
          <w:szCs w:val="32"/>
          <w:u w:val="single"/>
        </w:rPr>
      </w:pPr>
      <w:r w:rsidRPr="00E15ABE">
        <w:rPr>
          <w:rFonts w:eastAsia="Times New Roman" w:cs="Times New Roman"/>
          <w:sz w:val="22"/>
          <w:szCs w:val="32"/>
          <w:u w:val="single"/>
        </w:rPr>
        <w:t>Kennzahlen zu Ertrag und Rentabilität</w:t>
      </w:r>
    </w:p>
    <w:p w14:paraId="25AB11A0" w14:textId="77777777" w:rsidR="00E15ABE" w:rsidRPr="00E15ABE" w:rsidRDefault="00E15ABE" w:rsidP="00E15ABE">
      <w:pPr>
        <w:spacing w:line="256" w:lineRule="auto"/>
        <w:jc w:val="left"/>
        <w:rPr>
          <w:rFonts w:eastAsia="Times New Roman" w:cs="Arial"/>
          <w:sz w:val="22"/>
        </w:rPr>
      </w:pPr>
      <m:oMath>
        <m:r>
          <m:rPr>
            <m:sty m:val="p"/>
          </m:rPr>
          <w:rPr>
            <w:rFonts w:ascii="Cambria Math" w:eastAsia="Calibri" w:hAnsi="Cambria Math" w:cs="Arial"/>
            <w:sz w:val="22"/>
          </w:rPr>
          <m:t xml:space="preserve">Eigenkapitalrendite in %= </m:t>
        </m:r>
        <m:f>
          <m:fPr>
            <m:ctrlPr>
              <w:rPr>
                <w:rFonts w:ascii="Cambria Math" w:eastAsia="Calibri" w:hAnsi="Cambria Math" w:cs="Arial"/>
                <w:iCs/>
                <w:sz w:val="22"/>
              </w:rPr>
            </m:ctrlPr>
          </m:fPr>
          <m:num>
            <m:r>
              <m:rPr>
                <m:sty m:val="p"/>
              </m:rPr>
              <w:rPr>
                <w:rFonts w:ascii="Cambria Math" w:eastAsia="Calibri" w:hAnsi="Cambria Math" w:cs="Arial"/>
                <w:sz w:val="22"/>
              </w:rPr>
              <m:t>Jahresüberschuss</m:t>
            </m:r>
          </m:num>
          <m:den>
            <m:r>
              <m:rPr>
                <m:sty m:val="p"/>
              </m:rPr>
              <w:rPr>
                <w:rFonts w:ascii="Cambria Math" w:eastAsia="Calibri" w:hAnsi="Cambria Math" w:cs="Arial"/>
                <w:sz w:val="22"/>
              </w:rPr>
              <m:t>Eigenkapital</m:t>
            </m:r>
          </m:den>
        </m:f>
        <m:r>
          <w:rPr>
            <w:rFonts w:ascii="Cambria Math" w:eastAsia="Calibri" w:hAnsi="Cambria Math" w:cs="Arial"/>
            <w:sz w:val="22"/>
          </w:rPr>
          <m:t>*100</m:t>
        </m:r>
      </m:oMath>
      <w:r w:rsidRPr="00E15ABE">
        <w:rPr>
          <w:rFonts w:eastAsia="Times New Roman" w:cs="Arial"/>
          <w:sz w:val="22"/>
        </w:rPr>
        <w:tab/>
      </w:r>
      <w:r w:rsidRPr="00E15ABE">
        <w:rPr>
          <w:rFonts w:eastAsia="Times New Roman" w:cs="Arial"/>
          <w:sz w:val="22"/>
        </w:rPr>
        <w:tab/>
      </w:r>
    </w:p>
    <w:p w14:paraId="2ECFF5BA" w14:textId="77777777" w:rsidR="00E15ABE" w:rsidRPr="00E15ABE" w:rsidRDefault="00E15ABE" w:rsidP="00E15ABE">
      <w:pPr>
        <w:spacing w:line="256" w:lineRule="auto"/>
        <w:jc w:val="left"/>
        <w:rPr>
          <w:rFonts w:eastAsia="Times New Roman" w:cs="Arial"/>
          <w:sz w:val="22"/>
        </w:rPr>
      </w:pPr>
      <m:oMathPara>
        <m:oMath>
          <m:r>
            <m:rPr>
              <m:sty m:val="p"/>
            </m:rPr>
            <w:rPr>
              <w:rFonts w:ascii="Cambria Math" w:eastAsia="Calibri" w:hAnsi="Cambria Math" w:cs="Arial"/>
              <w:sz w:val="22"/>
            </w:rPr>
            <m:t xml:space="preserve">Gesamtkapitalrendite in %= </m:t>
          </m:r>
          <m:f>
            <m:fPr>
              <m:ctrlPr>
                <w:rPr>
                  <w:rFonts w:ascii="Cambria Math" w:eastAsia="Calibri" w:hAnsi="Cambria Math" w:cs="Arial"/>
                  <w:iCs/>
                  <w:sz w:val="22"/>
                </w:rPr>
              </m:ctrlPr>
            </m:fPr>
            <m:num>
              <m:r>
                <m:rPr>
                  <m:sty m:val="p"/>
                </m:rPr>
                <w:rPr>
                  <w:rFonts w:ascii="Cambria Math" w:eastAsia="Calibri" w:hAnsi="Cambria Math" w:cs="Arial"/>
                  <w:sz w:val="22"/>
                </w:rPr>
                <m:t>Jahresüberschuss+Fremdkapitalzinsen</m:t>
              </m:r>
            </m:num>
            <m:den>
              <m:r>
                <m:rPr>
                  <m:sty m:val="p"/>
                </m:rPr>
                <w:rPr>
                  <w:rFonts w:ascii="Cambria Math" w:eastAsia="Calibri" w:hAnsi="Cambria Math" w:cs="Arial"/>
                  <w:sz w:val="22"/>
                </w:rPr>
                <m:t>Bilanzsumme</m:t>
              </m:r>
            </m:den>
          </m:f>
          <m:r>
            <w:rPr>
              <w:rFonts w:ascii="Cambria Math" w:eastAsia="Calibri" w:hAnsi="Cambria Math" w:cs="Arial"/>
              <w:sz w:val="22"/>
            </w:rPr>
            <m:t>*100</m:t>
          </m:r>
        </m:oMath>
      </m:oMathPara>
    </w:p>
    <w:p w14:paraId="7B12A8CC" w14:textId="77777777" w:rsidR="00E15ABE" w:rsidRPr="00E15ABE" w:rsidRDefault="00E15ABE" w:rsidP="00E15ABE">
      <w:pPr>
        <w:spacing w:line="256" w:lineRule="auto"/>
        <w:jc w:val="left"/>
        <w:rPr>
          <w:rFonts w:eastAsia="Times New Roman" w:cs="Arial"/>
          <w:sz w:val="22"/>
        </w:rPr>
      </w:pPr>
      <m:oMath>
        <m:r>
          <m:rPr>
            <m:sty m:val="p"/>
          </m:rPr>
          <w:rPr>
            <w:rFonts w:ascii="Cambria Math" w:eastAsia="Calibri" w:hAnsi="Cambria Math" w:cs="Arial"/>
            <w:sz w:val="22"/>
          </w:rPr>
          <m:t xml:space="preserve">Umsatzrendite in %= </m:t>
        </m:r>
        <m:f>
          <m:fPr>
            <m:ctrlPr>
              <w:rPr>
                <w:rFonts w:ascii="Cambria Math" w:eastAsia="Calibri" w:hAnsi="Cambria Math" w:cs="Arial"/>
                <w:iCs/>
                <w:sz w:val="22"/>
              </w:rPr>
            </m:ctrlPr>
          </m:fPr>
          <m:num>
            <m:r>
              <m:rPr>
                <m:sty m:val="p"/>
              </m:rPr>
              <w:rPr>
                <w:rFonts w:ascii="Cambria Math" w:eastAsia="Calibri" w:hAnsi="Cambria Math" w:cs="Arial"/>
                <w:sz w:val="22"/>
              </w:rPr>
              <m:t>Jahresüberschuss</m:t>
            </m:r>
          </m:num>
          <m:den>
            <m:r>
              <m:rPr>
                <m:sty m:val="p"/>
              </m:rPr>
              <w:rPr>
                <w:rFonts w:ascii="Cambria Math" w:eastAsia="Calibri" w:hAnsi="Cambria Math" w:cs="Arial"/>
                <w:sz w:val="22"/>
              </w:rPr>
              <m:t>Umsatzerlöse</m:t>
            </m:r>
          </m:den>
        </m:f>
        <m:r>
          <w:rPr>
            <w:rFonts w:ascii="Cambria Math" w:eastAsia="Calibri" w:hAnsi="Cambria Math" w:cs="Arial"/>
            <w:sz w:val="22"/>
          </w:rPr>
          <m:t>*100</m:t>
        </m:r>
      </m:oMath>
      <w:r w:rsidRPr="00E15ABE">
        <w:rPr>
          <w:rFonts w:eastAsia="Times New Roman" w:cs="Arial"/>
          <w:sz w:val="22"/>
        </w:rPr>
        <w:t xml:space="preserve">   </w:t>
      </w:r>
      <w:r w:rsidRPr="00E15ABE">
        <w:rPr>
          <w:rFonts w:eastAsia="Times New Roman" w:cs="Arial"/>
          <w:sz w:val="22"/>
        </w:rPr>
        <w:tab/>
      </w:r>
      <w:r w:rsidRPr="00E15ABE">
        <w:rPr>
          <w:rFonts w:eastAsia="Times New Roman" w:cs="Arial"/>
          <w:sz w:val="22"/>
        </w:rPr>
        <w:tab/>
      </w:r>
      <w:r w:rsidRPr="00E15ABE">
        <w:rPr>
          <w:rFonts w:eastAsia="Times New Roman" w:cs="Arial"/>
          <w:sz w:val="22"/>
        </w:rPr>
        <w:tab/>
      </w:r>
      <w:r w:rsidRPr="00E15ABE">
        <w:rPr>
          <w:rFonts w:eastAsia="Times New Roman" w:cs="Arial"/>
          <w:sz w:val="22"/>
        </w:rPr>
        <w:tab/>
      </w:r>
    </w:p>
    <w:p w14:paraId="15E29E36" w14:textId="77777777" w:rsidR="00E15ABE" w:rsidRPr="00E15ABE" w:rsidRDefault="00E15ABE" w:rsidP="00E15ABE">
      <w:pPr>
        <w:spacing w:line="256" w:lineRule="auto"/>
        <w:jc w:val="left"/>
        <w:rPr>
          <w:rFonts w:eastAsia="Times New Roman" w:cs="Arial"/>
          <w:sz w:val="22"/>
        </w:rPr>
      </w:pPr>
      <m:oMath>
        <m:r>
          <m:rPr>
            <m:sty m:val="p"/>
          </m:rPr>
          <w:rPr>
            <w:rFonts w:ascii="Cambria Math" w:eastAsia="Calibri" w:hAnsi="Cambria Math" w:cs="Arial"/>
            <w:sz w:val="22"/>
          </w:rPr>
          <m:t>EBIT</m:t>
        </m:r>
        <m:d>
          <m:dPr>
            <m:ctrlPr>
              <w:rPr>
                <w:rFonts w:ascii="Cambria Math" w:eastAsia="Calibri" w:hAnsi="Cambria Math" w:cs="Arial"/>
                <w:iCs/>
                <w:sz w:val="22"/>
              </w:rPr>
            </m:ctrlPr>
          </m:dPr>
          <m:e>
            <m:r>
              <m:rPr>
                <m:sty m:val="p"/>
              </m:rPr>
              <w:rPr>
                <w:rFonts w:ascii="Cambria Math" w:eastAsia="Calibri" w:hAnsi="Cambria Math" w:cs="Arial"/>
                <w:sz w:val="22"/>
              </w:rPr>
              <m:t>DA</m:t>
            </m:r>
          </m:e>
        </m:d>
        <m:r>
          <m:rPr>
            <m:sty m:val="p"/>
          </m:rPr>
          <w:rPr>
            <w:rFonts w:ascii="Cambria Math" w:eastAsia="Calibri" w:hAnsi="Cambria Math" w:cs="Arial"/>
            <w:sz w:val="22"/>
          </w:rPr>
          <m:t xml:space="preserve">-Marge in %= </m:t>
        </m:r>
        <m:f>
          <m:fPr>
            <m:ctrlPr>
              <w:rPr>
                <w:rFonts w:ascii="Cambria Math" w:eastAsia="Calibri" w:hAnsi="Cambria Math" w:cs="Arial"/>
                <w:iCs/>
                <w:sz w:val="22"/>
              </w:rPr>
            </m:ctrlPr>
          </m:fPr>
          <m:num>
            <m:r>
              <m:rPr>
                <m:sty m:val="p"/>
              </m:rPr>
              <w:rPr>
                <w:rFonts w:ascii="Cambria Math" w:eastAsia="Calibri" w:hAnsi="Cambria Math" w:cs="Arial"/>
                <w:sz w:val="22"/>
              </w:rPr>
              <m:t>EBIT</m:t>
            </m:r>
            <m:d>
              <m:dPr>
                <m:ctrlPr>
                  <w:rPr>
                    <w:rFonts w:ascii="Cambria Math" w:eastAsia="Calibri" w:hAnsi="Cambria Math" w:cs="Arial"/>
                    <w:iCs/>
                    <w:sz w:val="22"/>
                  </w:rPr>
                </m:ctrlPr>
              </m:dPr>
              <m:e>
                <m:r>
                  <m:rPr>
                    <m:sty m:val="p"/>
                  </m:rPr>
                  <w:rPr>
                    <w:rFonts w:ascii="Cambria Math" w:eastAsia="Calibri" w:hAnsi="Cambria Math" w:cs="Arial"/>
                    <w:sz w:val="22"/>
                  </w:rPr>
                  <m:t>DA</m:t>
                </m:r>
              </m:e>
            </m:d>
          </m:num>
          <m:den>
            <m:r>
              <m:rPr>
                <m:sty m:val="p"/>
              </m:rPr>
              <w:rPr>
                <w:rFonts w:ascii="Cambria Math" w:eastAsia="Calibri" w:hAnsi="Cambria Math" w:cs="Arial"/>
                <w:sz w:val="22"/>
              </w:rPr>
              <m:t>Umsatzerlöse</m:t>
            </m:r>
          </m:den>
        </m:f>
        <m:r>
          <m:rPr>
            <m:sty m:val="p"/>
          </m:rPr>
          <w:rPr>
            <w:rFonts w:ascii="Cambria Math" w:eastAsia="Calibri" w:hAnsi="Cambria Math" w:cs="Arial"/>
            <w:sz w:val="22"/>
          </w:rPr>
          <m:t>*100</m:t>
        </m:r>
      </m:oMath>
      <w:r w:rsidRPr="00E15ABE">
        <w:rPr>
          <w:rFonts w:eastAsia="Times New Roman" w:cs="Arial"/>
          <w:sz w:val="22"/>
        </w:rPr>
        <w:t xml:space="preserve"> </w:t>
      </w:r>
    </w:p>
    <w:p w14:paraId="31DC3A16" w14:textId="77777777" w:rsidR="00E15ABE" w:rsidRPr="00E15ABE" w:rsidRDefault="00E15ABE" w:rsidP="00E15ABE">
      <w:pPr>
        <w:spacing w:line="256" w:lineRule="auto"/>
        <w:jc w:val="left"/>
        <w:rPr>
          <w:rFonts w:eastAsia="Times New Roman" w:cs="Arial"/>
          <w:iCs/>
          <w:sz w:val="22"/>
        </w:rPr>
      </w:pPr>
      <m:oMath>
        <m:r>
          <m:rPr>
            <m:sty m:val="p"/>
          </m:rPr>
          <w:rPr>
            <w:rFonts w:ascii="Cambria Math" w:eastAsia="Times New Roman" w:hAnsi="Cambria Math" w:cs="Arial"/>
            <w:sz w:val="22"/>
          </w:rPr>
          <m:t>Umsatzverdienstrate=</m:t>
        </m:r>
        <m:f>
          <m:fPr>
            <m:ctrlPr>
              <w:rPr>
                <w:rFonts w:ascii="Cambria Math" w:eastAsia="Times New Roman" w:hAnsi="Cambria Math" w:cs="Arial"/>
                <w:iCs/>
                <w:sz w:val="22"/>
              </w:rPr>
            </m:ctrlPr>
          </m:fPr>
          <m:num>
            <m:r>
              <m:rPr>
                <m:sty m:val="p"/>
              </m:rPr>
              <w:rPr>
                <w:rFonts w:ascii="Cambria Math" w:eastAsia="Times New Roman" w:hAnsi="Cambria Math" w:cs="Arial"/>
                <w:sz w:val="22"/>
              </w:rPr>
              <m:t>operativer Cashflow</m:t>
            </m:r>
          </m:num>
          <m:den>
            <m:r>
              <m:rPr>
                <m:sty m:val="p"/>
              </m:rPr>
              <w:rPr>
                <w:rFonts w:ascii="Cambria Math" w:eastAsia="Times New Roman" w:hAnsi="Cambria Math" w:cs="Arial"/>
                <w:sz w:val="22"/>
              </w:rPr>
              <m:t>Umsatzerlöse</m:t>
            </m:r>
          </m:den>
        </m:f>
      </m:oMath>
      <w:r w:rsidRPr="00E15ABE">
        <w:rPr>
          <w:rFonts w:eastAsia="Times New Roman" w:cs="Arial"/>
          <w:iCs/>
          <w:sz w:val="22"/>
        </w:rPr>
        <w:tab/>
      </w:r>
      <w:r w:rsidRPr="00E15ABE">
        <w:rPr>
          <w:rFonts w:eastAsia="Times New Roman" w:cs="Arial"/>
          <w:iCs/>
          <w:sz w:val="22"/>
        </w:rPr>
        <w:tab/>
      </w:r>
      <w:r w:rsidRPr="00E15ABE">
        <w:rPr>
          <w:rFonts w:eastAsia="Times New Roman" w:cs="Arial"/>
          <w:iCs/>
          <w:sz w:val="22"/>
        </w:rPr>
        <w:tab/>
      </w:r>
      <w:r w:rsidRPr="00E15ABE">
        <w:rPr>
          <w:rFonts w:eastAsia="Times New Roman" w:cs="Arial"/>
          <w:iCs/>
          <w:sz w:val="22"/>
        </w:rPr>
        <w:tab/>
      </w:r>
    </w:p>
    <w:p w14:paraId="68AD27DF" w14:textId="77777777" w:rsidR="00E15ABE" w:rsidRPr="00E15ABE" w:rsidRDefault="00E15ABE" w:rsidP="00E15ABE">
      <w:pPr>
        <w:spacing w:line="256" w:lineRule="auto"/>
        <w:jc w:val="left"/>
        <w:rPr>
          <w:rFonts w:eastAsia="Times New Roman" w:cs="Arial"/>
          <w:iCs/>
          <w:sz w:val="22"/>
        </w:rPr>
      </w:pPr>
      <m:oMath>
        <m:r>
          <m:rPr>
            <m:sty m:val="p"/>
          </m:rPr>
          <w:rPr>
            <w:rFonts w:ascii="Cambria Math" w:eastAsia="Calibri" w:hAnsi="Cambria Math" w:cs="Arial"/>
            <w:sz w:val="22"/>
          </w:rPr>
          <m:t xml:space="preserve">Kapitalumschlag= </m:t>
        </m:r>
        <m:f>
          <m:fPr>
            <m:ctrlPr>
              <w:rPr>
                <w:rFonts w:ascii="Cambria Math" w:eastAsia="Calibri" w:hAnsi="Cambria Math" w:cs="Arial"/>
                <w:iCs/>
                <w:sz w:val="22"/>
              </w:rPr>
            </m:ctrlPr>
          </m:fPr>
          <m:num>
            <m:r>
              <m:rPr>
                <m:sty m:val="p"/>
              </m:rPr>
              <w:rPr>
                <w:rFonts w:ascii="Cambria Math" w:eastAsia="Calibri" w:hAnsi="Cambria Math" w:cs="Arial"/>
                <w:sz w:val="22"/>
              </w:rPr>
              <m:t>Umsatz</m:t>
            </m:r>
          </m:num>
          <m:den>
            <m:r>
              <m:rPr>
                <m:sty m:val="p"/>
              </m:rPr>
              <w:rPr>
                <w:rFonts w:ascii="Cambria Math" w:eastAsia="Calibri" w:hAnsi="Cambria Math" w:cs="Arial"/>
                <w:sz w:val="22"/>
              </w:rPr>
              <m:t>Bilanzsumme</m:t>
            </m:r>
          </m:den>
        </m:f>
      </m:oMath>
      <w:r w:rsidRPr="00E15ABE">
        <w:rPr>
          <w:rFonts w:eastAsia="Times New Roman" w:cs="Arial"/>
          <w:iCs/>
          <w:sz w:val="22"/>
        </w:rPr>
        <w:tab/>
      </w:r>
    </w:p>
    <w:p w14:paraId="55DF7399" w14:textId="77777777" w:rsidR="00E15ABE" w:rsidRPr="00E15ABE" w:rsidRDefault="00E15ABE" w:rsidP="00E15ABE">
      <w:pPr>
        <w:spacing w:line="256" w:lineRule="auto"/>
        <w:jc w:val="left"/>
        <w:rPr>
          <w:rFonts w:eastAsia="Times New Roman" w:cs="Arial"/>
          <w:sz w:val="22"/>
        </w:rPr>
      </w:pPr>
      <m:oMath>
        <m:r>
          <m:rPr>
            <m:sty m:val="p"/>
          </m:rPr>
          <w:rPr>
            <w:rFonts w:ascii="Cambria Math" w:eastAsia="Times New Roman" w:hAnsi="Cambria Math" w:cs="Arial"/>
            <w:sz w:val="22"/>
          </w:rPr>
          <w:lastRenderedPageBreak/>
          <m:t xml:space="preserve">Return on Investment </m:t>
        </m:r>
        <m:d>
          <m:dPr>
            <m:ctrlPr>
              <w:rPr>
                <w:rFonts w:ascii="Cambria Math" w:eastAsia="Times New Roman" w:hAnsi="Cambria Math" w:cs="Arial"/>
                <w:sz w:val="22"/>
              </w:rPr>
            </m:ctrlPr>
          </m:dPr>
          <m:e>
            <m:r>
              <m:rPr>
                <m:sty m:val="p"/>
              </m:rPr>
              <w:rPr>
                <w:rFonts w:ascii="Cambria Math" w:eastAsia="Times New Roman" w:hAnsi="Cambria Math" w:cs="Arial"/>
                <w:sz w:val="22"/>
              </w:rPr>
              <m:t>RoI</m:t>
            </m:r>
          </m:e>
        </m:d>
        <m:r>
          <m:rPr>
            <m:sty m:val="p"/>
          </m:rPr>
          <w:rPr>
            <w:rFonts w:ascii="Cambria Math" w:eastAsia="Times New Roman" w:hAnsi="Cambria Math" w:cs="Arial"/>
            <w:sz w:val="22"/>
          </w:rPr>
          <m:t xml:space="preserve">= </m:t>
        </m:r>
        <m:f>
          <m:fPr>
            <m:ctrlPr>
              <w:rPr>
                <w:rFonts w:ascii="Cambria Math" w:eastAsia="Times New Roman" w:hAnsi="Cambria Math" w:cs="Arial"/>
                <w:sz w:val="22"/>
              </w:rPr>
            </m:ctrlPr>
          </m:fPr>
          <m:num>
            <m:r>
              <m:rPr>
                <m:sty m:val="p"/>
              </m:rPr>
              <w:rPr>
                <w:rFonts w:ascii="Cambria Math" w:eastAsia="Times New Roman" w:hAnsi="Cambria Math" w:cs="Arial"/>
                <w:sz w:val="22"/>
              </w:rPr>
              <m:t>Betriebsgewinn</m:t>
            </m:r>
          </m:num>
          <m:den>
            <m:r>
              <m:rPr>
                <m:sty m:val="p"/>
              </m:rPr>
              <w:rPr>
                <w:rFonts w:ascii="Cambria Math" w:eastAsia="Times New Roman" w:hAnsi="Cambria Math" w:cs="Arial"/>
                <w:sz w:val="22"/>
              </w:rPr>
              <m:t>Bilanzsumme</m:t>
            </m:r>
          </m:den>
        </m:f>
      </m:oMath>
      <w:r w:rsidRPr="00E15ABE">
        <w:rPr>
          <w:rFonts w:eastAsia="Times New Roman" w:cs="Arial"/>
          <w:sz w:val="22"/>
        </w:rPr>
        <w:t xml:space="preserve">  </w:t>
      </w:r>
      <w:r w:rsidRPr="00E15ABE">
        <w:rPr>
          <w:rFonts w:eastAsia="Times New Roman" w:cs="Arial"/>
          <w:sz w:val="22"/>
        </w:rPr>
        <w:tab/>
      </w:r>
      <w:r w:rsidRPr="00E15ABE">
        <w:rPr>
          <w:rFonts w:eastAsia="Times New Roman" w:cs="Arial"/>
          <w:sz w:val="22"/>
        </w:rPr>
        <w:tab/>
      </w:r>
      <w:r w:rsidRPr="00E15ABE">
        <w:rPr>
          <w:rFonts w:eastAsia="Times New Roman" w:cs="Arial"/>
          <w:sz w:val="22"/>
        </w:rPr>
        <w:tab/>
      </w:r>
      <w:r w:rsidRPr="00E15ABE">
        <w:rPr>
          <w:rFonts w:eastAsia="Times New Roman" w:cs="Arial"/>
          <w:sz w:val="22"/>
        </w:rPr>
        <w:tab/>
      </w:r>
    </w:p>
    <w:p w14:paraId="78628966" w14:textId="77777777" w:rsidR="00E15ABE" w:rsidRPr="00E15ABE" w:rsidRDefault="00E15ABE" w:rsidP="00E15ABE">
      <w:pPr>
        <w:spacing w:line="256" w:lineRule="auto"/>
        <w:jc w:val="left"/>
        <w:rPr>
          <w:rFonts w:eastAsia="Times New Roman" w:cs="Arial"/>
          <w:sz w:val="22"/>
        </w:rPr>
      </w:pPr>
      <m:oMath>
        <m:r>
          <m:rPr>
            <m:sty m:val="p"/>
          </m:rPr>
          <w:rPr>
            <w:rFonts w:ascii="Cambria Math" w:eastAsia="Calibri" w:hAnsi="Cambria Math" w:cs="Arial"/>
            <w:sz w:val="22"/>
          </w:rPr>
          <m:t xml:space="preserve">Return on Capital Employed (ROCE)= </m:t>
        </m:r>
        <m:f>
          <m:fPr>
            <m:ctrlPr>
              <w:rPr>
                <w:rFonts w:ascii="Cambria Math" w:eastAsia="Calibri" w:hAnsi="Cambria Math" w:cs="Arial"/>
                <w:iCs/>
                <w:sz w:val="22"/>
              </w:rPr>
            </m:ctrlPr>
          </m:fPr>
          <m:num>
            <m:r>
              <m:rPr>
                <m:sty m:val="p"/>
              </m:rPr>
              <w:rPr>
                <w:rFonts w:ascii="Cambria Math" w:eastAsia="Calibri" w:hAnsi="Cambria Math" w:cs="Arial"/>
                <w:sz w:val="22"/>
              </w:rPr>
              <m:t>EBIT</m:t>
            </m:r>
          </m:num>
          <m:den>
            <m:r>
              <m:rPr>
                <m:sty m:val="p"/>
              </m:rPr>
              <w:rPr>
                <w:rFonts w:ascii="Cambria Math" w:eastAsia="Calibri" w:hAnsi="Cambria Math" w:cs="Arial"/>
                <w:sz w:val="22"/>
              </w:rPr>
              <m:t>Capital Employed</m:t>
            </m:r>
          </m:den>
        </m:f>
      </m:oMath>
      <w:r w:rsidRPr="00E15ABE">
        <w:rPr>
          <w:rFonts w:eastAsia="Times New Roman" w:cs="Arial"/>
          <w:iCs/>
          <w:sz w:val="22"/>
        </w:rPr>
        <w:tab/>
      </w:r>
      <w:r w:rsidRPr="00E15ABE">
        <w:rPr>
          <w:rFonts w:eastAsia="Times New Roman" w:cs="Arial"/>
          <w:iCs/>
          <w:sz w:val="22"/>
        </w:rPr>
        <w:tab/>
      </w:r>
      <w:r w:rsidRPr="00E15ABE">
        <w:rPr>
          <w:rFonts w:eastAsia="Times New Roman" w:cs="Arial"/>
          <w:iCs/>
          <w:sz w:val="22"/>
        </w:rPr>
        <w:tab/>
      </w:r>
    </w:p>
    <w:p w14:paraId="773DFF91" w14:textId="77777777" w:rsidR="00E15ABE" w:rsidRPr="00E15ABE" w:rsidRDefault="00E15ABE" w:rsidP="00E15ABE">
      <w:pPr>
        <w:keepNext/>
        <w:keepLines/>
        <w:spacing w:before="600" w:after="120"/>
        <w:jc w:val="left"/>
        <w:outlineLvl w:val="0"/>
        <w:rPr>
          <w:rFonts w:eastAsia="Times New Roman" w:cs="Times New Roman"/>
          <w:sz w:val="22"/>
          <w:szCs w:val="32"/>
          <w:u w:val="single"/>
        </w:rPr>
      </w:pPr>
      <w:r w:rsidRPr="00E15ABE">
        <w:rPr>
          <w:rFonts w:eastAsia="Times New Roman" w:cs="Times New Roman"/>
          <w:sz w:val="22"/>
          <w:szCs w:val="32"/>
          <w:u w:val="single"/>
        </w:rPr>
        <w:t>Kennzahlen zur finanziellen Stabilität</w:t>
      </w:r>
    </w:p>
    <w:p w14:paraId="20826513" w14:textId="77777777" w:rsidR="00E15ABE" w:rsidRPr="00E15ABE" w:rsidRDefault="00E15ABE" w:rsidP="00E15ABE">
      <w:pPr>
        <w:spacing w:line="256" w:lineRule="auto"/>
        <w:jc w:val="left"/>
        <w:rPr>
          <w:rFonts w:eastAsia="Times New Roman" w:cs="Arial"/>
          <w:sz w:val="22"/>
        </w:rPr>
      </w:pPr>
      <m:oMath>
        <m:r>
          <m:rPr>
            <m:sty m:val="p"/>
          </m:rPr>
          <w:rPr>
            <w:rFonts w:ascii="Cambria Math" w:eastAsia="Calibri" w:hAnsi="Cambria Math" w:cs="Arial"/>
            <w:sz w:val="22"/>
          </w:rPr>
          <m:t xml:space="preserve">Eigenkapitalquote in %= </m:t>
        </m:r>
        <m:f>
          <m:fPr>
            <m:ctrlPr>
              <w:rPr>
                <w:rFonts w:ascii="Cambria Math" w:eastAsia="Calibri" w:hAnsi="Cambria Math" w:cs="Arial"/>
                <w:iCs/>
                <w:sz w:val="22"/>
              </w:rPr>
            </m:ctrlPr>
          </m:fPr>
          <m:num>
            <m:r>
              <m:rPr>
                <m:sty m:val="p"/>
              </m:rPr>
              <w:rPr>
                <w:rFonts w:ascii="Cambria Math" w:eastAsia="Calibri" w:hAnsi="Cambria Math" w:cs="Arial"/>
                <w:sz w:val="22"/>
              </w:rPr>
              <m:t>Eigenkapital</m:t>
            </m:r>
          </m:num>
          <m:den>
            <m:r>
              <m:rPr>
                <m:sty m:val="p"/>
              </m:rPr>
              <w:rPr>
                <w:rFonts w:ascii="Cambria Math" w:eastAsia="Calibri" w:hAnsi="Cambria Math" w:cs="Arial"/>
                <w:sz w:val="22"/>
              </w:rPr>
              <m:t>Bilanzsumme</m:t>
            </m:r>
          </m:den>
        </m:f>
        <m:r>
          <m:rPr>
            <m:sty m:val="p"/>
          </m:rPr>
          <w:rPr>
            <w:rFonts w:ascii="Cambria Math" w:eastAsia="Calibri" w:hAnsi="Cambria Math" w:cs="Arial"/>
            <w:sz w:val="22"/>
          </w:rPr>
          <m:t>*100</m:t>
        </m:r>
      </m:oMath>
      <w:r w:rsidRPr="00E15ABE">
        <w:rPr>
          <w:rFonts w:eastAsia="Times New Roman" w:cs="Arial"/>
          <w:sz w:val="22"/>
        </w:rPr>
        <w:t xml:space="preserve">   </w:t>
      </w:r>
      <w:r w:rsidRPr="00E15ABE">
        <w:rPr>
          <w:rFonts w:eastAsia="Times New Roman" w:cs="Arial"/>
          <w:sz w:val="22"/>
        </w:rPr>
        <w:tab/>
      </w:r>
      <w:r w:rsidRPr="00E15ABE">
        <w:rPr>
          <w:rFonts w:eastAsia="Times New Roman" w:cs="Arial"/>
          <w:sz w:val="22"/>
        </w:rPr>
        <w:tab/>
      </w:r>
      <w:r w:rsidRPr="00E15ABE">
        <w:rPr>
          <w:rFonts w:eastAsia="Times New Roman" w:cs="Arial"/>
          <w:sz w:val="22"/>
        </w:rPr>
        <w:tab/>
      </w:r>
    </w:p>
    <w:p w14:paraId="456C4612" w14:textId="77777777" w:rsidR="00E15ABE" w:rsidRPr="00E15ABE" w:rsidRDefault="00E15ABE" w:rsidP="00E15ABE">
      <w:pPr>
        <w:spacing w:line="256" w:lineRule="auto"/>
        <w:jc w:val="left"/>
        <w:rPr>
          <w:rFonts w:eastAsia="Times New Roman" w:cs="Arial"/>
          <w:sz w:val="22"/>
        </w:rPr>
      </w:pPr>
      <m:oMath>
        <m:r>
          <m:rPr>
            <m:sty m:val="p"/>
          </m:rPr>
          <w:rPr>
            <w:rFonts w:ascii="Cambria Math" w:eastAsia="Calibri" w:hAnsi="Cambria Math" w:cs="Arial"/>
            <w:sz w:val="22"/>
          </w:rPr>
          <m:t xml:space="preserve">Fremdkapitalquote in %= </m:t>
        </m:r>
        <m:f>
          <m:fPr>
            <m:ctrlPr>
              <w:rPr>
                <w:rFonts w:ascii="Cambria Math" w:eastAsia="Calibri" w:hAnsi="Cambria Math" w:cs="Arial"/>
                <w:iCs/>
                <w:sz w:val="22"/>
              </w:rPr>
            </m:ctrlPr>
          </m:fPr>
          <m:num>
            <m:r>
              <m:rPr>
                <m:sty m:val="p"/>
              </m:rPr>
              <w:rPr>
                <w:rFonts w:ascii="Cambria Math" w:eastAsia="Calibri" w:hAnsi="Cambria Math" w:cs="Arial"/>
                <w:sz w:val="22"/>
              </w:rPr>
              <m:t>Fremdkapital</m:t>
            </m:r>
          </m:num>
          <m:den>
            <m:r>
              <m:rPr>
                <m:sty m:val="p"/>
              </m:rPr>
              <w:rPr>
                <w:rFonts w:ascii="Cambria Math" w:eastAsia="Calibri" w:hAnsi="Cambria Math" w:cs="Arial"/>
                <w:sz w:val="22"/>
              </w:rPr>
              <m:t>Bilanzsumme</m:t>
            </m:r>
          </m:den>
        </m:f>
        <m:r>
          <m:rPr>
            <m:sty m:val="p"/>
          </m:rPr>
          <w:rPr>
            <w:rFonts w:ascii="Cambria Math" w:eastAsia="Calibri" w:hAnsi="Cambria Math" w:cs="Arial"/>
            <w:sz w:val="22"/>
          </w:rPr>
          <m:t>*100</m:t>
        </m:r>
      </m:oMath>
      <w:r w:rsidRPr="00E15ABE">
        <w:rPr>
          <w:rFonts w:eastAsia="Times New Roman" w:cs="Arial"/>
          <w:sz w:val="22"/>
        </w:rPr>
        <w:t xml:space="preserve"> </w:t>
      </w:r>
      <w:r w:rsidRPr="00E15ABE">
        <w:rPr>
          <w:rFonts w:eastAsia="Times New Roman" w:cs="Arial"/>
          <w:sz w:val="22"/>
        </w:rPr>
        <w:tab/>
      </w:r>
      <w:r w:rsidRPr="00E15ABE">
        <w:rPr>
          <w:rFonts w:eastAsia="Times New Roman" w:cs="Arial"/>
          <w:sz w:val="22"/>
        </w:rPr>
        <w:tab/>
      </w:r>
      <w:r w:rsidRPr="00E15ABE">
        <w:rPr>
          <w:rFonts w:eastAsia="Times New Roman" w:cs="Arial"/>
          <w:sz w:val="22"/>
        </w:rPr>
        <w:tab/>
      </w:r>
    </w:p>
    <w:p w14:paraId="65C8F4E8" w14:textId="77777777" w:rsidR="00E15ABE" w:rsidRPr="00E15ABE" w:rsidRDefault="00E15ABE" w:rsidP="00E15ABE">
      <w:pPr>
        <w:spacing w:line="256" w:lineRule="auto"/>
        <w:jc w:val="left"/>
        <w:rPr>
          <w:rFonts w:eastAsia="Times New Roman" w:cs="Arial"/>
          <w:sz w:val="22"/>
        </w:rPr>
      </w:pPr>
      <m:oMath>
        <m:r>
          <m:rPr>
            <m:sty m:val="p"/>
          </m:rPr>
          <w:rPr>
            <w:rFonts w:ascii="Cambria Math" w:eastAsia="Calibri" w:hAnsi="Cambria Math" w:cs="Arial"/>
            <w:sz w:val="22"/>
          </w:rPr>
          <m:t>Verschuldungsgrad in %=</m:t>
        </m:r>
        <m:f>
          <m:fPr>
            <m:ctrlPr>
              <w:rPr>
                <w:rFonts w:ascii="Cambria Math" w:eastAsia="Calibri" w:hAnsi="Cambria Math" w:cs="Arial"/>
                <w:iCs/>
                <w:sz w:val="22"/>
              </w:rPr>
            </m:ctrlPr>
          </m:fPr>
          <m:num>
            <m:r>
              <m:rPr>
                <m:sty m:val="p"/>
              </m:rPr>
              <w:rPr>
                <w:rFonts w:ascii="Cambria Math" w:eastAsia="Calibri" w:hAnsi="Cambria Math" w:cs="Arial"/>
                <w:sz w:val="22"/>
              </w:rPr>
              <m:t>Fremdkapital</m:t>
            </m:r>
          </m:num>
          <m:den>
            <m:r>
              <m:rPr>
                <m:sty m:val="p"/>
              </m:rPr>
              <w:rPr>
                <w:rFonts w:ascii="Cambria Math" w:eastAsia="Calibri" w:hAnsi="Cambria Math" w:cs="Arial"/>
                <w:sz w:val="22"/>
              </w:rPr>
              <m:t>Eigenkapital</m:t>
            </m:r>
          </m:den>
        </m:f>
        <m:r>
          <m:rPr>
            <m:sty m:val="p"/>
          </m:rPr>
          <w:rPr>
            <w:rFonts w:ascii="Cambria Math" w:eastAsia="Calibri" w:hAnsi="Cambria Math" w:cs="Arial"/>
            <w:sz w:val="22"/>
          </w:rPr>
          <m:t>*100</m:t>
        </m:r>
      </m:oMath>
      <w:r w:rsidRPr="00E15ABE">
        <w:rPr>
          <w:rFonts w:eastAsia="Times New Roman" w:cs="Arial"/>
          <w:sz w:val="22"/>
        </w:rPr>
        <w:t xml:space="preserve">  </w:t>
      </w:r>
      <w:r w:rsidRPr="00E15ABE">
        <w:rPr>
          <w:rFonts w:eastAsia="Times New Roman" w:cs="Arial"/>
          <w:sz w:val="22"/>
        </w:rPr>
        <w:tab/>
      </w:r>
    </w:p>
    <w:p w14:paraId="69685659" w14:textId="77777777" w:rsidR="00E15ABE" w:rsidRPr="00E15ABE" w:rsidRDefault="00E15ABE" w:rsidP="00E15ABE">
      <w:pPr>
        <w:spacing w:line="256" w:lineRule="auto"/>
        <w:jc w:val="left"/>
        <w:rPr>
          <w:rFonts w:eastAsia="Times New Roman" w:cs="Arial"/>
          <w:sz w:val="22"/>
        </w:rPr>
      </w:pPr>
      <m:oMathPara>
        <m:oMath>
          <m:r>
            <m:rPr>
              <m:sty m:val="p"/>
            </m:rPr>
            <w:rPr>
              <w:rFonts w:ascii="Cambria Math" w:eastAsia="Times New Roman" w:hAnsi="Cambria Math" w:cs="Arial"/>
              <w:kern w:val="0"/>
              <w:sz w:val="22"/>
              <w:shd w:val="clear" w:color="auto" w:fill="FFFFFF"/>
              <w:lang w:eastAsia="de-DE"/>
              <w14:ligatures w14:val="none"/>
            </w:rPr>
            <m:t>Dynamischer Verschuldungsgrad=</m:t>
          </m:r>
          <m:f>
            <m:fPr>
              <m:ctrlPr>
                <w:rPr>
                  <w:rFonts w:ascii="Cambria Math" w:eastAsia="Times New Roman" w:hAnsi="Cambria Math" w:cs="Arial"/>
                  <w:iCs/>
                  <w:sz w:val="22"/>
                  <w:shd w:val="clear" w:color="auto" w:fill="FFFFFF"/>
                </w:rPr>
              </m:ctrlPr>
            </m:fPr>
            <m:num>
              <m:r>
                <m:rPr>
                  <m:sty m:val="p"/>
                </m:rPr>
                <w:rPr>
                  <w:rFonts w:ascii="Cambria Math" w:eastAsia="Times New Roman" w:hAnsi="Cambria Math" w:cs="Arial"/>
                  <w:kern w:val="0"/>
                  <w:sz w:val="22"/>
                  <w:shd w:val="clear" w:color="auto" w:fill="FFFFFF"/>
                  <w:lang w:eastAsia="de-DE"/>
                  <w14:ligatures w14:val="none"/>
                </w:rPr>
                <m:t xml:space="preserve"> Finanzverbindlichkeiten-liquide Mittel</m:t>
              </m:r>
            </m:num>
            <m:den>
              <m:r>
                <m:rPr>
                  <m:sty m:val="p"/>
                </m:rPr>
                <w:rPr>
                  <w:rFonts w:ascii="Cambria Math" w:eastAsia="Times New Roman" w:hAnsi="Cambria Math" w:cs="Arial"/>
                  <w:kern w:val="0"/>
                  <w:sz w:val="22"/>
                  <w:shd w:val="clear" w:color="auto" w:fill="FFFFFF"/>
                  <w:lang w:eastAsia="de-DE"/>
                  <w14:ligatures w14:val="none"/>
                </w:rPr>
                <m:t>Free-Cashflow</m:t>
              </m:r>
            </m:den>
          </m:f>
          <m:r>
            <m:rPr>
              <m:sty m:val="p"/>
            </m:rPr>
            <w:rPr>
              <w:rFonts w:ascii="Cambria Math" w:eastAsia="Times New Roman" w:hAnsi="Cambria Math" w:cs="Arial"/>
              <w:kern w:val="0"/>
              <w:sz w:val="22"/>
              <w:shd w:val="clear" w:color="auto" w:fill="FFFFFF"/>
              <w:lang w:eastAsia="de-DE"/>
              <w14:ligatures w14:val="none"/>
            </w:rPr>
            <w:br/>
          </m:r>
        </m:oMath>
      </m:oMathPara>
      <w:r w:rsidRPr="00E15ABE">
        <w:rPr>
          <w:rFonts w:eastAsia="Times New Roman" w:cs="Arial"/>
          <w:iCs/>
          <w:sz w:val="22"/>
        </w:rPr>
        <w:tab/>
      </w:r>
    </w:p>
    <w:p w14:paraId="62C58E04" w14:textId="77777777" w:rsidR="00E15ABE" w:rsidRPr="00E15ABE" w:rsidRDefault="00E15ABE" w:rsidP="00E15ABE">
      <w:pPr>
        <w:spacing w:line="256" w:lineRule="auto"/>
        <w:jc w:val="left"/>
        <w:rPr>
          <w:rFonts w:eastAsia="Times New Roman" w:cs="Arial"/>
          <w:sz w:val="22"/>
        </w:rPr>
      </w:pPr>
      <m:oMath>
        <m:r>
          <m:rPr>
            <m:sty m:val="p"/>
          </m:rPr>
          <w:rPr>
            <w:rFonts w:ascii="Cambria Math" w:eastAsia="Calibri" w:hAnsi="Cambria Math" w:cs="Arial"/>
            <w:sz w:val="22"/>
          </w:rPr>
          <m:t xml:space="preserve">Gearing= </m:t>
        </m:r>
        <m:f>
          <m:fPr>
            <m:ctrlPr>
              <w:rPr>
                <w:rFonts w:ascii="Cambria Math" w:eastAsia="Calibri" w:hAnsi="Cambria Math" w:cs="Arial"/>
                <w:iCs/>
                <w:sz w:val="22"/>
              </w:rPr>
            </m:ctrlPr>
          </m:fPr>
          <m:num>
            <m:r>
              <m:rPr>
                <m:sty m:val="p"/>
              </m:rPr>
              <w:rPr>
                <w:rFonts w:ascii="Cambria Math" w:eastAsia="Calibri" w:hAnsi="Cambria Math" w:cs="Arial"/>
                <w:sz w:val="22"/>
              </w:rPr>
              <m:t>Finanzverbindlichkeiten-liquide Mittel</m:t>
            </m:r>
          </m:num>
          <m:den>
            <m:r>
              <m:rPr>
                <m:sty m:val="p"/>
              </m:rPr>
              <w:rPr>
                <w:rFonts w:ascii="Cambria Math" w:eastAsia="Calibri" w:hAnsi="Cambria Math" w:cs="Arial"/>
                <w:sz w:val="22"/>
              </w:rPr>
              <m:t>Eigenkapital</m:t>
            </m:r>
          </m:den>
        </m:f>
      </m:oMath>
      <w:r w:rsidRPr="00E15ABE">
        <w:rPr>
          <w:rFonts w:eastAsia="Times New Roman" w:cs="Arial"/>
          <w:sz w:val="22"/>
        </w:rPr>
        <w:t xml:space="preserve">   </w:t>
      </w:r>
      <w:r w:rsidRPr="00E15ABE">
        <w:rPr>
          <w:rFonts w:eastAsia="Times New Roman" w:cs="Arial"/>
          <w:iCs/>
          <w:sz w:val="22"/>
        </w:rPr>
        <w:tab/>
      </w:r>
      <w:r w:rsidRPr="00E15ABE">
        <w:rPr>
          <w:rFonts w:eastAsia="Times New Roman" w:cs="Arial"/>
          <w:iCs/>
          <w:sz w:val="22"/>
        </w:rPr>
        <w:tab/>
      </w:r>
      <w:r w:rsidRPr="00E15ABE">
        <w:rPr>
          <w:rFonts w:eastAsia="Times New Roman" w:cs="Arial"/>
          <w:iCs/>
          <w:sz w:val="22"/>
        </w:rPr>
        <w:tab/>
      </w:r>
    </w:p>
    <w:p w14:paraId="4FE608B1" w14:textId="77777777" w:rsidR="00E15ABE" w:rsidRPr="00E15ABE" w:rsidRDefault="00E15ABE" w:rsidP="00E15ABE">
      <w:pPr>
        <w:spacing w:line="256" w:lineRule="auto"/>
        <w:jc w:val="left"/>
        <w:rPr>
          <w:rFonts w:eastAsia="Times New Roman" w:cs="Arial"/>
          <w:sz w:val="22"/>
        </w:rPr>
      </w:pPr>
      <m:oMath>
        <m:r>
          <m:rPr>
            <m:sty m:val="p"/>
          </m:rPr>
          <w:rPr>
            <w:rFonts w:ascii="Cambria Math" w:eastAsia="Times New Roman" w:hAnsi="Cambria Math" w:cs="Arial"/>
            <w:sz w:val="22"/>
          </w:rPr>
          <m:t>Sachinvestitionsquote=</m:t>
        </m:r>
        <m:f>
          <m:fPr>
            <m:ctrlPr>
              <w:rPr>
                <w:rFonts w:ascii="Cambria Math" w:eastAsia="Times New Roman" w:hAnsi="Cambria Math" w:cs="Arial"/>
                <w:sz w:val="22"/>
              </w:rPr>
            </m:ctrlPr>
          </m:fPr>
          <m:num>
            <m:r>
              <m:rPr>
                <m:sty m:val="p"/>
              </m:rPr>
              <w:rPr>
                <w:rFonts w:ascii="Cambria Math" w:eastAsia="Times New Roman" w:hAnsi="Cambria Math" w:cs="Arial"/>
                <w:sz w:val="22"/>
              </w:rPr>
              <m:t>Sachinvestitionen</m:t>
            </m:r>
          </m:num>
          <m:den>
            <m:r>
              <m:rPr>
                <m:sty m:val="p"/>
              </m:rPr>
              <w:rPr>
                <w:rFonts w:ascii="Cambria Math" w:eastAsia="Times New Roman" w:hAnsi="Cambria Math" w:cs="Arial"/>
                <w:sz w:val="22"/>
              </w:rPr>
              <m:t>operativer Cashflow</m:t>
            </m:r>
          </m:den>
        </m:f>
      </m:oMath>
      <w:r w:rsidRPr="00E15ABE">
        <w:rPr>
          <w:rFonts w:eastAsia="Times New Roman" w:cs="Arial"/>
          <w:sz w:val="22"/>
        </w:rPr>
        <w:tab/>
      </w:r>
      <w:r w:rsidRPr="00E15ABE">
        <w:rPr>
          <w:rFonts w:eastAsia="Times New Roman" w:cs="Arial"/>
          <w:sz w:val="22"/>
        </w:rPr>
        <w:tab/>
      </w:r>
    </w:p>
    <w:p w14:paraId="46E854F4" w14:textId="77777777" w:rsidR="00E15ABE" w:rsidRPr="00E15ABE" w:rsidRDefault="00E15ABE" w:rsidP="00E15ABE">
      <w:pPr>
        <w:spacing w:line="256" w:lineRule="auto"/>
        <w:jc w:val="left"/>
        <w:rPr>
          <w:rFonts w:eastAsia="Times New Roman" w:cs="Arial"/>
          <w:iCs/>
          <w:sz w:val="22"/>
        </w:rPr>
      </w:pPr>
      <m:oMath>
        <m:r>
          <m:rPr>
            <m:sty m:val="p"/>
          </m:rPr>
          <w:rPr>
            <w:rFonts w:ascii="Cambria Math" w:eastAsia="Times New Roman" w:hAnsi="Cambria Math" w:cs="Arial"/>
            <w:sz w:val="22"/>
          </w:rPr>
          <m:t>Cash-Burn-Rate=</m:t>
        </m:r>
        <m:f>
          <m:fPr>
            <m:ctrlPr>
              <w:rPr>
                <w:rFonts w:ascii="Cambria Math" w:eastAsia="Times New Roman" w:hAnsi="Cambria Math" w:cs="Arial"/>
                <w:iCs/>
                <w:sz w:val="22"/>
              </w:rPr>
            </m:ctrlPr>
          </m:fPr>
          <m:num>
            <m:r>
              <m:rPr>
                <m:sty m:val="p"/>
              </m:rPr>
              <w:rPr>
                <w:rFonts w:ascii="Cambria Math" w:eastAsia="Times New Roman" w:hAnsi="Cambria Math" w:cs="Arial"/>
                <w:sz w:val="22"/>
              </w:rPr>
              <m:t>Eigenkapital</m:t>
            </m:r>
          </m:num>
          <m:den>
            <m:r>
              <m:rPr>
                <m:sty m:val="p"/>
              </m:rPr>
              <w:rPr>
                <w:rFonts w:ascii="Cambria Math" w:eastAsia="Times New Roman" w:hAnsi="Cambria Math" w:cs="Arial"/>
                <w:sz w:val="22"/>
              </w:rPr>
              <m:t>Jahresfehlbetrag</m:t>
            </m:r>
          </m:den>
        </m:f>
      </m:oMath>
      <w:r w:rsidRPr="00E15ABE">
        <w:rPr>
          <w:rFonts w:eastAsia="Times New Roman" w:cs="Arial"/>
          <w:iCs/>
          <w:sz w:val="22"/>
        </w:rPr>
        <w:tab/>
      </w:r>
      <w:r w:rsidRPr="00E15ABE">
        <w:rPr>
          <w:rFonts w:eastAsia="Times New Roman" w:cs="Arial"/>
          <w:iCs/>
          <w:sz w:val="22"/>
        </w:rPr>
        <w:tab/>
      </w:r>
    </w:p>
    <w:p w14:paraId="5A0FE8A2" w14:textId="77777777" w:rsidR="00E15ABE" w:rsidRPr="00E15ABE" w:rsidRDefault="00E15ABE" w:rsidP="00E15ABE">
      <w:pPr>
        <w:spacing w:line="256" w:lineRule="auto"/>
        <w:jc w:val="left"/>
        <w:rPr>
          <w:rFonts w:eastAsia="Times New Roman" w:cs="Arial"/>
          <w:sz w:val="22"/>
        </w:rPr>
      </w:pPr>
      <m:oMath>
        <m:r>
          <m:rPr>
            <m:sty m:val="p"/>
          </m:rPr>
          <w:rPr>
            <w:rFonts w:ascii="Cambria Math" w:eastAsia="Times New Roman" w:hAnsi="Cambria Math" w:cs="Arial"/>
            <w:sz w:val="22"/>
          </w:rPr>
          <m:t xml:space="preserve">Wachstumsquote= </m:t>
        </m:r>
        <m:f>
          <m:fPr>
            <m:ctrlPr>
              <w:rPr>
                <w:rFonts w:ascii="Cambria Math" w:eastAsia="Times New Roman" w:hAnsi="Cambria Math" w:cs="Arial"/>
                <w:iCs/>
                <w:sz w:val="22"/>
              </w:rPr>
            </m:ctrlPr>
          </m:fPr>
          <m:num>
            <m:r>
              <m:rPr>
                <m:sty m:val="p"/>
              </m:rPr>
              <w:rPr>
                <w:rFonts w:ascii="Cambria Math" w:eastAsia="Times New Roman" w:hAnsi="Cambria Math" w:cs="Arial"/>
                <w:sz w:val="22"/>
              </w:rPr>
              <m:t>Investitionen in Sachanlagen</m:t>
            </m:r>
          </m:num>
          <m:den>
            <m:r>
              <m:rPr>
                <m:sty m:val="p"/>
              </m:rPr>
              <w:rPr>
                <w:rFonts w:ascii="Cambria Math" w:eastAsia="Times New Roman" w:hAnsi="Cambria Math" w:cs="Arial"/>
                <w:sz w:val="22"/>
              </w:rPr>
              <m:t>Abschreibungen</m:t>
            </m:r>
          </m:den>
        </m:f>
      </m:oMath>
      <w:r w:rsidRPr="00E15ABE">
        <w:rPr>
          <w:rFonts w:eastAsia="Times New Roman" w:cs="Arial"/>
          <w:sz w:val="22"/>
        </w:rPr>
        <w:t xml:space="preserve">  </w:t>
      </w:r>
      <w:r w:rsidRPr="00E15ABE">
        <w:rPr>
          <w:rFonts w:eastAsia="Times New Roman" w:cs="Arial"/>
          <w:iCs/>
          <w:sz w:val="22"/>
        </w:rPr>
        <w:tab/>
      </w:r>
      <w:r w:rsidRPr="00E15ABE">
        <w:rPr>
          <w:rFonts w:eastAsia="Times New Roman" w:cs="Arial"/>
          <w:iCs/>
          <w:sz w:val="22"/>
        </w:rPr>
        <w:tab/>
      </w:r>
      <w:r w:rsidRPr="00E15ABE">
        <w:rPr>
          <w:rFonts w:eastAsia="Times New Roman" w:cs="Arial"/>
          <w:iCs/>
          <w:sz w:val="22"/>
        </w:rPr>
        <w:tab/>
      </w:r>
    </w:p>
    <w:p w14:paraId="2F5C8072" w14:textId="77777777" w:rsidR="00E15ABE" w:rsidRPr="00E15ABE" w:rsidRDefault="00E15ABE" w:rsidP="00E15ABE">
      <w:pPr>
        <w:spacing w:line="256" w:lineRule="auto"/>
        <w:jc w:val="left"/>
        <w:rPr>
          <w:rFonts w:eastAsia="Times New Roman" w:cs="Arial"/>
          <w:sz w:val="22"/>
        </w:rPr>
      </w:pPr>
      <m:oMath>
        <m:r>
          <m:rPr>
            <m:sty m:val="p"/>
          </m:rPr>
          <w:rPr>
            <w:rFonts w:ascii="Cambria Math" w:eastAsia="Times New Roman" w:hAnsi="Cambria Math" w:cs="Arial"/>
            <w:sz w:val="22"/>
          </w:rPr>
          <m:t xml:space="preserve">Anlageintensität= </m:t>
        </m:r>
        <m:f>
          <m:fPr>
            <m:ctrlPr>
              <w:rPr>
                <w:rFonts w:ascii="Cambria Math" w:eastAsia="Times New Roman" w:hAnsi="Cambria Math" w:cs="Arial"/>
                <w:sz w:val="22"/>
              </w:rPr>
            </m:ctrlPr>
          </m:fPr>
          <m:num>
            <m:r>
              <m:rPr>
                <m:sty m:val="p"/>
              </m:rPr>
              <w:rPr>
                <w:rFonts w:ascii="Cambria Math" w:eastAsia="Times New Roman" w:hAnsi="Cambria Math" w:cs="Arial"/>
                <w:sz w:val="22"/>
              </w:rPr>
              <m:t>Anlagevermögen</m:t>
            </m:r>
          </m:num>
          <m:den>
            <m:r>
              <m:rPr>
                <m:sty m:val="p"/>
              </m:rPr>
              <w:rPr>
                <w:rFonts w:ascii="Cambria Math" w:eastAsia="Times New Roman" w:hAnsi="Cambria Math" w:cs="Arial"/>
                <w:sz w:val="22"/>
              </w:rPr>
              <m:t>Bilanzsumme</m:t>
            </m:r>
          </m:den>
        </m:f>
      </m:oMath>
      <w:r w:rsidRPr="00E15ABE">
        <w:rPr>
          <w:rFonts w:eastAsia="Times New Roman" w:cs="Arial"/>
          <w:sz w:val="22"/>
        </w:rPr>
        <w:tab/>
      </w:r>
    </w:p>
    <w:p w14:paraId="0AB856FB" w14:textId="77777777" w:rsidR="00E15ABE" w:rsidRPr="00E15ABE" w:rsidRDefault="00E15ABE" w:rsidP="00E15ABE">
      <w:pPr>
        <w:spacing w:line="256" w:lineRule="auto"/>
        <w:jc w:val="left"/>
        <w:rPr>
          <w:rFonts w:eastAsia="Times New Roman" w:cs="Arial"/>
          <w:sz w:val="22"/>
        </w:rPr>
      </w:pPr>
      <m:oMath>
        <m:r>
          <w:rPr>
            <w:rFonts w:ascii="Cambria Math" w:eastAsia="Times New Roman" w:hAnsi="Cambria Math" w:cs="Arial"/>
            <w:sz w:val="22"/>
          </w:rPr>
          <m:t>Umlaufintensität=</m:t>
        </m:r>
        <m:f>
          <m:fPr>
            <m:ctrlPr>
              <w:rPr>
                <w:rFonts w:ascii="Cambria Math" w:eastAsia="Times New Roman" w:hAnsi="Cambria Math" w:cs="Arial"/>
                <w:i/>
                <w:sz w:val="22"/>
              </w:rPr>
            </m:ctrlPr>
          </m:fPr>
          <m:num>
            <m:r>
              <w:rPr>
                <w:rFonts w:ascii="Cambria Math" w:eastAsia="Times New Roman" w:hAnsi="Cambria Math" w:cs="Arial"/>
                <w:sz w:val="22"/>
              </w:rPr>
              <m:t>Umlaufvermögen</m:t>
            </m:r>
          </m:num>
          <m:den>
            <m:r>
              <w:rPr>
                <w:rFonts w:ascii="Cambria Math" w:eastAsia="Times New Roman" w:hAnsi="Cambria Math" w:cs="Arial"/>
                <w:sz w:val="22"/>
              </w:rPr>
              <m:t>Bilanzsumme</m:t>
            </m:r>
          </m:den>
        </m:f>
      </m:oMath>
      <w:r w:rsidRPr="00E15ABE">
        <w:rPr>
          <w:rFonts w:eastAsia="Times New Roman" w:cs="Arial"/>
          <w:sz w:val="22"/>
        </w:rPr>
        <w:tab/>
      </w:r>
      <w:r w:rsidRPr="00E15ABE">
        <w:rPr>
          <w:rFonts w:eastAsia="Times New Roman" w:cs="Arial"/>
          <w:sz w:val="22"/>
        </w:rPr>
        <w:tab/>
      </w:r>
      <w:r w:rsidRPr="00E15ABE">
        <w:rPr>
          <w:rFonts w:eastAsia="Times New Roman" w:cs="Arial"/>
          <w:sz w:val="22"/>
        </w:rPr>
        <w:tab/>
      </w:r>
      <w:r w:rsidRPr="00E15ABE">
        <w:rPr>
          <w:rFonts w:eastAsia="Times New Roman" w:cs="Arial"/>
          <w:sz w:val="22"/>
        </w:rPr>
        <w:tab/>
        <w:t xml:space="preserve"> </w:t>
      </w:r>
    </w:p>
    <w:p w14:paraId="5CED8C2F" w14:textId="77777777" w:rsidR="00E15ABE" w:rsidRPr="00E15ABE" w:rsidRDefault="00E15ABE" w:rsidP="00E15ABE">
      <w:pPr>
        <w:spacing w:line="256" w:lineRule="auto"/>
        <w:jc w:val="left"/>
        <w:rPr>
          <w:rFonts w:eastAsia="Times New Roman" w:cs="Arial"/>
          <w:sz w:val="22"/>
        </w:rPr>
      </w:pPr>
      <m:oMath>
        <m:r>
          <m:rPr>
            <m:sty m:val="p"/>
          </m:rPr>
          <w:rPr>
            <w:rFonts w:ascii="Cambria Math" w:eastAsia="Times New Roman" w:hAnsi="Cambria Math" w:cs="Arial"/>
            <w:sz w:val="22"/>
          </w:rPr>
          <m:t xml:space="preserve">Anlagedeckungsgrad 1= </m:t>
        </m:r>
        <m:f>
          <m:fPr>
            <m:ctrlPr>
              <w:rPr>
                <w:rFonts w:ascii="Cambria Math" w:eastAsia="Times New Roman" w:hAnsi="Cambria Math" w:cs="Arial"/>
                <w:iCs/>
                <w:sz w:val="22"/>
              </w:rPr>
            </m:ctrlPr>
          </m:fPr>
          <m:num>
            <m:r>
              <m:rPr>
                <m:sty m:val="p"/>
              </m:rPr>
              <w:rPr>
                <w:rFonts w:ascii="Cambria Math" w:eastAsia="Times New Roman" w:hAnsi="Cambria Math" w:cs="Arial"/>
                <w:sz w:val="22"/>
              </w:rPr>
              <m:t>Eigenkapital</m:t>
            </m:r>
          </m:num>
          <m:den>
            <m:r>
              <m:rPr>
                <m:sty m:val="p"/>
              </m:rPr>
              <w:rPr>
                <w:rFonts w:ascii="Cambria Math" w:eastAsia="Times New Roman" w:hAnsi="Cambria Math" w:cs="Arial"/>
                <w:sz w:val="22"/>
              </w:rPr>
              <m:t>Anlagevermögen</m:t>
            </m:r>
          </m:den>
        </m:f>
      </m:oMath>
      <w:r w:rsidRPr="00E15ABE">
        <w:rPr>
          <w:rFonts w:eastAsia="Times New Roman" w:cs="Arial"/>
          <w:iCs/>
          <w:sz w:val="22"/>
        </w:rPr>
        <w:tab/>
      </w:r>
      <w:r w:rsidRPr="00E15ABE">
        <w:rPr>
          <w:rFonts w:eastAsia="Times New Roman" w:cs="Arial"/>
          <w:iCs/>
          <w:sz w:val="22"/>
        </w:rPr>
        <w:tab/>
      </w:r>
      <w:r w:rsidRPr="00E15ABE">
        <w:rPr>
          <w:rFonts w:eastAsia="Times New Roman" w:cs="Arial"/>
          <w:iCs/>
          <w:sz w:val="22"/>
        </w:rPr>
        <w:tab/>
      </w:r>
      <w:r w:rsidRPr="00E15ABE">
        <w:rPr>
          <w:rFonts w:eastAsia="Times New Roman" w:cs="Arial"/>
          <w:iCs/>
          <w:sz w:val="22"/>
        </w:rPr>
        <w:tab/>
      </w:r>
    </w:p>
    <w:p w14:paraId="2027DF56" w14:textId="77777777" w:rsidR="00E15ABE" w:rsidRPr="00E15ABE" w:rsidRDefault="00E15ABE" w:rsidP="00E15ABE">
      <w:pPr>
        <w:spacing w:line="256" w:lineRule="auto"/>
        <w:jc w:val="left"/>
        <w:rPr>
          <w:rFonts w:eastAsia="Times New Roman" w:cs="Arial"/>
          <w:sz w:val="22"/>
        </w:rPr>
      </w:pPr>
      <m:oMath>
        <m:r>
          <m:rPr>
            <m:sty m:val="p"/>
          </m:rPr>
          <w:rPr>
            <w:rFonts w:ascii="Cambria Math" w:eastAsia="Times New Roman" w:hAnsi="Cambria Math" w:cs="Arial"/>
            <w:sz w:val="22"/>
          </w:rPr>
          <m:t xml:space="preserve">Anlagedeckungsgrad 2= </m:t>
        </m:r>
        <m:f>
          <m:fPr>
            <m:ctrlPr>
              <w:rPr>
                <w:rFonts w:ascii="Cambria Math" w:eastAsia="Times New Roman" w:hAnsi="Cambria Math" w:cs="Arial"/>
                <w:iCs/>
                <w:sz w:val="22"/>
              </w:rPr>
            </m:ctrlPr>
          </m:fPr>
          <m:num>
            <m:r>
              <m:rPr>
                <m:sty m:val="p"/>
              </m:rPr>
              <w:rPr>
                <w:rFonts w:ascii="Cambria Math" w:eastAsia="Times New Roman" w:hAnsi="Cambria Math" w:cs="Arial"/>
                <w:sz w:val="22"/>
              </w:rPr>
              <m:t>Eigenkapital+langfristiges Fremdkapital</m:t>
            </m:r>
          </m:num>
          <m:den>
            <m:r>
              <m:rPr>
                <m:sty m:val="p"/>
              </m:rPr>
              <w:rPr>
                <w:rFonts w:ascii="Cambria Math" w:eastAsia="Times New Roman" w:hAnsi="Cambria Math" w:cs="Arial"/>
                <w:sz w:val="22"/>
              </w:rPr>
              <m:t>Anlagevermögen</m:t>
            </m:r>
          </m:den>
        </m:f>
      </m:oMath>
      <w:r w:rsidRPr="00E15ABE">
        <w:rPr>
          <w:rFonts w:eastAsia="Times New Roman" w:cs="Arial"/>
          <w:sz w:val="22"/>
        </w:rPr>
        <w:t xml:space="preserve">  </w:t>
      </w:r>
      <w:r w:rsidRPr="00E15ABE">
        <w:rPr>
          <w:rFonts w:eastAsia="Times New Roman" w:cs="Arial"/>
          <w:iCs/>
          <w:sz w:val="22"/>
        </w:rPr>
        <w:tab/>
      </w:r>
    </w:p>
    <w:p w14:paraId="34AFAE2D" w14:textId="77777777" w:rsidR="00E15ABE" w:rsidRPr="00E15ABE" w:rsidRDefault="00E15ABE" w:rsidP="00E15ABE">
      <w:pPr>
        <w:keepNext/>
        <w:keepLines/>
        <w:spacing w:before="600" w:after="120"/>
        <w:jc w:val="left"/>
        <w:outlineLvl w:val="0"/>
        <w:rPr>
          <w:rFonts w:eastAsia="Times New Roman" w:cs="Times New Roman"/>
          <w:sz w:val="22"/>
          <w:szCs w:val="32"/>
          <w:u w:val="single"/>
          <w:lang w:val="en-US"/>
        </w:rPr>
      </w:pPr>
      <w:r w:rsidRPr="00E15ABE">
        <w:rPr>
          <w:rFonts w:eastAsia="Times New Roman" w:cs="Times New Roman"/>
          <w:sz w:val="22"/>
          <w:szCs w:val="32"/>
          <w:u w:val="single"/>
          <w:lang w:val="en-US"/>
        </w:rPr>
        <w:t>Working Capital-Management</w:t>
      </w:r>
    </w:p>
    <w:p w14:paraId="52B9B635" w14:textId="77777777" w:rsidR="00E15ABE" w:rsidRPr="00E15ABE" w:rsidRDefault="00E15ABE" w:rsidP="00E15ABE">
      <w:pPr>
        <w:spacing w:line="256" w:lineRule="auto"/>
        <w:jc w:val="left"/>
        <w:rPr>
          <w:rFonts w:eastAsia="Times New Roman" w:cs="Arial"/>
          <w:sz w:val="22"/>
          <w:lang w:val="en-US"/>
        </w:rPr>
      </w:pPr>
      <m:oMath>
        <m:r>
          <m:rPr>
            <m:sty m:val="p"/>
          </m:rPr>
          <w:rPr>
            <w:rFonts w:ascii="Cambria Math" w:eastAsia="Calibri" w:hAnsi="Cambria Math" w:cs="Arial"/>
            <w:sz w:val="22"/>
            <w:lang w:val="en-US"/>
          </w:rPr>
          <m:t xml:space="preserve">Liquidität 1. Grades in %= </m:t>
        </m:r>
        <m:f>
          <m:fPr>
            <m:ctrlPr>
              <w:rPr>
                <w:rFonts w:ascii="Cambria Math" w:eastAsia="Calibri" w:hAnsi="Cambria Math" w:cs="Arial"/>
                <w:iCs/>
                <w:sz w:val="22"/>
              </w:rPr>
            </m:ctrlPr>
          </m:fPr>
          <m:num>
            <m:r>
              <m:rPr>
                <m:sty m:val="p"/>
              </m:rPr>
              <w:rPr>
                <w:rFonts w:ascii="Cambria Math" w:eastAsia="Calibri" w:hAnsi="Cambria Math" w:cs="Arial"/>
                <w:sz w:val="22"/>
                <w:lang w:val="en-US"/>
              </w:rPr>
              <m:t>liquide Mittel+Wertpapiere</m:t>
            </m:r>
          </m:num>
          <m:den>
            <m:r>
              <m:rPr>
                <m:sty m:val="p"/>
              </m:rPr>
              <w:rPr>
                <w:rFonts w:ascii="Cambria Math" w:eastAsia="Calibri" w:hAnsi="Cambria Math" w:cs="Arial"/>
                <w:sz w:val="22"/>
                <w:lang w:val="en-US"/>
              </w:rPr>
              <m:t>kurzfristige Verbindlichkeiten</m:t>
            </m:r>
          </m:den>
        </m:f>
        <m:r>
          <w:rPr>
            <w:rFonts w:ascii="Cambria Math" w:eastAsia="Calibri" w:hAnsi="Cambria Math" w:cs="Arial"/>
            <w:sz w:val="22"/>
            <w:lang w:val="en-US"/>
          </w:rPr>
          <m:t>*100</m:t>
        </m:r>
      </m:oMath>
      <w:r w:rsidRPr="00E15ABE">
        <w:rPr>
          <w:rFonts w:eastAsia="Times New Roman" w:cs="Arial"/>
          <w:sz w:val="22"/>
          <w:lang w:val="en-US"/>
        </w:rPr>
        <w:t xml:space="preserve">   </w:t>
      </w:r>
      <w:r w:rsidRPr="00E15ABE">
        <w:rPr>
          <w:rFonts w:eastAsia="Times New Roman" w:cs="Arial"/>
          <w:iCs/>
          <w:sz w:val="22"/>
          <w:lang w:val="en-US"/>
        </w:rPr>
        <w:tab/>
      </w:r>
      <w:r w:rsidRPr="00E15ABE">
        <w:rPr>
          <w:rFonts w:eastAsia="Times New Roman" w:cs="Arial"/>
          <w:iCs/>
          <w:sz w:val="22"/>
          <w:lang w:val="en-US"/>
        </w:rPr>
        <w:tab/>
      </w:r>
      <m:oMath>
        <m:r>
          <m:rPr>
            <m:sty m:val="p"/>
          </m:rPr>
          <w:rPr>
            <w:rFonts w:ascii="Cambria Math" w:eastAsia="Calibri" w:hAnsi="Cambria Math" w:cs="Arial"/>
            <w:sz w:val="22"/>
            <w:lang w:val="en-US"/>
          </w:rPr>
          <m:t xml:space="preserve">Liquidität 2. Grades in %= </m:t>
        </m:r>
        <m:f>
          <m:fPr>
            <m:ctrlPr>
              <w:rPr>
                <w:rFonts w:ascii="Cambria Math" w:eastAsia="Calibri" w:hAnsi="Cambria Math" w:cs="Arial"/>
                <w:iCs/>
                <w:sz w:val="22"/>
              </w:rPr>
            </m:ctrlPr>
          </m:fPr>
          <m:num>
            <m:r>
              <m:rPr>
                <m:sty m:val="p"/>
              </m:rPr>
              <w:rPr>
                <w:rFonts w:ascii="Cambria Math" w:eastAsia="Calibri" w:hAnsi="Cambria Math" w:cs="Arial"/>
                <w:sz w:val="22"/>
                <w:lang w:val="en-US"/>
              </w:rPr>
              <m:t>liquide Mittel+Wertpapiere+Forderungen</m:t>
            </m:r>
          </m:num>
          <m:den>
            <m:r>
              <m:rPr>
                <m:sty m:val="p"/>
              </m:rPr>
              <w:rPr>
                <w:rFonts w:ascii="Cambria Math" w:eastAsia="Calibri" w:hAnsi="Cambria Math" w:cs="Arial"/>
                <w:sz w:val="22"/>
                <w:lang w:val="en-US"/>
              </w:rPr>
              <m:t>kurzfristige Verbindlichkeiten</m:t>
            </m:r>
          </m:den>
        </m:f>
        <m:r>
          <w:rPr>
            <w:rFonts w:ascii="Cambria Math" w:eastAsia="Calibri" w:hAnsi="Cambria Math" w:cs="Arial"/>
            <w:sz w:val="22"/>
            <w:lang w:val="en-US"/>
          </w:rPr>
          <m:t>*100</m:t>
        </m:r>
      </m:oMath>
      <w:r w:rsidRPr="00E15ABE">
        <w:rPr>
          <w:rFonts w:eastAsia="Times New Roman" w:cs="Arial"/>
          <w:iCs/>
          <w:sz w:val="22"/>
          <w:lang w:val="en-US"/>
        </w:rPr>
        <w:tab/>
      </w:r>
      <m:oMath>
        <m:r>
          <m:rPr>
            <m:sty m:val="p"/>
          </m:rPr>
          <w:rPr>
            <w:rFonts w:ascii="Cambria Math" w:eastAsia="Calibri" w:hAnsi="Cambria Math" w:cs="Arial"/>
            <w:sz w:val="22"/>
            <w:lang w:val="en-US"/>
          </w:rPr>
          <m:t xml:space="preserve">Liquidität 3. Grades in %= </m:t>
        </m:r>
        <m:f>
          <m:fPr>
            <m:ctrlPr>
              <w:rPr>
                <w:rFonts w:ascii="Cambria Math" w:eastAsia="Calibri" w:hAnsi="Cambria Math" w:cs="Arial"/>
                <w:iCs/>
                <w:sz w:val="22"/>
              </w:rPr>
            </m:ctrlPr>
          </m:fPr>
          <m:num>
            <m:r>
              <m:rPr>
                <m:sty m:val="p"/>
              </m:rPr>
              <w:rPr>
                <w:rFonts w:ascii="Cambria Math" w:eastAsia="Calibri" w:hAnsi="Cambria Math" w:cs="Arial"/>
                <w:sz w:val="22"/>
                <w:lang w:val="en-US"/>
              </w:rPr>
              <m:t>Umlaufvermögen</m:t>
            </m:r>
          </m:num>
          <m:den>
            <m:r>
              <m:rPr>
                <m:sty m:val="p"/>
              </m:rPr>
              <w:rPr>
                <w:rFonts w:ascii="Cambria Math" w:eastAsia="Calibri" w:hAnsi="Cambria Math" w:cs="Arial"/>
                <w:sz w:val="22"/>
                <w:lang w:val="en-US"/>
              </w:rPr>
              <m:t>kurzfristige Verbindlichkeiten</m:t>
            </m:r>
          </m:den>
        </m:f>
        <m:r>
          <w:rPr>
            <w:rFonts w:ascii="Cambria Math" w:eastAsia="Calibri" w:hAnsi="Cambria Math" w:cs="Arial"/>
            <w:sz w:val="22"/>
            <w:lang w:val="en-US"/>
          </w:rPr>
          <m:t>*100</m:t>
        </m:r>
      </m:oMath>
      <w:r w:rsidRPr="00E15ABE">
        <w:rPr>
          <w:rFonts w:eastAsia="Times New Roman" w:cs="Arial"/>
          <w:sz w:val="22"/>
          <w:lang w:val="en-US"/>
        </w:rPr>
        <w:t xml:space="preserve">   </w:t>
      </w:r>
      <w:r w:rsidRPr="00E15ABE">
        <w:rPr>
          <w:rFonts w:eastAsia="Times New Roman" w:cs="Arial"/>
          <w:iCs/>
          <w:sz w:val="22"/>
          <w:lang w:val="en-US"/>
        </w:rPr>
        <w:tab/>
      </w:r>
      <w:r w:rsidRPr="00E15ABE">
        <w:rPr>
          <w:rFonts w:eastAsia="Times New Roman" w:cs="Arial"/>
          <w:iCs/>
          <w:sz w:val="22"/>
          <w:lang w:val="en-US"/>
        </w:rPr>
        <w:tab/>
      </w:r>
      <m:oMath>
        <m:r>
          <m:rPr>
            <m:sty m:val="p"/>
          </m:rPr>
          <w:rPr>
            <w:rFonts w:ascii="Cambria Math" w:eastAsia="Calibri" w:hAnsi="Cambria Math" w:cs="Arial"/>
            <w:sz w:val="22"/>
            <w:lang w:val="en-US"/>
          </w:rPr>
          <m:t xml:space="preserve">Debitorenlaufzeit= </m:t>
        </m:r>
        <m:f>
          <m:fPr>
            <m:ctrlPr>
              <w:rPr>
                <w:rFonts w:ascii="Cambria Math" w:eastAsia="Calibri" w:hAnsi="Cambria Math" w:cs="Arial"/>
                <w:sz w:val="22"/>
              </w:rPr>
            </m:ctrlPr>
          </m:fPr>
          <m:num>
            <m:r>
              <m:rPr>
                <m:sty m:val="p"/>
              </m:rPr>
              <w:rPr>
                <w:rFonts w:ascii="Cambria Math" w:eastAsia="Calibri" w:hAnsi="Cambria Math" w:cs="Arial"/>
                <w:sz w:val="22"/>
                <w:lang w:val="en-US"/>
              </w:rPr>
              <m:t>Ø Forderungen aus Lieferungen und Leistungen</m:t>
            </m:r>
          </m:num>
          <m:den>
            <m:r>
              <m:rPr>
                <m:sty m:val="p"/>
              </m:rPr>
              <w:rPr>
                <w:rFonts w:ascii="Cambria Math" w:eastAsia="Calibri" w:hAnsi="Cambria Math" w:cs="Arial"/>
                <w:sz w:val="22"/>
                <w:lang w:val="en-US"/>
              </w:rPr>
              <m:t>Umsatzerlöse</m:t>
            </m:r>
          </m:den>
        </m:f>
        <m:r>
          <w:rPr>
            <w:rFonts w:ascii="Cambria Math" w:eastAsia="Times New Roman" w:hAnsi="Cambria Math" w:cs="Arial"/>
            <w:sz w:val="22"/>
            <w:lang w:val="en-US"/>
          </w:rPr>
          <m:t>*360</m:t>
        </m:r>
      </m:oMath>
      <w:r w:rsidRPr="00E15ABE">
        <w:rPr>
          <w:rFonts w:eastAsia="Times New Roman" w:cs="Arial"/>
          <w:sz w:val="22"/>
          <w:lang w:val="en-US"/>
        </w:rPr>
        <w:tab/>
      </w:r>
    </w:p>
    <w:p w14:paraId="3990027F" w14:textId="77777777" w:rsidR="00E15ABE" w:rsidRPr="00E15ABE" w:rsidRDefault="00E15ABE" w:rsidP="00E15ABE">
      <w:pPr>
        <w:spacing w:line="256" w:lineRule="auto"/>
        <w:jc w:val="left"/>
        <w:rPr>
          <w:rFonts w:eastAsia="Times New Roman" w:cs="Arial"/>
          <w:sz w:val="22"/>
        </w:rPr>
      </w:pPr>
      <m:oMath>
        <m:r>
          <m:rPr>
            <m:sty m:val="p"/>
          </m:rPr>
          <w:rPr>
            <w:rFonts w:ascii="Cambria Math" w:eastAsia="Calibri" w:hAnsi="Cambria Math" w:cs="Arial"/>
            <w:sz w:val="22"/>
          </w:rPr>
          <m:t xml:space="preserve">Kreditorenlaufzeit= </m:t>
        </m:r>
        <m:f>
          <m:fPr>
            <m:ctrlPr>
              <w:rPr>
                <w:rFonts w:ascii="Cambria Math" w:eastAsia="Calibri" w:hAnsi="Cambria Math" w:cs="Arial"/>
                <w:sz w:val="22"/>
              </w:rPr>
            </m:ctrlPr>
          </m:fPr>
          <m:num>
            <m:r>
              <m:rPr>
                <m:sty m:val="p"/>
              </m:rPr>
              <w:rPr>
                <w:rFonts w:ascii="Cambria Math" w:eastAsia="Calibri" w:hAnsi="Cambria Math" w:cs="Arial"/>
                <w:sz w:val="22"/>
              </w:rPr>
              <m:t>Ø Verbindlichkeiten aus Lieferungen und Leistungen</m:t>
            </m:r>
          </m:num>
          <m:den>
            <m:r>
              <m:rPr>
                <m:sty m:val="p"/>
              </m:rPr>
              <w:rPr>
                <w:rFonts w:ascii="Cambria Math" w:eastAsia="Calibri" w:hAnsi="Cambria Math" w:cs="Arial"/>
                <w:sz w:val="22"/>
              </w:rPr>
              <m:t>Materialaufwand</m:t>
            </m:r>
          </m:den>
        </m:f>
        <m:r>
          <w:rPr>
            <w:rFonts w:ascii="Cambria Math" w:eastAsia="Calibri" w:hAnsi="Cambria Math" w:cs="Arial"/>
            <w:sz w:val="22"/>
          </w:rPr>
          <m:t>*360</m:t>
        </m:r>
      </m:oMath>
      <w:r w:rsidRPr="00E15ABE">
        <w:rPr>
          <w:rFonts w:eastAsia="Times New Roman" w:cs="Arial"/>
          <w:sz w:val="22"/>
        </w:rPr>
        <w:tab/>
      </w:r>
    </w:p>
    <w:p w14:paraId="64BC838C" w14:textId="77777777" w:rsidR="00E15ABE" w:rsidRPr="00E15ABE" w:rsidRDefault="00E15ABE" w:rsidP="00E15ABE">
      <w:pPr>
        <w:numPr>
          <w:ilvl w:val="0"/>
          <w:numId w:val="41"/>
        </w:numPr>
        <w:spacing w:line="256" w:lineRule="auto"/>
        <w:contextualSpacing/>
        <w:jc w:val="left"/>
        <w:rPr>
          <w:rFonts w:eastAsia="Calibri" w:cs="Arial"/>
          <w:sz w:val="22"/>
        </w:rPr>
      </w:pPr>
      <w:r w:rsidRPr="00E15ABE">
        <w:rPr>
          <w:rFonts w:eastAsia="Times New Roman" w:cs="Arial"/>
          <w:sz w:val="22"/>
        </w:rPr>
        <w:t>Debitorenlaufzeit &lt; Kreditorenlaufzeit</w:t>
      </w:r>
    </w:p>
    <w:p w14:paraId="695311DE" w14:textId="77777777" w:rsidR="00E15ABE" w:rsidRPr="005D52FF" w:rsidRDefault="00E15ABE" w:rsidP="005D52FF"/>
    <w:p w14:paraId="296413ED" w14:textId="77777777" w:rsidR="00F52378" w:rsidRPr="00F52378" w:rsidRDefault="00F52378" w:rsidP="00F52378"/>
    <w:p w14:paraId="482DF40E" w14:textId="29631232" w:rsidR="00F52378" w:rsidRPr="00F52378" w:rsidRDefault="00F52378" w:rsidP="00F52378">
      <w:r w:rsidRPr="00316000">
        <w:lastRenderedPageBreak/>
        <w:br/>
      </w:r>
    </w:p>
    <w:p w14:paraId="028AAC2B" w14:textId="77777777" w:rsidR="00F52378" w:rsidRPr="00316000" w:rsidRDefault="00F52378"/>
    <w:p w14:paraId="40B5CE8E" w14:textId="77777777" w:rsidR="00B97EE9" w:rsidRPr="00316000" w:rsidRDefault="00B97EE9"/>
    <w:p w14:paraId="3F581820" w14:textId="77777777" w:rsidR="00B97EE9" w:rsidRPr="00316000" w:rsidRDefault="00B97EE9"/>
    <w:p w14:paraId="3DBA4676" w14:textId="77777777" w:rsidR="00B97EE9" w:rsidRPr="00316000" w:rsidRDefault="00B97EE9"/>
    <w:p w14:paraId="705AF457" w14:textId="77777777" w:rsidR="00B97EE9" w:rsidRPr="00316000" w:rsidRDefault="00B97EE9"/>
    <w:sectPr w:rsidR="00B97EE9" w:rsidRPr="0031600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0B30"/>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A5AA6"/>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D123B"/>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EF0612"/>
    <w:multiLevelType w:val="multilevel"/>
    <w:tmpl w:val="1584C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D1FE4"/>
    <w:multiLevelType w:val="multilevel"/>
    <w:tmpl w:val="2EBC7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83028B"/>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3E2929"/>
    <w:multiLevelType w:val="multilevel"/>
    <w:tmpl w:val="88405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B6A5C8A"/>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886CD6"/>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D2D47"/>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705086"/>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616C89"/>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359AD"/>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DC4B1B"/>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031CFC"/>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31283D"/>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673565"/>
    <w:multiLevelType w:val="multilevel"/>
    <w:tmpl w:val="47D29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36C6F7D"/>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BE6C48"/>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A10F73"/>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BE1595"/>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B77700"/>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E14BDA"/>
    <w:multiLevelType w:val="hybridMultilevel"/>
    <w:tmpl w:val="E1784F7E"/>
    <w:lvl w:ilvl="0" w:tplc="0407000B">
      <w:start w:val="1"/>
      <w:numFmt w:val="bullet"/>
      <w:lvlText w:val=""/>
      <w:lvlJc w:val="left"/>
      <w:pPr>
        <w:ind w:left="1429" w:hanging="360"/>
      </w:pPr>
      <w:rPr>
        <w:rFonts w:ascii="Wingdings" w:hAnsi="Wingdings" w:hint="default"/>
      </w:rPr>
    </w:lvl>
    <w:lvl w:ilvl="1" w:tplc="04070003">
      <w:start w:val="1"/>
      <w:numFmt w:val="bullet"/>
      <w:lvlText w:val="o"/>
      <w:lvlJc w:val="left"/>
      <w:pPr>
        <w:ind w:left="2149" w:hanging="360"/>
      </w:pPr>
      <w:rPr>
        <w:rFonts w:ascii="Courier New" w:hAnsi="Courier New" w:cs="Courier New" w:hint="default"/>
      </w:rPr>
    </w:lvl>
    <w:lvl w:ilvl="2" w:tplc="04070005">
      <w:start w:val="1"/>
      <w:numFmt w:val="bullet"/>
      <w:lvlText w:val=""/>
      <w:lvlJc w:val="left"/>
      <w:pPr>
        <w:ind w:left="2869" w:hanging="360"/>
      </w:pPr>
      <w:rPr>
        <w:rFonts w:ascii="Wingdings" w:hAnsi="Wingdings" w:hint="default"/>
      </w:rPr>
    </w:lvl>
    <w:lvl w:ilvl="3" w:tplc="04070001">
      <w:start w:val="1"/>
      <w:numFmt w:val="bullet"/>
      <w:lvlText w:val=""/>
      <w:lvlJc w:val="left"/>
      <w:pPr>
        <w:ind w:left="3589" w:hanging="360"/>
      </w:pPr>
      <w:rPr>
        <w:rFonts w:ascii="Symbol" w:hAnsi="Symbol" w:hint="default"/>
      </w:rPr>
    </w:lvl>
    <w:lvl w:ilvl="4" w:tplc="04070003">
      <w:start w:val="1"/>
      <w:numFmt w:val="bullet"/>
      <w:lvlText w:val="o"/>
      <w:lvlJc w:val="left"/>
      <w:pPr>
        <w:ind w:left="4309" w:hanging="360"/>
      </w:pPr>
      <w:rPr>
        <w:rFonts w:ascii="Courier New" w:hAnsi="Courier New" w:cs="Courier New" w:hint="default"/>
      </w:rPr>
    </w:lvl>
    <w:lvl w:ilvl="5" w:tplc="04070005">
      <w:start w:val="1"/>
      <w:numFmt w:val="bullet"/>
      <w:lvlText w:val=""/>
      <w:lvlJc w:val="left"/>
      <w:pPr>
        <w:ind w:left="5029" w:hanging="360"/>
      </w:pPr>
      <w:rPr>
        <w:rFonts w:ascii="Wingdings" w:hAnsi="Wingdings" w:hint="default"/>
      </w:rPr>
    </w:lvl>
    <w:lvl w:ilvl="6" w:tplc="04070001">
      <w:start w:val="1"/>
      <w:numFmt w:val="bullet"/>
      <w:lvlText w:val=""/>
      <w:lvlJc w:val="left"/>
      <w:pPr>
        <w:ind w:left="5749" w:hanging="360"/>
      </w:pPr>
      <w:rPr>
        <w:rFonts w:ascii="Symbol" w:hAnsi="Symbol" w:hint="default"/>
      </w:rPr>
    </w:lvl>
    <w:lvl w:ilvl="7" w:tplc="04070003">
      <w:start w:val="1"/>
      <w:numFmt w:val="bullet"/>
      <w:lvlText w:val="o"/>
      <w:lvlJc w:val="left"/>
      <w:pPr>
        <w:ind w:left="6469" w:hanging="360"/>
      </w:pPr>
      <w:rPr>
        <w:rFonts w:ascii="Courier New" w:hAnsi="Courier New" w:cs="Courier New" w:hint="default"/>
      </w:rPr>
    </w:lvl>
    <w:lvl w:ilvl="8" w:tplc="04070005">
      <w:start w:val="1"/>
      <w:numFmt w:val="bullet"/>
      <w:lvlText w:val=""/>
      <w:lvlJc w:val="left"/>
      <w:pPr>
        <w:ind w:left="7189" w:hanging="360"/>
      </w:pPr>
      <w:rPr>
        <w:rFonts w:ascii="Wingdings" w:hAnsi="Wingdings" w:hint="default"/>
      </w:rPr>
    </w:lvl>
  </w:abstractNum>
  <w:abstractNum w:abstractNumId="23" w15:restartNumberingAfterBreak="0">
    <w:nsid w:val="3F4B611F"/>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244F63"/>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7D661C"/>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EB778F"/>
    <w:multiLevelType w:val="multilevel"/>
    <w:tmpl w:val="D9809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821121"/>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E27048A"/>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54107C"/>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0F2B3B"/>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8C5743"/>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FA54D0"/>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BF7ADA"/>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7C3DE1"/>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1748D1"/>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47632A"/>
    <w:multiLevelType w:val="multilevel"/>
    <w:tmpl w:val="FC366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4A1BE3"/>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FF30A9"/>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D937A4"/>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EC2AA2"/>
    <w:multiLevelType w:val="multilevel"/>
    <w:tmpl w:val="87983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897774">
    <w:abstractNumId w:val="4"/>
  </w:num>
  <w:num w:numId="2" w16cid:durableId="1828743472">
    <w:abstractNumId w:val="27"/>
  </w:num>
  <w:num w:numId="3" w16cid:durableId="630551565">
    <w:abstractNumId w:val="8"/>
  </w:num>
  <w:num w:numId="4" w16cid:durableId="1902253533">
    <w:abstractNumId w:val="19"/>
  </w:num>
  <w:num w:numId="5" w16cid:durableId="1088115068">
    <w:abstractNumId w:val="5"/>
  </w:num>
  <w:num w:numId="6" w16cid:durableId="1227105103">
    <w:abstractNumId w:val="24"/>
  </w:num>
  <w:num w:numId="7" w16cid:durableId="152139512">
    <w:abstractNumId w:val="21"/>
  </w:num>
  <w:num w:numId="8" w16cid:durableId="690422798">
    <w:abstractNumId w:val="29"/>
  </w:num>
  <w:num w:numId="9" w16cid:durableId="670177961">
    <w:abstractNumId w:val="9"/>
  </w:num>
  <w:num w:numId="10" w16cid:durableId="952856603">
    <w:abstractNumId w:val="35"/>
  </w:num>
  <w:num w:numId="11" w16cid:durableId="1982496387">
    <w:abstractNumId w:val="7"/>
  </w:num>
  <w:num w:numId="12" w16cid:durableId="2139254105">
    <w:abstractNumId w:val="11"/>
  </w:num>
  <w:num w:numId="13" w16cid:durableId="1445730381">
    <w:abstractNumId w:val="28"/>
  </w:num>
  <w:num w:numId="14" w16cid:durableId="81151055">
    <w:abstractNumId w:val="32"/>
  </w:num>
  <w:num w:numId="15" w16cid:durableId="1288387921">
    <w:abstractNumId w:val="1"/>
  </w:num>
  <w:num w:numId="16" w16cid:durableId="1866285174">
    <w:abstractNumId w:val="0"/>
  </w:num>
  <w:num w:numId="17" w16cid:durableId="1730029325">
    <w:abstractNumId w:val="10"/>
  </w:num>
  <w:num w:numId="18" w16cid:durableId="791485497">
    <w:abstractNumId w:val="30"/>
  </w:num>
  <w:num w:numId="19" w16cid:durableId="800030696">
    <w:abstractNumId w:val="34"/>
  </w:num>
  <w:num w:numId="20" w16cid:durableId="439686119">
    <w:abstractNumId w:val="25"/>
  </w:num>
  <w:num w:numId="21" w16cid:durableId="1519663579">
    <w:abstractNumId w:val="18"/>
  </w:num>
  <w:num w:numId="22" w16cid:durableId="1803420561">
    <w:abstractNumId w:val="15"/>
  </w:num>
  <w:num w:numId="23" w16cid:durableId="570237230">
    <w:abstractNumId w:val="2"/>
  </w:num>
  <w:num w:numId="24" w16cid:durableId="1477071072">
    <w:abstractNumId w:val="17"/>
  </w:num>
  <w:num w:numId="25" w16cid:durableId="242029618">
    <w:abstractNumId w:val="38"/>
  </w:num>
  <w:num w:numId="26" w16cid:durableId="1344359876">
    <w:abstractNumId w:val="33"/>
  </w:num>
  <w:num w:numId="27" w16cid:durableId="680015511">
    <w:abstractNumId w:val="14"/>
  </w:num>
  <w:num w:numId="28" w16cid:durableId="665938591">
    <w:abstractNumId w:val="20"/>
  </w:num>
  <w:num w:numId="29" w16cid:durableId="2146577247">
    <w:abstractNumId w:val="37"/>
  </w:num>
  <w:num w:numId="30" w16cid:durableId="2073502507">
    <w:abstractNumId w:val="12"/>
  </w:num>
  <w:num w:numId="31" w16cid:durableId="1189415002">
    <w:abstractNumId w:val="40"/>
  </w:num>
  <w:num w:numId="32" w16cid:durableId="1834296783">
    <w:abstractNumId w:val="31"/>
  </w:num>
  <w:num w:numId="33" w16cid:durableId="2031490678">
    <w:abstractNumId w:val="26"/>
  </w:num>
  <w:num w:numId="34" w16cid:durableId="1957444227">
    <w:abstractNumId w:val="36"/>
  </w:num>
  <w:num w:numId="35" w16cid:durableId="1107117255">
    <w:abstractNumId w:val="6"/>
  </w:num>
  <w:num w:numId="36" w16cid:durableId="908925094">
    <w:abstractNumId w:val="23"/>
  </w:num>
  <w:num w:numId="37" w16cid:durableId="1917324200">
    <w:abstractNumId w:val="3"/>
  </w:num>
  <w:num w:numId="38" w16cid:durableId="1034769130">
    <w:abstractNumId w:val="39"/>
  </w:num>
  <w:num w:numId="39" w16cid:durableId="179052819">
    <w:abstractNumId w:val="13"/>
  </w:num>
  <w:num w:numId="40" w16cid:durableId="453864603">
    <w:abstractNumId w:val="16"/>
  </w:num>
  <w:num w:numId="41" w16cid:durableId="20590860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341"/>
    <w:rsid w:val="00172D2E"/>
    <w:rsid w:val="002B2290"/>
    <w:rsid w:val="00316000"/>
    <w:rsid w:val="003D32DA"/>
    <w:rsid w:val="00441E02"/>
    <w:rsid w:val="0051072F"/>
    <w:rsid w:val="005D52FF"/>
    <w:rsid w:val="0069769A"/>
    <w:rsid w:val="007B5143"/>
    <w:rsid w:val="00900979"/>
    <w:rsid w:val="00921634"/>
    <w:rsid w:val="00A55341"/>
    <w:rsid w:val="00AC0758"/>
    <w:rsid w:val="00AD41B1"/>
    <w:rsid w:val="00AD4BE7"/>
    <w:rsid w:val="00AF3707"/>
    <w:rsid w:val="00B97EE9"/>
    <w:rsid w:val="00C37BDF"/>
    <w:rsid w:val="00E15ABE"/>
    <w:rsid w:val="00E3072F"/>
    <w:rsid w:val="00EC2767"/>
    <w:rsid w:val="00F52378"/>
    <w:rsid w:val="00FC186F"/>
    <w:rsid w:val="00FF54E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D030B"/>
  <w15:chartTrackingRefBased/>
  <w15:docId w15:val="{1840FF5E-1C17-49F9-8D08-383B21FB8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921634"/>
    <w:pPr>
      <w:spacing w:line="360" w:lineRule="auto"/>
      <w:jc w:val="both"/>
    </w:pPr>
    <w:rPr>
      <w:rFonts w:ascii="Arial" w:hAnsi="Arial"/>
      <w:sz w:val="24"/>
    </w:rPr>
  </w:style>
  <w:style w:type="paragraph" w:styleId="berschrift1">
    <w:name w:val="heading 1"/>
    <w:basedOn w:val="Standard"/>
    <w:next w:val="Standard"/>
    <w:link w:val="berschrift1Zchn"/>
    <w:uiPriority w:val="9"/>
    <w:qFormat/>
    <w:rsid w:val="00921634"/>
    <w:pPr>
      <w:keepNext/>
      <w:keepLines/>
      <w:spacing w:after="240"/>
      <w:jc w:val="left"/>
      <w:outlineLvl w:val="0"/>
    </w:pPr>
    <w:rPr>
      <w:rFonts w:eastAsiaTheme="majorEastAsia" w:cstheme="majorBidi"/>
      <w:b/>
      <w:color w:val="2F5496" w:themeColor="accent1" w:themeShade="BF"/>
      <w:sz w:val="32"/>
      <w:szCs w:val="32"/>
    </w:rPr>
  </w:style>
  <w:style w:type="paragraph" w:styleId="berschrift2">
    <w:name w:val="heading 2"/>
    <w:basedOn w:val="Standard"/>
    <w:next w:val="Standard"/>
    <w:link w:val="berschrift2Zchn"/>
    <w:uiPriority w:val="9"/>
    <w:semiHidden/>
    <w:unhideWhenUsed/>
    <w:qFormat/>
    <w:rsid w:val="00921634"/>
    <w:pPr>
      <w:keepNext/>
      <w:keepLines/>
      <w:spacing w:before="360" w:after="240"/>
      <w:jc w:val="left"/>
      <w:outlineLvl w:val="1"/>
    </w:pPr>
    <w:rPr>
      <w:rFonts w:eastAsiaTheme="majorEastAsia" w:cstheme="majorBidi"/>
      <w:b/>
      <w:sz w:val="28"/>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921634"/>
    <w:rPr>
      <w:rFonts w:ascii="Arial" w:eastAsiaTheme="majorEastAsia" w:hAnsi="Arial" w:cstheme="majorBidi"/>
      <w:b/>
      <w:color w:val="2F5496" w:themeColor="accent1" w:themeShade="BF"/>
      <w:sz w:val="32"/>
      <w:szCs w:val="32"/>
    </w:rPr>
  </w:style>
  <w:style w:type="character" w:customStyle="1" w:styleId="berschrift2Zchn">
    <w:name w:val="Überschrift 2 Zchn"/>
    <w:basedOn w:val="Absatz-Standardschriftart"/>
    <w:link w:val="berschrift2"/>
    <w:uiPriority w:val="9"/>
    <w:semiHidden/>
    <w:rsid w:val="00921634"/>
    <w:rPr>
      <w:rFonts w:ascii="Arial" w:eastAsiaTheme="majorEastAsia" w:hAnsi="Arial" w:cstheme="majorBidi"/>
      <w:b/>
      <w:sz w:val="28"/>
      <w:szCs w:val="26"/>
    </w:rPr>
  </w:style>
  <w:style w:type="character" w:styleId="Hyperlink">
    <w:name w:val="Hyperlink"/>
    <w:basedOn w:val="Absatz-Standardschriftart"/>
    <w:uiPriority w:val="99"/>
    <w:unhideWhenUsed/>
    <w:rsid w:val="00EC2767"/>
    <w:rPr>
      <w:color w:val="0563C1" w:themeColor="hyperlink"/>
      <w:u w:val="single"/>
    </w:rPr>
  </w:style>
  <w:style w:type="character" w:styleId="NichtaufgelsteErwhnung">
    <w:name w:val="Unresolved Mention"/>
    <w:basedOn w:val="Absatz-Standardschriftart"/>
    <w:uiPriority w:val="99"/>
    <w:semiHidden/>
    <w:unhideWhenUsed/>
    <w:rsid w:val="00EC2767"/>
    <w:rPr>
      <w:color w:val="605E5C"/>
      <w:shd w:val="clear" w:color="auto" w:fill="E1DFDD"/>
    </w:rPr>
  </w:style>
  <w:style w:type="paragraph" w:styleId="Listenabsatz">
    <w:name w:val="List Paragraph"/>
    <w:basedOn w:val="Standard"/>
    <w:uiPriority w:val="34"/>
    <w:qFormat/>
    <w:rsid w:val="00EC27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12544">
      <w:bodyDiv w:val="1"/>
      <w:marLeft w:val="0"/>
      <w:marRight w:val="0"/>
      <w:marTop w:val="0"/>
      <w:marBottom w:val="0"/>
      <w:divBdr>
        <w:top w:val="none" w:sz="0" w:space="0" w:color="auto"/>
        <w:left w:val="none" w:sz="0" w:space="0" w:color="auto"/>
        <w:bottom w:val="none" w:sz="0" w:space="0" w:color="auto"/>
        <w:right w:val="none" w:sz="0" w:space="0" w:color="auto"/>
      </w:divBdr>
      <w:divsChild>
        <w:div w:id="1039478861">
          <w:marLeft w:val="0"/>
          <w:marRight w:val="0"/>
          <w:marTop w:val="0"/>
          <w:marBottom w:val="0"/>
          <w:divBdr>
            <w:top w:val="none" w:sz="0" w:space="0" w:color="auto"/>
            <w:left w:val="none" w:sz="0" w:space="0" w:color="auto"/>
            <w:bottom w:val="none" w:sz="0" w:space="0" w:color="auto"/>
            <w:right w:val="none" w:sz="0" w:space="0" w:color="auto"/>
          </w:divBdr>
          <w:divsChild>
            <w:div w:id="1303072172">
              <w:marLeft w:val="0"/>
              <w:marRight w:val="0"/>
              <w:marTop w:val="0"/>
              <w:marBottom w:val="0"/>
              <w:divBdr>
                <w:top w:val="none" w:sz="0" w:space="0" w:color="auto"/>
                <w:left w:val="none" w:sz="0" w:space="0" w:color="auto"/>
                <w:bottom w:val="none" w:sz="0" w:space="0" w:color="auto"/>
                <w:right w:val="none" w:sz="0" w:space="0" w:color="auto"/>
              </w:divBdr>
            </w:div>
            <w:div w:id="141386350">
              <w:marLeft w:val="0"/>
              <w:marRight w:val="0"/>
              <w:marTop w:val="0"/>
              <w:marBottom w:val="0"/>
              <w:divBdr>
                <w:top w:val="none" w:sz="0" w:space="0" w:color="auto"/>
                <w:left w:val="none" w:sz="0" w:space="0" w:color="auto"/>
                <w:bottom w:val="none" w:sz="0" w:space="0" w:color="auto"/>
                <w:right w:val="none" w:sz="0" w:space="0" w:color="auto"/>
              </w:divBdr>
              <w:divsChild>
                <w:div w:id="1588880820">
                  <w:marLeft w:val="0"/>
                  <w:marRight w:val="0"/>
                  <w:marTop w:val="0"/>
                  <w:marBottom w:val="0"/>
                  <w:divBdr>
                    <w:top w:val="none" w:sz="0" w:space="0" w:color="auto"/>
                    <w:left w:val="none" w:sz="0" w:space="0" w:color="auto"/>
                    <w:bottom w:val="none" w:sz="0" w:space="0" w:color="auto"/>
                    <w:right w:val="none" w:sz="0" w:space="0" w:color="auto"/>
                  </w:divBdr>
                </w:div>
                <w:div w:id="158618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19920">
          <w:marLeft w:val="0"/>
          <w:marRight w:val="0"/>
          <w:marTop w:val="0"/>
          <w:marBottom w:val="0"/>
          <w:divBdr>
            <w:top w:val="none" w:sz="0" w:space="0" w:color="auto"/>
            <w:left w:val="none" w:sz="0" w:space="0" w:color="auto"/>
            <w:bottom w:val="none" w:sz="0" w:space="0" w:color="auto"/>
            <w:right w:val="none" w:sz="0" w:space="0" w:color="auto"/>
          </w:divBdr>
          <w:divsChild>
            <w:div w:id="445269903">
              <w:marLeft w:val="0"/>
              <w:marRight w:val="0"/>
              <w:marTop w:val="0"/>
              <w:marBottom w:val="0"/>
              <w:divBdr>
                <w:top w:val="none" w:sz="0" w:space="0" w:color="auto"/>
                <w:left w:val="none" w:sz="0" w:space="0" w:color="auto"/>
                <w:bottom w:val="none" w:sz="0" w:space="0" w:color="auto"/>
                <w:right w:val="none" w:sz="0" w:space="0" w:color="auto"/>
              </w:divBdr>
            </w:div>
          </w:divsChild>
        </w:div>
        <w:div w:id="919947603">
          <w:marLeft w:val="0"/>
          <w:marRight w:val="0"/>
          <w:marTop w:val="0"/>
          <w:marBottom w:val="0"/>
          <w:divBdr>
            <w:top w:val="none" w:sz="0" w:space="0" w:color="auto"/>
            <w:left w:val="none" w:sz="0" w:space="0" w:color="auto"/>
            <w:bottom w:val="none" w:sz="0" w:space="0" w:color="auto"/>
            <w:right w:val="none" w:sz="0" w:space="0" w:color="auto"/>
          </w:divBdr>
          <w:divsChild>
            <w:div w:id="251860586">
              <w:marLeft w:val="0"/>
              <w:marRight w:val="0"/>
              <w:marTop w:val="0"/>
              <w:marBottom w:val="0"/>
              <w:divBdr>
                <w:top w:val="none" w:sz="0" w:space="0" w:color="auto"/>
                <w:left w:val="none" w:sz="0" w:space="0" w:color="auto"/>
                <w:bottom w:val="none" w:sz="0" w:space="0" w:color="auto"/>
                <w:right w:val="none" w:sz="0" w:space="0" w:color="auto"/>
              </w:divBdr>
              <w:divsChild>
                <w:div w:id="357437268">
                  <w:marLeft w:val="0"/>
                  <w:marRight w:val="0"/>
                  <w:marTop w:val="0"/>
                  <w:marBottom w:val="0"/>
                  <w:divBdr>
                    <w:top w:val="none" w:sz="0" w:space="0" w:color="auto"/>
                    <w:left w:val="none" w:sz="0" w:space="0" w:color="auto"/>
                    <w:bottom w:val="none" w:sz="0" w:space="0" w:color="auto"/>
                    <w:right w:val="none" w:sz="0" w:space="0" w:color="auto"/>
                  </w:divBdr>
                  <w:divsChild>
                    <w:div w:id="62161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104398">
              <w:marLeft w:val="0"/>
              <w:marRight w:val="0"/>
              <w:marTop w:val="0"/>
              <w:marBottom w:val="0"/>
              <w:divBdr>
                <w:top w:val="none" w:sz="0" w:space="0" w:color="auto"/>
                <w:left w:val="none" w:sz="0" w:space="0" w:color="auto"/>
                <w:bottom w:val="none" w:sz="0" w:space="0" w:color="auto"/>
                <w:right w:val="none" w:sz="0" w:space="0" w:color="auto"/>
              </w:divBdr>
              <w:divsChild>
                <w:div w:id="1828403438">
                  <w:marLeft w:val="0"/>
                  <w:marRight w:val="0"/>
                  <w:marTop w:val="0"/>
                  <w:marBottom w:val="0"/>
                  <w:divBdr>
                    <w:top w:val="none" w:sz="0" w:space="0" w:color="auto"/>
                    <w:left w:val="none" w:sz="0" w:space="0" w:color="auto"/>
                    <w:bottom w:val="none" w:sz="0" w:space="0" w:color="auto"/>
                    <w:right w:val="none" w:sz="0" w:space="0" w:color="auto"/>
                  </w:divBdr>
                  <w:divsChild>
                    <w:div w:id="163718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5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25074">
      <w:bodyDiv w:val="1"/>
      <w:marLeft w:val="0"/>
      <w:marRight w:val="0"/>
      <w:marTop w:val="0"/>
      <w:marBottom w:val="0"/>
      <w:divBdr>
        <w:top w:val="none" w:sz="0" w:space="0" w:color="auto"/>
        <w:left w:val="none" w:sz="0" w:space="0" w:color="auto"/>
        <w:bottom w:val="none" w:sz="0" w:space="0" w:color="auto"/>
        <w:right w:val="none" w:sz="0" w:space="0" w:color="auto"/>
      </w:divBdr>
    </w:div>
    <w:div w:id="392854766">
      <w:bodyDiv w:val="1"/>
      <w:marLeft w:val="0"/>
      <w:marRight w:val="0"/>
      <w:marTop w:val="0"/>
      <w:marBottom w:val="0"/>
      <w:divBdr>
        <w:top w:val="none" w:sz="0" w:space="0" w:color="auto"/>
        <w:left w:val="none" w:sz="0" w:space="0" w:color="auto"/>
        <w:bottom w:val="none" w:sz="0" w:space="0" w:color="auto"/>
        <w:right w:val="none" w:sz="0" w:space="0" w:color="auto"/>
      </w:divBdr>
      <w:divsChild>
        <w:div w:id="1901936268">
          <w:marLeft w:val="0"/>
          <w:marRight w:val="0"/>
          <w:marTop w:val="0"/>
          <w:marBottom w:val="0"/>
          <w:divBdr>
            <w:top w:val="none" w:sz="0" w:space="0" w:color="auto"/>
            <w:left w:val="none" w:sz="0" w:space="0" w:color="auto"/>
            <w:bottom w:val="none" w:sz="0" w:space="0" w:color="auto"/>
            <w:right w:val="none" w:sz="0" w:space="0" w:color="auto"/>
          </w:divBdr>
        </w:div>
        <w:div w:id="1683119555">
          <w:marLeft w:val="0"/>
          <w:marRight w:val="0"/>
          <w:marTop w:val="0"/>
          <w:marBottom w:val="240"/>
          <w:divBdr>
            <w:top w:val="single" w:sz="6" w:space="8" w:color="AAAAAA"/>
            <w:left w:val="single" w:sz="6" w:space="8" w:color="AAAAAA"/>
            <w:bottom w:val="single" w:sz="6" w:space="8" w:color="AAAAAA"/>
            <w:right w:val="single" w:sz="6" w:space="15" w:color="AAAAAA"/>
          </w:divBdr>
          <w:divsChild>
            <w:div w:id="149784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134992">
      <w:bodyDiv w:val="1"/>
      <w:marLeft w:val="0"/>
      <w:marRight w:val="0"/>
      <w:marTop w:val="0"/>
      <w:marBottom w:val="0"/>
      <w:divBdr>
        <w:top w:val="none" w:sz="0" w:space="0" w:color="auto"/>
        <w:left w:val="none" w:sz="0" w:space="0" w:color="auto"/>
        <w:bottom w:val="none" w:sz="0" w:space="0" w:color="auto"/>
        <w:right w:val="none" w:sz="0" w:space="0" w:color="auto"/>
      </w:divBdr>
    </w:div>
    <w:div w:id="638534053">
      <w:bodyDiv w:val="1"/>
      <w:marLeft w:val="0"/>
      <w:marRight w:val="0"/>
      <w:marTop w:val="0"/>
      <w:marBottom w:val="0"/>
      <w:divBdr>
        <w:top w:val="none" w:sz="0" w:space="0" w:color="auto"/>
        <w:left w:val="none" w:sz="0" w:space="0" w:color="auto"/>
        <w:bottom w:val="none" w:sz="0" w:space="0" w:color="auto"/>
        <w:right w:val="none" w:sz="0" w:space="0" w:color="auto"/>
      </w:divBdr>
      <w:divsChild>
        <w:div w:id="1157725110">
          <w:marLeft w:val="0"/>
          <w:marRight w:val="0"/>
          <w:marTop w:val="0"/>
          <w:marBottom w:val="0"/>
          <w:divBdr>
            <w:top w:val="none" w:sz="0" w:space="0" w:color="auto"/>
            <w:left w:val="none" w:sz="0" w:space="0" w:color="auto"/>
            <w:bottom w:val="none" w:sz="0" w:space="0" w:color="auto"/>
            <w:right w:val="none" w:sz="0" w:space="0" w:color="auto"/>
          </w:divBdr>
          <w:divsChild>
            <w:div w:id="728067538">
              <w:marLeft w:val="0"/>
              <w:marRight w:val="0"/>
              <w:marTop w:val="0"/>
              <w:marBottom w:val="0"/>
              <w:divBdr>
                <w:top w:val="none" w:sz="0" w:space="0" w:color="auto"/>
                <w:left w:val="none" w:sz="0" w:space="0" w:color="auto"/>
                <w:bottom w:val="none" w:sz="0" w:space="0" w:color="auto"/>
                <w:right w:val="none" w:sz="0" w:space="0" w:color="auto"/>
              </w:divBdr>
              <w:divsChild>
                <w:div w:id="2078162149">
                  <w:marLeft w:val="0"/>
                  <w:marRight w:val="0"/>
                  <w:marTop w:val="150"/>
                  <w:marBottom w:val="0"/>
                  <w:divBdr>
                    <w:top w:val="none" w:sz="0" w:space="0" w:color="auto"/>
                    <w:left w:val="none" w:sz="0" w:space="0" w:color="auto"/>
                    <w:bottom w:val="none" w:sz="0" w:space="0" w:color="auto"/>
                    <w:right w:val="none" w:sz="0" w:space="0" w:color="auto"/>
                  </w:divBdr>
                  <w:divsChild>
                    <w:div w:id="58943689">
                      <w:marLeft w:val="0"/>
                      <w:marRight w:val="0"/>
                      <w:marTop w:val="0"/>
                      <w:marBottom w:val="0"/>
                      <w:divBdr>
                        <w:top w:val="none" w:sz="0" w:space="0" w:color="auto"/>
                        <w:left w:val="none" w:sz="0" w:space="0" w:color="auto"/>
                        <w:bottom w:val="none" w:sz="0" w:space="0" w:color="auto"/>
                        <w:right w:val="none" w:sz="0" w:space="0" w:color="auto"/>
                      </w:divBdr>
                      <w:divsChild>
                        <w:div w:id="92013962">
                          <w:marLeft w:val="0"/>
                          <w:marRight w:val="0"/>
                          <w:marTop w:val="150"/>
                          <w:marBottom w:val="0"/>
                          <w:divBdr>
                            <w:top w:val="none" w:sz="0" w:space="0" w:color="auto"/>
                            <w:left w:val="none" w:sz="0" w:space="0" w:color="auto"/>
                            <w:bottom w:val="none" w:sz="0" w:space="0" w:color="auto"/>
                            <w:right w:val="none" w:sz="0" w:space="0" w:color="auto"/>
                          </w:divBdr>
                          <w:divsChild>
                            <w:div w:id="746074686">
                              <w:marLeft w:val="0"/>
                              <w:marRight w:val="0"/>
                              <w:marTop w:val="0"/>
                              <w:marBottom w:val="0"/>
                              <w:divBdr>
                                <w:top w:val="none" w:sz="0" w:space="0" w:color="auto"/>
                                <w:left w:val="none" w:sz="0" w:space="0" w:color="auto"/>
                                <w:bottom w:val="none" w:sz="0" w:space="0" w:color="auto"/>
                                <w:right w:val="none" w:sz="0" w:space="0" w:color="auto"/>
                              </w:divBdr>
                              <w:divsChild>
                                <w:div w:id="1116407976">
                                  <w:marLeft w:val="0"/>
                                  <w:marRight w:val="0"/>
                                  <w:marTop w:val="0"/>
                                  <w:marBottom w:val="0"/>
                                  <w:divBdr>
                                    <w:top w:val="none" w:sz="0" w:space="0" w:color="auto"/>
                                    <w:left w:val="none" w:sz="0" w:space="0" w:color="auto"/>
                                    <w:bottom w:val="none" w:sz="0" w:space="0" w:color="auto"/>
                                    <w:right w:val="none" w:sz="0" w:space="0" w:color="auto"/>
                                  </w:divBdr>
                                  <w:divsChild>
                                    <w:div w:id="639850384">
                                      <w:marLeft w:val="0"/>
                                      <w:marRight w:val="0"/>
                                      <w:marTop w:val="0"/>
                                      <w:marBottom w:val="0"/>
                                      <w:divBdr>
                                        <w:top w:val="none" w:sz="0" w:space="0" w:color="auto"/>
                                        <w:left w:val="none" w:sz="0" w:space="0" w:color="auto"/>
                                        <w:bottom w:val="none" w:sz="0" w:space="0" w:color="auto"/>
                                        <w:right w:val="none" w:sz="0" w:space="0" w:color="auto"/>
                                      </w:divBdr>
                                      <w:divsChild>
                                        <w:div w:id="2007393001">
                                          <w:marLeft w:val="0"/>
                                          <w:marRight w:val="0"/>
                                          <w:marTop w:val="0"/>
                                          <w:marBottom w:val="0"/>
                                          <w:divBdr>
                                            <w:top w:val="none" w:sz="0" w:space="0" w:color="auto"/>
                                            <w:left w:val="none" w:sz="0" w:space="0" w:color="auto"/>
                                            <w:bottom w:val="none" w:sz="0" w:space="0" w:color="auto"/>
                                            <w:right w:val="none" w:sz="0" w:space="0" w:color="auto"/>
                                          </w:divBdr>
                                          <w:divsChild>
                                            <w:div w:id="775439572">
                                              <w:marLeft w:val="0"/>
                                              <w:marRight w:val="0"/>
                                              <w:marTop w:val="0"/>
                                              <w:marBottom w:val="150"/>
                                              <w:divBdr>
                                                <w:top w:val="none" w:sz="0" w:space="0" w:color="auto"/>
                                                <w:left w:val="none" w:sz="0" w:space="0" w:color="auto"/>
                                                <w:bottom w:val="none" w:sz="0" w:space="0" w:color="auto"/>
                                                <w:right w:val="none" w:sz="0" w:space="0" w:color="auto"/>
                                              </w:divBdr>
                                            </w:div>
                                            <w:div w:id="62272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76156932">
      <w:bodyDiv w:val="1"/>
      <w:marLeft w:val="0"/>
      <w:marRight w:val="0"/>
      <w:marTop w:val="0"/>
      <w:marBottom w:val="0"/>
      <w:divBdr>
        <w:top w:val="none" w:sz="0" w:space="0" w:color="auto"/>
        <w:left w:val="none" w:sz="0" w:space="0" w:color="auto"/>
        <w:bottom w:val="none" w:sz="0" w:space="0" w:color="auto"/>
        <w:right w:val="none" w:sz="0" w:space="0" w:color="auto"/>
      </w:divBdr>
      <w:divsChild>
        <w:div w:id="393357172">
          <w:marLeft w:val="0"/>
          <w:marRight w:val="0"/>
          <w:marTop w:val="0"/>
          <w:marBottom w:val="0"/>
          <w:divBdr>
            <w:top w:val="single" w:sz="6" w:space="0" w:color="D4DAE0"/>
            <w:left w:val="none" w:sz="0" w:space="0" w:color="auto"/>
            <w:bottom w:val="single" w:sz="6" w:space="0" w:color="D4DAE0"/>
            <w:right w:val="none" w:sz="0" w:space="0" w:color="auto"/>
          </w:divBdr>
          <w:divsChild>
            <w:div w:id="1032070864">
              <w:marLeft w:val="0"/>
              <w:marRight w:val="0"/>
              <w:marTop w:val="0"/>
              <w:marBottom w:val="0"/>
              <w:divBdr>
                <w:top w:val="none" w:sz="0" w:space="0" w:color="auto"/>
                <w:left w:val="none" w:sz="0" w:space="0" w:color="auto"/>
                <w:bottom w:val="none" w:sz="0" w:space="0" w:color="auto"/>
                <w:right w:val="none" w:sz="0" w:space="0" w:color="auto"/>
              </w:divBdr>
            </w:div>
          </w:divsChild>
        </w:div>
        <w:div w:id="1503199570">
          <w:marLeft w:val="0"/>
          <w:marRight w:val="0"/>
          <w:marTop w:val="0"/>
          <w:marBottom w:val="0"/>
          <w:divBdr>
            <w:top w:val="none" w:sz="0" w:space="0" w:color="auto"/>
            <w:left w:val="none" w:sz="0" w:space="0" w:color="auto"/>
            <w:bottom w:val="none" w:sz="0" w:space="0" w:color="auto"/>
            <w:right w:val="none" w:sz="0" w:space="0" w:color="auto"/>
          </w:divBdr>
          <w:divsChild>
            <w:div w:id="276641454">
              <w:marLeft w:val="0"/>
              <w:marRight w:val="0"/>
              <w:marTop w:val="0"/>
              <w:marBottom w:val="0"/>
              <w:divBdr>
                <w:top w:val="single" w:sz="6" w:space="2" w:color="D4DAE0"/>
                <w:left w:val="single" w:sz="6" w:space="2" w:color="D4DAE0"/>
                <w:bottom w:val="single" w:sz="6" w:space="2" w:color="D4DAE0"/>
                <w:right w:val="single" w:sz="6" w:space="2" w:color="D4DAE0"/>
              </w:divBdr>
            </w:div>
          </w:divsChild>
        </w:div>
      </w:divsChild>
    </w:div>
    <w:div w:id="745692958">
      <w:bodyDiv w:val="1"/>
      <w:marLeft w:val="0"/>
      <w:marRight w:val="0"/>
      <w:marTop w:val="0"/>
      <w:marBottom w:val="0"/>
      <w:divBdr>
        <w:top w:val="none" w:sz="0" w:space="0" w:color="auto"/>
        <w:left w:val="none" w:sz="0" w:space="0" w:color="auto"/>
        <w:bottom w:val="none" w:sz="0" w:space="0" w:color="auto"/>
        <w:right w:val="none" w:sz="0" w:space="0" w:color="auto"/>
      </w:divBdr>
      <w:divsChild>
        <w:div w:id="1600866468">
          <w:marLeft w:val="0"/>
          <w:marRight w:val="0"/>
          <w:marTop w:val="0"/>
          <w:marBottom w:val="0"/>
          <w:divBdr>
            <w:top w:val="none" w:sz="0" w:space="0" w:color="auto"/>
            <w:left w:val="none" w:sz="0" w:space="0" w:color="auto"/>
            <w:bottom w:val="none" w:sz="0" w:space="0" w:color="auto"/>
            <w:right w:val="none" w:sz="0" w:space="0" w:color="auto"/>
          </w:divBdr>
        </w:div>
        <w:div w:id="375392657">
          <w:marLeft w:val="0"/>
          <w:marRight w:val="0"/>
          <w:marTop w:val="0"/>
          <w:marBottom w:val="240"/>
          <w:divBdr>
            <w:top w:val="single" w:sz="6" w:space="8" w:color="AAAAAA"/>
            <w:left w:val="single" w:sz="6" w:space="8" w:color="AAAAAA"/>
            <w:bottom w:val="single" w:sz="6" w:space="8" w:color="AAAAAA"/>
            <w:right w:val="single" w:sz="6" w:space="15" w:color="AAAAAA"/>
          </w:divBdr>
          <w:divsChild>
            <w:div w:id="128727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21246">
      <w:bodyDiv w:val="1"/>
      <w:marLeft w:val="0"/>
      <w:marRight w:val="0"/>
      <w:marTop w:val="0"/>
      <w:marBottom w:val="0"/>
      <w:divBdr>
        <w:top w:val="none" w:sz="0" w:space="0" w:color="auto"/>
        <w:left w:val="none" w:sz="0" w:space="0" w:color="auto"/>
        <w:bottom w:val="none" w:sz="0" w:space="0" w:color="auto"/>
        <w:right w:val="none" w:sz="0" w:space="0" w:color="auto"/>
      </w:divBdr>
      <w:divsChild>
        <w:div w:id="479080180">
          <w:marLeft w:val="0"/>
          <w:marRight w:val="0"/>
          <w:marTop w:val="0"/>
          <w:marBottom w:val="0"/>
          <w:divBdr>
            <w:top w:val="none" w:sz="0" w:space="0" w:color="auto"/>
            <w:left w:val="none" w:sz="0" w:space="0" w:color="auto"/>
            <w:bottom w:val="none" w:sz="0" w:space="0" w:color="auto"/>
            <w:right w:val="none" w:sz="0" w:space="0" w:color="auto"/>
          </w:divBdr>
        </w:div>
        <w:div w:id="719520249">
          <w:marLeft w:val="0"/>
          <w:marRight w:val="0"/>
          <w:marTop w:val="300"/>
          <w:marBottom w:val="300"/>
          <w:divBdr>
            <w:top w:val="none" w:sz="0" w:space="0" w:color="auto"/>
            <w:left w:val="none" w:sz="0" w:space="0" w:color="auto"/>
            <w:bottom w:val="none" w:sz="0" w:space="0" w:color="auto"/>
            <w:right w:val="none" w:sz="0" w:space="0" w:color="auto"/>
          </w:divBdr>
          <w:divsChild>
            <w:div w:id="915825232">
              <w:marLeft w:val="0"/>
              <w:marRight w:val="0"/>
              <w:marTop w:val="0"/>
              <w:marBottom w:val="0"/>
              <w:divBdr>
                <w:top w:val="none" w:sz="0" w:space="0" w:color="auto"/>
                <w:left w:val="none" w:sz="0" w:space="0" w:color="auto"/>
                <w:bottom w:val="none" w:sz="0" w:space="0" w:color="auto"/>
                <w:right w:val="none" w:sz="0" w:space="0" w:color="auto"/>
              </w:divBdr>
              <w:divsChild>
                <w:div w:id="218713919">
                  <w:marLeft w:val="0"/>
                  <w:marRight w:val="0"/>
                  <w:marTop w:val="300"/>
                  <w:marBottom w:val="300"/>
                  <w:divBdr>
                    <w:top w:val="none" w:sz="0" w:space="0" w:color="auto"/>
                    <w:left w:val="none" w:sz="0" w:space="0" w:color="auto"/>
                    <w:bottom w:val="none" w:sz="0" w:space="0" w:color="auto"/>
                    <w:right w:val="none" w:sz="0" w:space="0" w:color="auto"/>
                  </w:divBdr>
                  <w:divsChild>
                    <w:div w:id="601303083">
                      <w:marLeft w:val="0"/>
                      <w:marRight w:val="0"/>
                      <w:marTop w:val="150"/>
                      <w:marBottom w:val="0"/>
                      <w:divBdr>
                        <w:top w:val="single" w:sz="12" w:space="0" w:color="EFEFEF"/>
                        <w:left w:val="single" w:sz="12" w:space="0" w:color="EFEFEF"/>
                        <w:bottom w:val="single" w:sz="12" w:space="0" w:color="EFEFEF"/>
                        <w:right w:val="single" w:sz="12" w:space="0" w:color="EFEFEF"/>
                      </w:divBdr>
                      <w:divsChild>
                        <w:div w:id="66811016">
                          <w:marLeft w:val="0"/>
                          <w:marRight w:val="0"/>
                          <w:marTop w:val="0"/>
                          <w:marBottom w:val="0"/>
                          <w:divBdr>
                            <w:top w:val="none" w:sz="0" w:space="0" w:color="auto"/>
                            <w:left w:val="none" w:sz="0" w:space="0" w:color="auto"/>
                            <w:bottom w:val="none" w:sz="0" w:space="0" w:color="auto"/>
                            <w:right w:val="none" w:sz="0" w:space="0" w:color="auto"/>
                          </w:divBdr>
                          <w:divsChild>
                            <w:div w:id="1596326506">
                              <w:marLeft w:val="0"/>
                              <w:marRight w:val="300"/>
                              <w:marTop w:val="0"/>
                              <w:marBottom w:val="150"/>
                              <w:divBdr>
                                <w:top w:val="none" w:sz="0" w:space="0" w:color="auto"/>
                                <w:left w:val="none" w:sz="0" w:space="0" w:color="auto"/>
                                <w:bottom w:val="none" w:sz="0" w:space="0" w:color="auto"/>
                                <w:right w:val="none" w:sz="0" w:space="0" w:color="auto"/>
                              </w:divBdr>
                            </w:div>
                            <w:div w:id="5049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482067">
          <w:marLeft w:val="0"/>
          <w:marRight w:val="0"/>
          <w:marTop w:val="0"/>
          <w:marBottom w:val="0"/>
          <w:divBdr>
            <w:top w:val="none" w:sz="0" w:space="0" w:color="auto"/>
            <w:left w:val="none" w:sz="0" w:space="0" w:color="auto"/>
            <w:bottom w:val="none" w:sz="0" w:space="0" w:color="auto"/>
            <w:right w:val="none" w:sz="0" w:space="0" w:color="auto"/>
          </w:divBdr>
        </w:div>
        <w:div w:id="989092252">
          <w:marLeft w:val="0"/>
          <w:marRight w:val="0"/>
          <w:marTop w:val="300"/>
          <w:marBottom w:val="300"/>
          <w:divBdr>
            <w:top w:val="none" w:sz="0" w:space="0" w:color="auto"/>
            <w:left w:val="none" w:sz="0" w:space="0" w:color="auto"/>
            <w:bottom w:val="none" w:sz="0" w:space="0" w:color="auto"/>
            <w:right w:val="none" w:sz="0" w:space="0" w:color="auto"/>
          </w:divBdr>
          <w:divsChild>
            <w:div w:id="296305760">
              <w:marLeft w:val="0"/>
              <w:marRight w:val="0"/>
              <w:marTop w:val="15"/>
              <w:marBottom w:val="0"/>
              <w:divBdr>
                <w:top w:val="none" w:sz="0" w:space="0" w:color="auto"/>
                <w:left w:val="none" w:sz="0" w:space="0" w:color="auto"/>
                <w:bottom w:val="none" w:sz="0" w:space="0" w:color="auto"/>
                <w:right w:val="none" w:sz="0" w:space="0" w:color="auto"/>
              </w:divBdr>
              <w:divsChild>
                <w:div w:id="1109620124">
                  <w:marLeft w:val="0"/>
                  <w:marRight w:val="0"/>
                  <w:marTop w:val="0"/>
                  <w:marBottom w:val="0"/>
                  <w:divBdr>
                    <w:top w:val="none" w:sz="0" w:space="0" w:color="auto"/>
                    <w:left w:val="none" w:sz="0" w:space="0" w:color="auto"/>
                    <w:bottom w:val="none" w:sz="0" w:space="0" w:color="auto"/>
                    <w:right w:val="none" w:sz="0" w:space="0" w:color="auto"/>
                  </w:divBdr>
                </w:div>
                <w:div w:id="364211081">
                  <w:marLeft w:val="0"/>
                  <w:marRight w:val="0"/>
                  <w:marTop w:val="300"/>
                  <w:marBottom w:val="300"/>
                  <w:divBdr>
                    <w:top w:val="none" w:sz="0" w:space="0" w:color="auto"/>
                    <w:left w:val="none" w:sz="0" w:space="0" w:color="auto"/>
                    <w:bottom w:val="none" w:sz="0" w:space="0" w:color="auto"/>
                    <w:right w:val="none" w:sz="0" w:space="0" w:color="auto"/>
                  </w:divBdr>
                  <w:divsChild>
                    <w:div w:id="1708991941">
                      <w:marLeft w:val="375"/>
                      <w:marRight w:val="375"/>
                      <w:marTop w:val="75"/>
                      <w:marBottom w:val="0"/>
                      <w:divBdr>
                        <w:top w:val="single" w:sz="12" w:space="0" w:color="EFEFEF"/>
                        <w:left w:val="single" w:sz="12" w:space="0" w:color="EFEFEF"/>
                        <w:bottom w:val="single" w:sz="12" w:space="0" w:color="EFEFEF"/>
                        <w:right w:val="single" w:sz="12" w:space="0" w:color="EFEFEF"/>
                      </w:divBdr>
                      <w:divsChild>
                        <w:div w:id="1186751361">
                          <w:marLeft w:val="0"/>
                          <w:marRight w:val="0"/>
                          <w:marTop w:val="0"/>
                          <w:marBottom w:val="0"/>
                          <w:divBdr>
                            <w:top w:val="none" w:sz="0" w:space="0" w:color="auto"/>
                            <w:left w:val="none" w:sz="0" w:space="0" w:color="auto"/>
                            <w:bottom w:val="none" w:sz="0" w:space="0" w:color="auto"/>
                            <w:right w:val="none" w:sz="0" w:space="0" w:color="auto"/>
                          </w:divBdr>
                          <w:divsChild>
                            <w:div w:id="210078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5509057">
          <w:marLeft w:val="0"/>
          <w:marRight w:val="0"/>
          <w:marTop w:val="0"/>
          <w:marBottom w:val="0"/>
          <w:divBdr>
            <w:top w:val="none" w:sz="0" w:space="0" w:color="auto"/>
            <w:left w:val="none" w:sz="0" w:space="0" w:color="auto"/>
            <w:bottom w:val="none" w:sz="0" w:space="0" w:color="auto"/>
            <w:right w:val="none" w:sz="0" w:space="0" w:color="auto"/>
          </w:divBdr>
        </w:div>
        <w:div w:id="502401763">
          <w:marLeft w:val="0"/>
          <w:marRight w:val="0"/>
          <w:marTop w:val="300"/>
          <w:marBottom w:val="300"/>
          <w:divBdr>
            <w:top w:val="none" w:sz="0" w:space="0" w:color="auto"/>
            <w:left w:val="none" w:sz="0" w:space="0" w:color="auto"/>
            <w:bottom w:val="none" w:sz="0" w:space="0" w:color="auto"/>
            <w:right w:val="none" w:sz="0" w:space="0" w:color="auto"/>
          </w:divBdr>
          <w:divsChild>
            <w:div w:id="1257249704">
              <w:marLeft w:val="0"/>
              <w:marRight w:val="0"/>
              <w:marTop w:val="150"/>
              <w:marBottom w:val="150"/>
              <w:divBdr>
                <w:top w:val="none" w:sz="0" w:space="0" w:color="auto"/>
                <w:left w:val="none" w:sz="0" w:space="0" w:color="auto"/>
                <w:bottom w:val="none" w:sz="0" w:space="0" w:color="auto"/>
                <w:right w:val="none" w:sz="0" w:space="0" w:color="auto"/>
              </w:divBdr>
              <w:divsChild>
                <w:div w:id="545996406">
                  <w:marLeft w:val="0"/>
                  <w:marRight w:val="0"/>
                  <w:marTop w:val="0"/>
                  <w:marBottom w:val="0"/>
                  <w:divBdr>
                    <w:top w:val="none" w:sz="0" w:space="0" w:color="auto"/>
                    <w:left w:val="none" w:sz="0" w:space="0" w:color="auto"/>
                    <w:bottom w:val="none" w:sz="0" w:space="0" w:color="auto"/>
                    <w:right w:val="none" w:sz="0" w:space="0" w:color="auto"/>
                  </w:divBdr>
                </w:div>
                <w:div w:id="1811940728">
                  <w:marLeft w:val="0"/>
                  <w:marRight w:val="0"/>
                  <w:marTop w:val="300"/>
                  <w:marBottom w:val="300"/>
                  <w:divBdr>
                    <w:top w:val="none" w:sz="0" w:space="0" w:color="auto"/>
                    <w:left w:val="none" w:sz="0" w:space="0" w:color="auto"/>
                    <w:bottom w:val="none" w:sz="0" w:space="0" w:color="auto"/>
                    <w:right w:val="none" w:sz="0" w:space="0" w:color="auto"/>
                  </w:divBdr>
                  <w:divsChild>
                    <w:div w:id="2006855613">
                      <w:marLeft w:val="375"/>
                      <w:marRight w:val="375"/>
                      <w:marTop w:val="75"/>
                      <w:marBottom w:val="0"/>
                      <w:divBdr>
                        <w:top w:val="single" w:sz="12" w:space="0" w:color="EFEFEF"/>
                        <w:left w:val="single" w:sz="12" w:space="0" w:color="EFEFEF"/>
                        <w:bottom w:val="single" w:sz="12" w:space="0" w:color="EFEFEF"/>
                        <w:right w:val="single" w:sz="12" w:space="0" w:color="EFEFEF"/>
                      </w:divBdr>
                      <w:divsChild>
                        <w:div w:id="563026839">
                          <w:marLeft w:val="0"/>
                          <w:marRight w:val="0"/>
                          <w:marTop w:val="0"/>
                          <w:marBottom w:val="0"/>
                          <w:divBdr>
                            <w:top w:val="none" w:sz="0" w:space="0" w:color="auto"/>
                            <w:left w:val="none" w:sz="0" w:space="0" w:color="auto"/>
                            <w:bottom w:val="none" w:sz="0" w:space="0" w:color="auto"/>
                            <w:right w:val="none" w:sz="0" w:space="0" w:color="auto"/>
                          </w:divBdr>
                          <w:divsChild>
                            <w:div w:id="142109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95869194">
          <w:marLeft w:val="0"/>
          <w:marRight w:val="0"/>
          <w:marTop w:val="0"/>
          <w:marBottom w:val="0"/>
          <w:divBdr>
            <w:top w:val="none" w:sz="0" w:space="0" w:color="auto"/>
            <w:left w:val="none" w:sz="0" w:space="0" w:color="auto"/>
            <w:bottom w:val="none" w:sz="0" w:space="0" w:color="auto"/>
            <w:right w:val="none" w:sz="0" w:space="0" w:color="auto"/>
          </w:divBdr>
        </w:div>
        <w:div w:id="896358788">
          <w:marLeft w:val="0"/>
          <w:marRight w:val="0"/>
          <w:marTop w:val="300"/>
          <w:marBottom w:val="300"/>
          <w:divBdr>
            <w:top w:val="none" w:sz="0" w:space="0" w:color="auto"/>
            <w:left w:val="none" w:sz="0" w:space="0" w:color="auto"/>
            <w:bottom w:val="none" w:sz="0" w:space="0" w:color="auto"/>
            <w:right w:val="none" w:sz="0" w:space="0" w:color="auto"/>
          </w:divBdr>
          <w:divsChild>
            <w:div w:id="1821774881">
              <w:marLeft w:val="0"/>
              <w:marRight w:val="0"/>
              <w:marTop w:val="0"/>
              <w:marBottom w:val="0"/>
              <w:divBdr>
                <w:top w:val="none" w:sz="0" w:space="0" w:color="auto"/>
                <w:left w:val="none" w:sz="0" w:space="0" w:color="auto"/>
                <w:bottom w:val="none" w:sz="0" w:space="0" w:color="auto"/>
                <w:right w:val="none" w:sz="0" w:space="0" w:color="auto"/>
              </w:divBdr>
              <w:divsChild>
                <w:div w:id="922108989">
                  <w:marLeft w:val="0"/>
                  <w:marRight w:val="0"/>
                  <w:marTop w:val="300"/>
                  <w:marBottom w:val="300"/>
                  <w:divBdr>
                    <w:top w:val="none" w:sz="0" w:space="0" w:color="auto"/>
                    <w:left w:val="none" w:sz="0" w:space="0" w:color="auto"/>
                    <w:bottom w:val="none" w:sz="0" w:space="0" w:color="auto"/>
                    <w:right w:val="none" w:sz="0" w:space="0" w:color="auto"/>
                  </w:divBdr>
                  <w:divsChild>
                    <w:div w:id="736129383">
                      <w:marLeft w:val="0"/>
                      <w:marRight w:val="0"/>
                      <w:marTop w:val="150"/>
                      <w:marBottom w:val="0"/>
                      <w:divBdr>
                        <w:top w:val="single" w:sz="12" w:space="0" w:color="EFEFEF"/>
                        <w:left w:val="single" w:sz="12" w:space="0" w:color="EFEFEF"/>
                        <w:bottom w:val="single" w:sz="12" w:space="0" w:color="EFEFEF"/>
                        <w:right w:val="single" w:sz="12" w:space="0" w:color="EFEFEF"/>
                      </w:divBdr>
                      <w:divsChild>
                        <w:div w:id="490873492">
                          <w:marLeft w:val="0"/>
                          <w:marRight w:val="0"/>
                          <w:marTop w:val="0"/>
                          <w:marBottom w:val="0"/>
                          <w:divBdr>
                            <w:top w:val="none" w:sz="0" w:space="0" w:color="auto"/>
                            <w:left w:val="none" w:sz="0" w:space="0" w:color="auto"/>
                            <w:bottom w:val="none" w:sz="0" w:space="0" w:color="auto"/>
                            <w:right w:val="none" w:sz="0" w:space="0" w:color="auto"/>
                          </w:divBdr>
                          <w:divsChild>
                            <w:div w:id="635574291">
                              <w:marLeft w:val="0"/>
                              <w:marRight w:val="300"/>
                              <w:marTop w:val="0"/>
                              <w:marBottom w:val="150"/>
                              <w:divBdr>
                                <w:top w:val="none" w:sz="0" w:space="0" w:color="auto"/>
                                <w:left w:val="none" w:sz="0" w:space="0" w:color="auto"/>
                                <w:bottom w:val="none" w:sz="0" w:space="0" w:color="auto"/>
                                <w:right w:val="none" w:sz="0" w:space="0" w:color="auto"/>
                              </w:divBdr>
                            </w:div>
                            <w:div w:id="41374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7479589">
          <w:marLeft w:val="0"/>
          <w:marRight w:val="0"/>
          <w:marTop w:val="0"/>
          <w:marBottom w:val="0"/>
          <w:divBdr>
            <w:top w:val="none" w:sz="0" w:space="0" w:color="auto"/>
            <w:left w:val="none" w:sz="0" w:space="0" w:color="auto"/>
            <w:bottom w:val="none" w:sz="0" w:space="0" w:color="auto"/>
            <w:right w:val="none" w:sz="0" w:space="0" w:color="auto"/>
          </w:divBdr>
        </w:div>
        <w:div w:id="1226066194">
          <w:marLeft w:val="0"/>
          <w:marRight w:val="0"/>
          <w:marTop w:val="300"/>
          <w:marBottom w:val="300"/>
          <w:divBdr>
            <w:top w:val="none" w:sz="0" w:space="0" w:color="auto"/>
            <w:left w:val="none" w:sz="0" w:space="0" w:color="auto"/>
            <w:bottom w:val="none" w:sz="0" w:space="0" w:color="auto"/>
            <w:right w:val="none" w:sz="0" w:space="0" w:color="auto"/>
          </w:divBdr>
          <w:divsChild>
            <w:div w:id="1580211070">
              <w:marLeft w:val="0"/>
              <w:marRight w:val="0"/>
              <w:marTop w:val="15"/>
              <w:marBottom w:val="0"/>
              <w:divBdr>
                <w:top w:val="none" w:sz="0" w:space="0" w:color="auto"/>
                <w:left w:val="none" w:sz="0" w:space="0" w:color="auto"/>
                <w:bottom w:val="none" w:sz="0" w:space="0" w:color="auto"/>
                <w:right w:val="none" w:sz="0" w:space="0" w:color="auto"/>
              </w:divBdr>
              <w:divsChild>
                <w:div w:id="942614424">
                  <w:marLeft w:val="0"/>
                  <w:marRight w:val="0"/>
                  <w:marTop w:val="0"/>
                  <w:marBottom w:val="0"/>
                  <w:divBdr>
                    <w:top w:val="none" w:sz="0" w:space="0" w:color="auto"/>
                    <w:left w:val="none" w:sz="0" w:space="0" w:color="auto"/>
                    <w:bottom w:val="none" w:sz="0" w:space="0" w:color="auto"/>
                    <w:right w:val="none" w:sz="0" w:space="0" w:color="auto"/>
                  </w:divBdr>
                </w:div>
                <w:div w:id="1106273339">
                  <w:marLeft w:val="0"/>
                  <w:marRight w:val="0"/>
                  <w:marTop w:val="300"/>
                  <w:marBottom w:val="300"/>
                  <w:divBdr>
                    <w:top w:val="none" w:sz="0" w:space="0" w:color="auto"/>
                    <w:left w:val="none" w:sz="0" w:space="0" w:color="auto"/>
                    <w:bottom w:val="none" w:sz="0" w:space="0" w:color="auto"/>
                    <w:right w:val="none" w:sz="0" w:space="0" w:color="auto"/>
                  </w:divBdr>
                  <w:divsChild>
                    <w:div w:id="1653631302">
                      <w:marLeft w:val="375"/>
                      <w:marRight w:val="375"/>
                      <w:marTop w:val="75"/>
                      <w:marBottom w:val="0"/>
                      <w:divBdr>
                        <w:top w:val="single" w:sz="12" w:space="0" w:color="EFEFEF"/>
                        <w:left w:val="single" w:sz="12" w:space="0" w:color="EFEFEF"/>
                        <w:bottom w:val="single" w:sz="12" w:space="0" w:color="EFEFEF"/>
                        <w:right w:val="single" w:sz="12" w:space="0" w:color="EFEFEF"/>
                      </w:divBdr>
                      <w:divsChild>
                        <w:div w:id="518784510">
                          <w:marLeft w:val="0"/>
                          <w:marRight w:val="0"/>
                          <w:marTop w:val="0"/>
                          <w:marBottom w:val="0"/>
                          <w:divBdr>
                            <w:top w:val="none" w:sz="0" w:space="0" w:color="auto"/>
                            <w:left w:val="none" w:sz="0" w:space="0" w:color="auto"/>
                            <w:bottom w:val="none" w:sz="0" w:space="0" w:color="auto"/>
                            <w:right w:val="none" w:sz="0" w:space="0" w:color="auto"/>
                          </w:divBdr>
                          <w:divsChild>
                            <w:div w:id="196110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6600958">
          <w:marLeft w:val="0"/>
          <w:marRight w:val="0"/>
          <w:marTop w:val="0"/>
          <w:marBottom w:val="0"/>
          <w:divBdr>
            <w:top w:val="none" w:sz="0" w:space="0" w:color="auto"/>
            <w:left w:val="none" w:sz="0" w:space="0" w:color="auto"/>
            <w:bottom w:val="none" w:sz="0" w:space="0" w:color="auto"/>
            <w:right w:val="none" w:sz="0" w:space="0" w:color="auto"/>
          </w:divBdr>
        </w:div>
        <w:div w:id="1487939004">
          <w:marLeft w:val="0"/>
          <w:marRight w:val="0"/>
          <w:marTop w:val="300"/>
          <w:marBottom w:val="300"/>
          <w:divBdr>
            <w:top w:val="none" w:sz="0" w:space="0" w:color="auto"/>
            <w:left w:val="none" w:sz="0" w:space="0" w:color="auto"/>
            <w:bottom w:val="none" w:sz="0" w:space="0" w:color="auto"/>
            <w:right w:val="none" w:sz="0" w:space="0" w:color="auto"/>
          </w:divBdr>
          <w:divsChild>
            <w:div w:id="1351757579">
              <w:marLeft w:val="0"/>
              <w:marRight w:val="0"/>
              <w:marTop w:val="0"/>
              <w:marBottom w:val="0"/>
              <w:divBdr>
                <w:top w:val="none" w:sz="0" w:space="0" w:color="auto"/>
                <w:left w:val="none" w:sz="0" w:space="0" w:color="auto"/>
                <w:bottom w:val="none" w:sz="0" w:space="0" w:color="auto"/>
                <w:right w:val="none" w:sz="0" w:space="0" w:color="auto"/>
              </w:divBdr>
              <w:divsChild>
                <w:div w:id="2051300414">
                  <w:marLeft w:val="0"/>
                  <w:marRight w:val="0"/>
                  <w:marTop w:val="300"/>
                  <w:marBottom w:val="300"/>
                  <w:divBdr>
                    <w:top w:val="none" w:sz="0" w:space="0" w:color="auto"/>
                    <w:left w:val="none" w:sz="0" w:space="0" w:color="auto"/>
                    <w:bottom w:val="none" w:sz="0" w:space="0" w:color="auto"/>
                    <w:right w:val="none" w:sz="0" w:space="0" w:color="auto"/>
                  </w:divBdr>
                  <w:divsChild>
                    <w:div w:id="47340647">
                      <w:marLeft w:val="0"/>
                      <w:marRight w:val="0"/>
                      <w:marTop w:val="150"/>
                      <w:marBottom w:val="0"/>
                      <w:divBdr>
                        <w:top w:val="single" w:sz="12" w:space="0" w:color="EFEFEF"/>
                        <w:left w:val="single" w:sz="12" w:space="0" w:color="EFEFEF"/>
                        <w:bottom w:val="single" w:sz="12" w:space="0" w:color="EFEFEF"/>
                        <w:right w:val="single" w:sz="12" w:space="0" w:color="EFEFEF"/>
                      </w:divBdr>
                      <w:divsChild>
                        <w:div w:id="778766720">
                          <w:marLeft w:val="0"/>
                          <w:marRight w:val="0"/>
                          <w:marTop w:val="0"/>
                          <w:marBottom w:val="0"/>
                          <w:divBdr>
                            <w:top w:val="none" w:sz="0" w:space="0" w:color="auto"/>
                            <w:left w:val="none" w:sz="0" w:space="0" w:color="auto"/>
                            <w:bottom w:val="none" w:sz="0" w:space="0" w:color="auto"/>
                            <w:right w:val="none" w:sz="0" w:space="0" w:color="auto"/>
                          </w:divBdr>
                          <w:divsChild>
                            <w:div w:id="166723688">
                              <w:marLeft w:val="0"/>
                              <w:marRight w:val="300"/>
                              <w:marTop w:val="0"/>
                              <w:marBottom w:val="150"/>
                              <w:divBdr>
                                <w:top w:val="none" w:sz="0" w:space="0" w:color="auto"/>
                                <w:left w:val="none" w:sz="0" w:space="0" w:color="auto"/>
                                <w:bottom w:val="none" w:sz="0" w:space="0" w:color="auto"/>
                                <w:right w:val="none" w:sz="0" w:space="0" w:color="auto"/>
                              </w:divBdr>
                            </w:div>
                            <w:div w:id="76056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7946089">
          <w:marLeft w:val="0"/>
          <w:marRight w:val="0"/>
          <w:marTop w:val="0"/>
          <w:marBottom w:val="0"/>
          <w:divBdr>
            <w:top w:val="none" w:sz="0" w:space="0" w:color="auto"/>
            <w:left w:val="none" w:sz="0" w:space="0" w:color="auto"/>
            <w:bottom w:val="none" w:sz="0" w:space="0" w:color="auto"/>
            <w:right w:val="none" w:sz="0" w:space="0" w:color="auto"/>
          </w:divBdr>
        </w:div>
        <w:div w:id="1256788082">
          <w:marLeft w:val="0"/>
          <w:marRight w:val="0"/>
          <w:marTop w:val="300"/>
          <w:marBottom w:val="300"/>
          <w:divBdr>
            <w:top w:val="none" w:sz="0" w:space="0" w:color="auto"/>
            <w:left w:val="none" w:sz="0" w:space="0" w:color="auto"/>
            <w:bottom w:val="none" w:sz="0" w:space="0" w:color="auto"/>
            <w:right w:val="none" w:sz="0" w:space="0" w:color="auto"/>
          </w:divBdr>
          <w:divsChild>
            <w:div w:id="473957955">
              <w:marLeft w:val="0"/>
              <w:marRight w:val="0"/>
              <w:marTop w:val="15"/>
              <w:marBottom w:val="0"/>
              <w:divBdr>
                <w:top w:val="none" w:sz="0" w:space="0" w:color="auto"/>
                <w:left w:val="none" w:sz="0" w:space="0" w:color="auto"/>
                <w:bottom w:val="none" w:sz="0" w:space="0" w:color="auto"/>
                <w:right w:val="none" w:sz="0" w:space="0" w:color="auto"/>
              </w:divBdr>
              <w:divsChild>
                <w:div w:id="285428339">
                  <w:marLeft w:val="0"/>
                  <w:marRight w:val="0"/>
                  <w:marTop w:val="0"/>
                  <w:marBottom w:val="0"/>
                  <w:divBdr>
                    <w:top w:val="none" w:sz="0" w:space="0" w:color="auto"/>
                    <w:left w:val="none" w:sz="0" w:space="0" w:color="auto"/>
                    <w:bottom w:val="none" w:sz="0" w:space="0" w:color="auto"/>
                    <w:right w:val="none" w:sz="0" w:space="0" w:color="auto"/>
                  </w:divBdr>
                </w:div>
                <w:div w:id="779838331">
                  <w:marLeft w:val="0"/>
                  <w:marRight w:val="0"/>
                  <w:marTop w:val="300"/>
                  <w:marBottom w:val="300"/>
                  <w:divBdr>
                    <w:top w:val="none" w:sz="0" w:space="0" w:color="auto"/>
                    <w:left w:val="none" w:sz="0" w:space="0" w:color="auto"/>
                    <w:bottom w:val="none" w:sz="0" w:space="0" w:color="auto"/>
                    <w:right w:val="none" w:sz="0" w:space="0" w:color="auto"/>
                  </w:divBdr>
                  <w:divsChild>
                    <w:div w:id="508760406">
                      <w:marLeft w:val="375"/>
                      <w:marRight w:val="375"/>
                      <w:marTop w:val="75"/>
                      <w:marBottom w:val="0"/>
                      <w:divBdr>
                        <w:top w:val="single" w:sz="12" w:space="0" w:color="EFEFEF"/>
                        <w:left w:val="single" w:sz="12" w:space="0" w:color="EFEFEF"/>
                        <w:bottom w:val="single" w:sz="12" w:space="0" w:color="EFEFEF"/>
                        <w:right w:val="single" w:sz="12" w:space="0" w:color="EFEFEF"/>
                      </w:divBdr>
                      <w:divsChild>
                        <w:div w:id="168719789">
                          <w:marLeft w:val="0"/>
                          <w:marRight w:val="0"/>
                          <w:marTop w:val="0"/>
                          <w:marBottom w:val="0"/>
                          <w:divBdr>
                            <w:top w:val="none" w:sz="0" w:space="0" w:color="auto"/>
                            <w:left w:val="none" w:sz="0" w:space="0" w:color="auto"/>
                            <w:bottom w:val="none" w:sz="0" w:space="0" w:color="auto"/>
                            <w:right w:val="none" w:sz="0" w:space="0" w:color="auto"/>
                          </w:divBdr>
                          <w:divsChild>
                            <w:div w:id="108122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9392105">
          <w:marLeft w:val="0"/>
          <w:marRight w:val="0"/>
          <w:marTop w:val="0"/>
          <w:marBottom w:val="0"/>
          <w:divBdr>
            <w:top w:val="none" w:sz="0" w:space="0" w:color="auto"/>
            <w:left w:val="none" w:sz="0" w:space="0" w:color="auto"/>
            <w:bottom w:val="none" w:sz="0" w:space="0" w:color="auto"/>
            <w:right w:val="none" w:sz="0" w:space="0" w:color="auto"/>
          </w:divBdr>
        </w:div>
        <w:div w:id="692730944">
          <w:marLeft w:val="0"/>
          <w:marRight w:val="0"/>
          <w:marTop w:val="300"/>
          <w:marBottom w:val="300"/>
          <w:divBdr>
            <w:top w:val="none" w:sz="0" w:space="0" w:color="auto"/>
            <w:left w:val="none" w:sz="0" w:space="0" w:color="auto"/>
            <w:bottom w:val="none" w:sz="0" w:space="0" w:color="auto"/>
            <w:right w:val="none" w:sz="0" w:space="0" w:color="auto"/>
          </w:divBdr>
          <w:divsChild>
            <w:div w:id="445318072">
              <w:marLeft w:val="0"/>
              <w:marRight w:val="0"/>
              <w:marTop w:val="0"/>
              <w:marBottom w:val="0"/>
              <w:divBdr>
                <w:top w:val="none" w:sz="0" w:space="0" w:color="auto"/>
                <w:left w:val="none" w:sz="0" w:space="0" w:color="auto"/>
                <w:bottom w:val="none" w:sz="0" w:space="0" w:color="auto"/>
                <w:right w:val="none" w:sz="0" w:space="0" w:color="auto"/>
              </w:divBdr>
              <w:divsChild>
                <w:div w:id="2102405100">
                  <w:marLeft w:val="0"/>
                  <w:marRight w:val="0"/>
                  <w:marTop w:val="300"/>
                  <w:marBottom w:val="300"/>
                  <w:divBdr>
                    <w:top w:val="none" w:sz="0" w:space="0" w:color="auto"/>
                    <w:left w:val="none" w:sz="0" w:space="0" w:color="auto"/>
                    <w:bottom w:val="none" w:sz="0" w:space="0" w:color="auto"/>
                    <w:right w:val="none" w:sz="0" w:space="0" w:color="auto"/>
                  </w:divBdr>
                  <w:divsChild>
                    <w:div w:id="1884901188">
                      <w:marLeft w:val="0"/>
                      <w:marRight w:val="0"/>
                      <w:marTop w:val="0"/>
                      <w:marBottom w:val="0"/>
                      <w:divBdr>
                        <w:top w:val="single" w:sz="12" w:space="0" w:color="EFEFEF"/>
                        <w:left w:val="single" w:sz="12" w:space="0" w:color="EFEFEF"/>
                        <w:bottom w:val="single" w:sz="12" w:space="0" w:color="EFEFEF"/>
                        <w:right w:val="single" w:sz="12" w:space="0" w:color="EFEFEF"/>
                      </w:divBdr>
                      <w:divsChild>
                        <w:div w:id="229778411">
                          <w:marLeft w:val="0"/>
                          <w:marRight w:val="0"/>
                          <w:marTop w:val="0"/>
                          <w:marBottom w:val="0"/>
                          <w:divBdr>
                            <w:top w:val="none" w:sz="0" w:space="0" w:color="auto"/>
                            <w:left w:val="none" w:sz="0" w:space="0" w:color="auto"/>
                            <w:bottom w:val="none" w:sz="0" w:space="0" w:color="auto"/>
                            <w:right w:val="none" w:sz="0" w:space="0" w:color="auto"/>
                          </w:divBdr>
                          <w:divsChild>
                            <w:div w:id="1721830011">
                              <w:marLeft w:val="0"/>
                              <w:marRight w:val="300"/>
                              <w:marTop w:val="0"/>
                              <w:marBottom w:val="0"/>
                              <w:divBdr>
                                <w:top w:val="none" w:sz="0" w:space="0" w:color="auto"/>
                                <w:left w:val="none" w:sz="0" w:space="0" w:color="auto"/>
                                <w:bottom w:val="none" w:sz="0" w:space="0" w:color="auto"/>
                                <w:right w:val="none" w:sz="0" w:space="0" w:color="auto"/>
                              </w:divBdr>
                            </w:div>
                            <w:div w:id="6253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5620971">
          <w:marLeft w:val="0"/>
          <w:marRight w:val="0"/>
          <w:marTop w:val="0"/>
          <w:marBottom w:val="0"/>
          <w:divBdr>
            <w:top w:val="none" w:sz="0" w:space="0" w:color="auto"/>
            <w:left w:val="none" w:sz="0" w:space="0" w:color="auto"/>
            <w:bottom w:val="none" w:sz="0" w:space="0" w:color="auto"/>
            <w:right w:val="none" w:sz="0" w:space="0" w:color="auto"/>
          </w:divBdr>
        </w:div>
        <w:div w:id="1445617152">
          <w:marLeft w:val="0"/>
          <w:marRight w:val="0"/>
          <w:marTop w:val="300"/>
          <w:marBottom w:val="300"/>
          <w:divBdr>
            <w:top w:val="none" w:sz="0" w:space="0" w:color="auto"/>
            <w:left w:val="none" w:sz="0" w:space="0" w:color="auto"/>
            <w:bottom w:val="none" w:sz="0" w:space="0" w:color="auto"/>
            <w:right w:val="none" w:sz="0" w:space="0" w:color="auto"/>
          </w:divBdr>
          <w:divsChild>
            <w:div w:id="722169249">
              <w:marLeft w:val="0"/>
              <w:marRight w:val="0"/>
              <w:marTop w:val="0"/>
              <w:marBottom w:val="0"/>
              <w:divBdr>
                <w:top w:val="none" w:sz="0" w:space="0" w:color="auto"/>
                <w:left w:val="none" w:sz="0" w:space="0" w:color="auto"/>
                <w:bottom w:val="none" w:sz="0" w:space="0" w:color="auto"/>
                <w:right w:val="none" w:sz="0" w:space="0" w:color="auto"/>
              </w:divBdr>
              <w:divsChild>
                <w:div w:id="943195367">
                  <w:marLeft w:val="0"/>
                  <w:marRight w:val="0"/>
                  <w:marTop w:val="300"/>
                  <w:marBottom w:val="300"/>
                  <w:divBdr>
                    <w:top w:val="none" w:sz="0" w:space="0" w:color="auto"/>
                    <w:left w:val="none" w:sz="0" w:space="0" w:color="auto"/>
                    <w:bottom w:val="none" w:sz="0" w:space="0" w:color="auto"/>
                    <w:right w:val="none" w:sz="0" w:space="0" w:color="auto"/>
                  </w:divBdr>
                  <w:divsChild>
                    <w:div w:id="590310105">
                      <w:marLeft w:val="0"/>
                      <w:marRight w:val="0"/>
                      <w:marTop w:val="150"/>
                      <w:marBottom w:val="0"/>
                      <w:divBdr>
                        <w:top w:val="single" w:sz="12" w:space="0" w:color="EFEFEF"/>
                        <w:left w:val="single" w:sz="12" w:space="0" w:color="EFEFEF"/>
                        <w:bottom w:val="single" w:sz="12" w:space="0" w:color="EFEFEF"/>
                        <w:right w:val="single" w:sz="12" w:space="0" w:color="EFEFEF"/>
                      </w:divBdr>
                      <w:divsChild>
                        <w:div w:id="346910775">
                          <w:marLeft w:val="0"/>
                          <w:marRight w:val="0"/>
                          <w:marTop w:val="0"/>
                          <w:marBottom w:val="0"/>
                          <w:divBdr>
                            <w:top w:val="none" w:sz="0" w:space="0" w:color="auto"/>
                            <w:left w:val="none" w:sz="0" w:space="0" w:color="auto"/>
                            <w:bottom w:val="none" w:sz="0" w:space="0" w:color="auto"/>
                            <w:right w:val="none" w:sz="0" w:space="0" w:color="auto"/>
                          </w:divBdr>
                          <w:divsChild>
                            <w:div w:id="1630084660">
                              <w:marLeft w:val="0"/>
                              <w:marRight w:val="300"/>
                              <w:marTop w:val="0"/>
                              <w:marBottom w:val="150"/>
                              <w:divBdr>
                                <w:top w:val="none" w:sz="0" w:space="0" w:color="auto"/>
                                <w:left w:val="none" w:sz="0" w:space="0" w:color="auto"/>
                                <w:bottom w:val="none" w:sz="0" w:space="0" w:color="auto"/>
                                <w:right w:val="none" w:sz="0" w:space="0" w:color="auto"/>
                              </w:divBdr>
                            </w:div>
                            <w:div w:id="123230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2991805">
          <w:marLeft w:val="0"/>
          <w:marRight w:val="0"/>
          <w:marTop w:val="0"/>
          <w:marBottom w:val="0"/>
          <w:divBdr>
            <w:top w:val="none" w:sz="0" w:space="0" w:color="auto"/>
            <w:left w:val="none" w:sz="0" w:space="0" w:color="auto"/>
            <w:bottom w:val="none" w:sz="0" w:space="0" w:color="auto"/>
            <w:right w:val="none" w:sz="0" w:space="0" w:color="auto"/>
          </w:divBdr>
        </w:div>
        <w:div w:id="1871450445">
          <w:marLeft w:val="0"/>
          <w:marRight w:val="0"/>
          <w:marTop w:val="300"/>
          <w:marBottom w:val="300"/>
          <w:divBdr>
            <w:top w:val="none" w:sz="0" w:space="0" w:color="auto"/>
            <w:left w:val="none" w:sz="0" w:space="0" w:color="auto"/>
            <w:bottom w:val="none" w:sz="0" w:space="0" w:color="auto"/>
            <w:right w:val="none" w:sz="0" w:space="0" w:color="auto"/>
          </w:divBdr>
          <w:divsChild>
            <w:div w:id="1715809092">
              <w:marLeft w:val="0"/>
              <w:marRight w:val="0"/>
              <w:marTop w:val="15"/>
              <w:marBottom w:val="0"/>
              <w:divBdr>
                <w:top w:val="none" w:sz="0" w:space="0" w:color="auto"/>
                <w:left w:val="none" w:sz="0" w:space="0" w:color="auto"/>
                <w:bottom w:val="none" w:sz="0" w:space="0" w:color="auto"/>
                <w:right w:val="none" w:sz="0" w:space="0" w:color="auto"/>
              </w:divBdr>
              <w:divsChild>
                <w:div w:id="920527992">
                  <w:marLeft w:val="0"/>
                  <w:marRight w:val="0"/>
                  <w:marTop w:val="0"/>
                  <w:marBottom w:val="0"/>
                  <w:divBdr>
                    <w:top w:val="none" w:sz="0" w:space="0" w:color="auto"/>
                    <w:left w:val="none" w:sz="0" w:space="0" w:color="auto"/>
                    <w:bottom w:val="none" w:sz="0" w:space="0" w:color="auto"/>
                    <w:right w:val="none" w:sz="0" w:space="0" w:color="auto"/>
                  </w:divBdr>
                </w:div>
                <w:div w:id="1532959071">
                  <w:marLeft w:val="0"/>
                  <w:marRight w:val="0"/>
                  <w:marTop w:val="300"/>
                  <w:marBottom w:val="300"/>
                  <w:divBdr>
                    <w:top w:val="none" w:sz="0" w:space="0" w:color="auto"/>
                    <w:left w:val="none" w:sz="0" w:space="0" w:color="auto"/>
                    <w:bottom w:val="none" w:sz="0" w:space="0" w:color="auto"/>
                    <w:right w:val="none" w:sz="0" w:space="0" w:color="auto"/>
                  </w:divBdr>
                  <w:divsChild>
                    <w:div w:id="1348600908">
                      <w:marLeft w:val="375"/>
                      <w:marRight w:val="375"/>
                      <w:marTop w:val="75"/>
                      <w:marBottom w:val="0"/>
                      <w:divBdr>
                        <w:top w:val="single" w:sz="12" w:space="0" w:color="EFEFEF"/>
                        <w:left w:val="single" w:sz="12" w:space="0" w:color="EFEFEF"/>
                        <w:bottom w:val="single" w:sz="12" w:space="0" w:color="EFEFEF"/>
                        <w:right w:val="single" w:sz="12" w:space="0" w:color="EFEFEF"/>
                      </w:divBdr>
                      <w:divsChild>
                        <w:div w:id="1007252510">
                          <w:marLeft w:val="0"/>
                          <w:marRight w:val="0"/>
                          <w:marTop w:val="0"/>
                          <w:marBottom w:val="0"/>
                          <w:divBdr>
                            <w:top w:val="none" w:sz="0" w:space="0" w:color="auto"/>
                            <w:left w:val="none" w:sz="0" w:space="0" w:color="auto"/>
                            <w:bottom w:val="none" w:sz="0" w:space="0" w:color="auto"/>
                            <w:right w:val="none" w:sz="0" w:space="0" w:color="auto"/>
                          </w:divBdr>
                          <w:divsChild>
                            <w:div w:id="31156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4372833">
          <w:marLeft w:val="0"/>
          <w:marRight w:val="0"/>
          <w:marTop w:val="0"/>
          <w:marBottom w:val="0"/>
          <w:divBdr>
            <w:top w:val="none" w:sz="0" w:space="0" w:color="auto"/>
            <w:left w:val="none" w:sz="0" w:space="0" w:color="auto"/>
            <w:bottom w:val="none" w:sz="0" w:space="0" w:color="auto"/>
            <w:right w:val="none" w:sz="0" w:space="0" w:color="auto"/>
          </w:divBdr>
        </w:div>
        <w:div w:id="93524222">
          <w:marLeft w:val="0"/>
          <w:marRight w:val="0"/>
          <w:marTop w:val="300"/>
          <w:marBottom w:val="300"/>
          <w:divBdr>
            <w:top w:val="none" w:sz="0" w:space="0" w:color="auto"/>
            <w:left w:val="none" w:sz="0" w:space="0" w:color="auto"/>
            <w:bottom w:val="none" w:sz="0" w:space="0" w:color="auto"/>
            <w:right w:val="none" w:sz="0" w:space="0" w:color="auto"/>
          </w:divBdr>
          <w:divsChild>
            <w:div w:id="1747335822">
              <w:marLeft w:val="0"/>
              <w:marRight w:val="0"/>
              <w:marTop w:val="15"/>
              <w:marBottom w:val="0"/>
              <w:divBdr>
                <w:top w:val="none" w:sz="0" w:space="0" w:color="auto"/>
                <w:left w:val="none" w:sz="0" w:space="0" w:color="auto"/>
                <w:bottom w:val="none" w:sz="0" w:space="0" w:color="auto"/>
                <w:right w:val="none" w:sz="0" w:space="0" w:color="auto"/>
              </w:divBdr>
              <w:divsChild>
                <w:div w:id="2080907686">
                  <w:marLeft w:val="0"/>
                  <w:marRight w:val="0"/>
                  <w:marTop w:val="0"/>
                  <w:marBottom w:val="0"/>
                  <w:divBdr>
                    <w:top w:val="none" w:sz="0" w:space="0" w:color="auto"/>
                    <w:left w:val="none" w:sz="0" w:space="0" w:color="auto"/>
                    <w:bottom w:val="none" w:sz="0" w:space="0" w:color="auto"/>
                    <w:right w:val="none" w:sz="0" w:space="0" w:color="auto"/>
                  </w:divBdr>
                </w:div>
                <w:div w:id="1692754917">
                  <w:marLeft w:val="0"/>
                  <w:marRight w:val="0"/>
                  <w:marTop w:val="300"/>
                  <w:marBottom w:val="300"/>
                  <w:divBdr>
                    <w:top w:val="none" w:sz="0" w:space="0" w:color="auto"/>
                    <w:left w:val="none" w:sz="0" w:space="0" w:color="auto"/>
                    <w:bottom w:val="none" w:sz="0" w:space="0" w:color="auto"/>
                    <w:right w:val="none" w:sz="0" w:space="0" w:color="auto"/>
                  </w:divBdr>
                  <w:divsChild>
                    <w:div w:id="1343315680">
                      <w:marLeft w:val="375"/>
                      <w:marRight w:val="375"/>
                      <w:marTop w:val="75"/>
                      <w:marBottom w:val="0"/>
                      <w:divBdr>
                        <w:top w:val="single" w:sz="12" w:space="0" w:color="EFEFEF"/>
                        <w:left w:val="single" w:sz="12" w:space="0" w:color="EFEFEF"/>
                        <w:bottom w:val="single" w:sz="12" w:space="0" w:color="EFEFEF"/>
                        <w:right w:val="single" w:sz="12" w:space="0" w:color="EFEFEF"/>
                      </w:divBdr>
                      <w:divsChild>
                        <w:div w:id="1808626047">
                          <w:marLeft w:val="0"/>
                          <w:marRight w:val="0"/>
                          <w:marTop w:val="0"/>
                          <w:marBottom w:val="0"/>
                          <w:divBdr>
                            <w:top w:val="none" w:sz="0" w:space="0" w:color="auto"/>
                            <w:left w:val="none" w:sz="0" w:space="0" w:color="auto"/>
                            <w:bottom w:val="none" w:sz="0" w:space="0" w:color="auto"/>
                            <w:right w:val="none" w:sz="0" w:space="0" w:color="auto"/>
                          </w:divBdr>
                          <w:divsChild>
                            <w:div w:id="207404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799192">
          <w:marLeft w:val="0"/>
          <w:marRight w:val="0"/>
          <w:marTop w:val="0"/>
          <w:marBottom w:val="0"/>
          <w:divBdr>
            <w:top w:val="none" w:sz="0" w:space="0" w:color="auto"/>
            <w:left w:val="none" w:sz="0" w:space="0" w:color="auto"/>
            <w:bottom w:val="none" w:sz="0" w:space="0" w:color="auto"/>
            <w:right w:val="none" w:sz="0" w:space="0" w:color="auto"/>
          </w:divBdr>
        </w:div>
        <w:div w:id="78797330">
          <w:marLeft w:val="0"/>
          <w:marRight w:val="0"/>
          <w:marTop w:val="300"/>
          <w:marBottom w:val="300"/>
          <w:divBdr>
            <w:top w:val="none" w:sz="0" w:space="0" w:color="auto"/>
            <w:left w:val="none" w:sz="0" w:space="0" w:color="auto"/>
            <w:bottom w:val="none" w:sz="0" w:space="0" w:color="auto"/>
            <w:right w:val="none" w:sz="0" w:space="0" w:color="auto"/>
          </w:divBdr>
          <w:divsChild>
            <w:div w:id="1081294502">
              <w:marLeft w:val="0"/>
              <w:marRight w:val="0"/>
              <w:marTop w:val="15"/>
              <w:marBottom w:val="0"/>
              <w:divBdr>
                <w:top w:val="none" w:sz="0" w:space="0" w:color="auto"/>
                <w:left w:val="none" w:sz="0" w:space="0" w:color="auto"/>
                <w:bottom w:val="none" w:sz="0" w:space="0" w:color="auto"/>
                <w:right w:val="none" w:sz="0" w:space="0" w:color="auto"/>
              </w:divBdr>
              <w:divsChild>
                <w:div w:id="319575509">
                  <w:marLeft w:val="0"/>
                  <w:marRight w:val="0"/>
                  <w:marTop w:val="0"/>
                  <w:marBottom w:val="0"/>
                  <w:divBdr>
                    <w:top w:val="none" w:sz="0" w:space="0" w:color="auto"/>
                    <w:left w:val="none" w:sz="0" w:space="0" w:color="auto"/>
                    <w:bottom w:val="none" w:sz="0" w:space="0" w:color="auto"/>
                    <w:right w:val="none" w:sz="0" w:space="0" w:color="auto"/>
                  </w:divBdr>
                </w:div>
                <w:div w:id="955406777">
                  <w:marLeft w:val="0"/>
                  <w:marRight w:val="0"/>
                  <w:marTop w:val="300"/>
                  <w:marBottom w:val="300"/>
                  <w:divBdr>
                    <w:top w:val="none" w:sz="0" w:space="0" w:color="auto"/>
                    <w:left w:val="none" w:sz="0" w:space="0" w:color="auto"/>
                    <w:bottom w:val="none" w:sz="0" w:space="0" w:color="auto"/>
                    <w:right w:val="none" w:sz="0" w:space="0" w:color="auto"/>
                  </w:divBdr>
                  <w:divsChild>
                    <w:div w:id="89394495">
                      <w:marLeft w:val="375"/>
                      <w:marRight w:val="375"/>
                      <w:marTop w:val="75"/>
                      <w:marBottom w:val="0"/>
                      <w:divBdr>
                        <w:top w:val="single" w:sz="12" w:space="0" w:color="EFEFEF"/>
                        <w:left w:val="single" w:sz="12" w:space="0" w:color="EFEFEF"/>
                        <w:bottom w:val="single" w:sz="12" w:space="0" w:color="EFEFEF"/>
                        <w:right w:val="single" w:sz="12" w:space="0" w:color="EFEFEF"/>
                      </w:divBdr>
                      <w:divsChild>
                        <w:div w:id="1724713831">
                          <w:marLeft w:val="0"/>
                          <w:marRight w:val="0"/>
                          <w:marTop w:val="0"/>
                          <w:marBottom w:val="0"/>
                          <w:divBdr>
                            <w:top w:val="none" w:sz="0" w:space="0" w:color="auto"/>
                            <w:left w:val="none" w:sz="0" w:space="0" w:color="auto"/>
                            <w:bottom w:val="none" w:sz="0" w:space="0" w:color="auto"/>
                            <w:right w:val="none" w:sz="0" w:space="0" w:color="auto"/>
                          </w:divBdr>
                          <w:divsChild>
                            <w:div w:id="1589001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3288514">
          <w:marLeft w:val="0"/>
          <w:marRight w:val="0"/>
          <w:marTop w:val="0"/>
          <w:marBottom w:val="0"/>
          <w:divBdr>
            <w:top w:val="none" w:sz="0" w:space="0" w:color="auto"/>
            <w:left w:val="none" w:sz="0" w:space="0" w:color="auto"/>
            <w:bottom w:val="none" w:sz="0" w:space="0" w:color="auto"/>
            <w:right w:val="none" w:sz="0" w:space="0" w:color="auto"/>
          </w:divBdr>
        </w:div>
        <w:div w:id="2008433810">
          <w:marLeft w:val="0"/>
          <w:marRight w:val="0"/>
          <w:marTop w:val="300"/>
          <w:marBottom w:val="300"/>
          <w:divBdr>
            <w:top w:val="none" w:sz="0" w:space="0" w:color="auto"/>
            <w:left w:val="none" w:sz="0" w:space="0" w:color="auto"/>
            <w:bottom w:val="none" w:sz="0" w:space="0" w:color="auto"/>
            <w:right w:val="none" w:sz="0" w:space="0" w:color="auto"/>
          </w:divBdr>
          <w:divsChild>
            <w:div w:id="1582711082">
              <w:marLeft w:val="0"/>
              <w:marRight w:val="0"/>
              <w:marTop w:val="0"/>
              <w:marBottom w:val="0"/>
              <w:divBdr>
                <w:top w:val="none" w:sz="0" w:space="0" w:color="auto"/>
                <w:left w:val="none" w:sz="0" w:space="0" w:color="auto"/>
                <w:bottom w:val="none" w:sz="0" w:space="0" w:color="auto"/>
                <w:right w:val="none" w:sz="0" w:space="0" w:color="auto"/>
              </w:divBdr>
              <w:divsChild>
                <w:div w:id="1390228813">
                  <w:marLeft w:val="0"/>
                  <w:marRight w:val="0"/>
                  <w:marTop w:val="300"/>
                  <w:marBottom w:val="300"/>
                  <w:divBdr>
                    <w:top w:val="none" w:sz="0" w:space="0" w:color="auto"/>
                    <w:left w:val="none" w:sz="0" w:space="0" w:color="auto"/>
                    <w:bottom w:val="none" w:sz="0" w:space="0" w:color="auto"/>
                    <w:right w:val="none" w:sz="0" w:space="0" w:color="auto"/>
                  </w:divBdr>
                  <w:divsChild>
                    <w:div w:id="1756974438">
                      <w:marLeft w:val="0"/>
                      <w:marRight w:val="0"/>
                      <w:marTop w:val="0"/>
                      <w:marBottom w:val="0"/>
                      <w:divBdr>
                        <w:top w:val="single" w:sz="12" w:space="0" w:color="EFEFEF"/>
                        <w:left w:val="single" w:sz="12" w:space="0" w:color="EFEFEF"/>
                        <w:bottom w:val="single" w:sz="12" w:space="0" w:color="EFEFEF"/>
                        <w:right w:val="single" w:sz="12" w:space="0" w:color="EFEFEF"/>
                      </w:divBdr>
                      <w:divsChild>
                        <w:div w:id="782378583">
                          <w:marLeft w:val="0"/>
                          <w:marRight w:val="0"/>
                          <w:marTop w:val="0"/>
                          <w:marBottom w:val="0"/>
                          <w:divBdr>
                            <w:top w:val="none" w:sz="0" w:space="0" w:color="auto"/>
                            <w:left w:val="none" w:sz="0" w:space="0" w:color="auto"/>
                            <w:bottom w:val="none" w:sz="0" w:space="0" w:color="auto"/>
                            <w:right w:val="none" w:sz="0" w:space="0" w:color="auto"/>
                          </w:divBdr>
                          <w:divsChild>
                            <w:div w:id="262692908">
                              <w:marLeft w:val="0"/>
                              <w:marRight w:val="300"/>
                              <w:marTop w:val="0"/>
                              <w:marBottom w:val="0"/>
                              <w:divBdr>
                                <w:top w:val="none" w:sz="0" w:space="0" w:color="auto"/>
                                <w:left w:val="none" w:sz="0" w:space="0" w:color="auto"/>
                                <w:bottom w:val="none" w:sz="0" w:space="0" w:color="auto"/>
                                <w:right w:val="none" w:sz="0" w:space="0" w:color="auto"/>
                              </w:divBdr>
                            </w:div>
                            <w:div w:id="564489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1720115">
          <w:marLeft w:val="0"/>
          <w:marRight w:val="0"/>
          <w:marTop w:val="0"/>
          <w:marBottom w:val="0"/>
          <w:divBdr>
            <w:top w:val="none" w:sz="0" w:space="0" w:color="auto"/>
            <w:left w:val="none" w:sz="0" w:space="0" w:color="auto"/>
            <w:bottom w:val="none" w:sz="0" w:space="0" w:color="auto"/>
            <w:right w:val="none" w:sz="0" w:space="0" w:color="auto"/>
          </w:divBdr>
        </w:div>
        <w:div w:id="1146360133">
          <w:marLeft w:val="0"/>
          <w:marRight w:val="0"/>
          <w:marTop w:val="300"/>
          <w:marBottom w:val="300"/>
          <w:divBdr>
            <w:top w:val="none" w:sz="0" w:space="0" w:color="auto"/>
            <w:left w:val="none" w:sz="0" w:space="0" w:color="auto"/>
            <w:bottom w:val="none" w:sz="0" w:space="0" w:color="auto"/>
            <w:right w:val="none" w:sz="0" w:space="0" w:color="auto"/>
          </w:divBdr>
          <w:divsChild>
            <w:div w:id="754283300">
              <w:marLeft w:val="0"/>
              <w:marRight w:val="0"/>
              <w:marTop w:val="15"/>
              <w:marBottom w:val="0"/>
              <w:divBdr>
                <w:top w:val="none" w:sz="0" w:space="0" w:color="auto"/>
                <w:left w:val="none" w:sz="0" w:space="0" w:color="auto"/>
                <w:bottom w:val="none" w:sz="0" w:space="0" w:color="auto"/>
                <w:right w:val="none" w:sz="0" w:space="0" w:color="auto"/>
              </w:divBdr>
              <w:divsChild>
                <w:div w:id="1007825857">
                  <w:marLeft w:val="0"/>
                  <w:marRight w:val="0"/>
                  <w:marTop w:val="0"/>
                  <w:marBottom w:val="0"/>
                  <w:divBdr>
                    <w:top w:val="none" w:sz="0" w:space="0" w:color="auto"/>
                    <w:left w:val="none" w:sz="0" w:space="0" w:color="auto"/>
                    <w:bottom w:val="none" w:sz="0" w:space="0" w:color="auto"/>
                    <w:right w:val="none" w:sz="0" w:space="0" w:color="auto"/>
                  </w:divBdr>
                </w:div>
                <w:div w:id="1593470001">
                  <w:marLeft w:val="0"/>
                  <w:marRight w:val="0"/>
                  <w:marTop w:val="300"/>
                  <w:marBottom w:val="300"/>
                  <w:divBdr>
                    <w:top w:val="none" w:sz="0" w:space="0" w:color="auto"/>
                    <w:left w:val="none" w:sz="0" w:space="0" w:color="auto"/>
                    <w:bottom w:val="none" w:sz="0" w:space="0" w:color="auto"/>
                    <w:right w:val="none" w:sz="0" w:space="0" w:color="auto"/>
                  </w:divBdr>
                  <w:divsChild>
                    <w:div w:id="798259991">
                      <w:marLeft w:val="375"/>
                      <w:marRight w:val="375"/>
                      <w:marTop w:val="75"/>
                      <w:marBottom w:val="0"/>
                      <w:divBdr>
                        <w:top w:val="single" w:sz="12" w:space="0" w:color="EFEFEF"/>
                        <w:left w:val="single" w:sz="12" w:space="0" w:color="EFEFEF"/>
                        <w:bottom w:val="single" w:sz="12" w:space="0" w:color="EFEFEF"/>
                        <w:right w:val="single" w:sz="12" w:space="0" w:color="EFEFEF"/>
                      </w:divBdr>
                      <w:divsChild>
                        <w:div w:id="1353723611">
                          <w:marLeft w:val="0"/>
                          <w:marRight w:val="0"/>
                          <w:marTop w:val="0"/>
                          <w:marBottom w:val="0"/>
                          <w:divBdr>
                            <w:top w:val="none" w:sz="0" w:space="0" w:color="auto"/>
                            <w:left w:val="none" w:sz="0" w:space="0" w:color="auto"/>
                            <w:bottom w:val="none" w:sz="0" w:space="0" w:color="auto"/>
                            <w:right w:val="none" w:sz="0" w:space="0" w:color="auto"/>
                          </w:divBdr>
                          <w:divsChild>
                            <w:div w:id="42496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0299130">
          <w:marLeft w:val="0"/>
          <w:marRight w:val="0"/>
          <w:marTop w:val="0"/>
          <w:marBottom w:val="0"/>
          <w:divBdr>
            <w:top w:val="none" w:sz="0" w:space="0" w:color="auto"/>
            <w:left w:val="none" w:sz="0" w:space="0" w:color="auto"/>
            <w:bottom w:val="none" w:sz="0" w:space="0" w:color="auto"/>
            <w:right w:val="none" w:sz="0" w:space="0" w:color="auto"/>
          </w:divBdr>
        </w:div>
        <w:div w:id="218519715">
          <w:marLeft w:val="0"/>
          <w:marRight w:val="0"/>
          <w:marTop w:val="300"/>
          <w:marBottom w:val="300"/>
          <w:divBdr>
            <w:top w:val="none" w:sz="0" w:space="0" w:color="auto"/>
            <w:left w:val="none" w:sz="0" w:space="0" w:color="auto"/>
            <w:bottom w:val="none" w:sz="0" w:space="0" w:color="auto"/>
            <w:right w:val="none" w:sz="0" w:space="0" w:color="auto"/>
          </w:divBdr>
          <w:divsChild>
            <w:div w:id="281573558">
              <w:marLeft w:val="0"/>
              <w:marRight w:val="0"/>
              <w:marTop w:val="0"/>
              <w:marBottom w:val="0"/>
              <w:divBdr>
                <w:top w:val="none" w:sz="0" w:space="0" w:color="auto"/>
                <w:left w:val="none" w:sz="0" w:space="0" w:color="auto"/>
                <w:bottom w:val="none" w:sz="0" w:space="0" w:color="auto"/>
                <w:right w:val="none" w:sz="0" w:space="0" w:color="auto"/>
              </w:divBdr>
              <w:divsChild>
                <w:div w:id="512573375">
                  <w:marLeft w:val="0"/>
                  <w:marRight w:val="0"/>
                  <w:marTop w:val="300"/>
                  <w:marBottom w:val="300"/>
                  <w:divBdr>
                    <w:top w:val="none" w:sz="0" w:space="0" w:color="auto"/>
                    <w:left w:val="none" w:sz="0" w:space="0" w:color="auto"/>
                    <w:bottom w:val="none" w:sz="0" w:space="0" w:color="auto"/>
                    <w:right w:val="none" w:sz="0" w:space="0" w:color="auto"/>
                  </w:divBdr>
                  <w:divsChild>
                    <w:div w:id="1315723531">
                      <w:marLeft w:val="0"/>
                      <w:marRight w:val="0"/>
                      <w:marTop w:val="0"/>
                      <w:marBottom w:val="0"/>
                      <w:divBdr>
                        <w:top w:val="single" w:sz="12" w:space="0" w:color="EFEFEF"/>
                        <w:left w:val="single" w:sz="12" w:space="0" w:color="EFEFEF"/>
                        <w:bottom w:val="single" w:sz="12" w:space="0" w:color="EFEFEF"/>
                        <w:right w:val="single" w:sz="12" w:space="0" w:color="EFEFEF"/>
                      </w:divBdr>
                      <w:divsChild>
                        <w:div w:id="168297644">
                          <w:marLeft w:val="0"/>
                          <w:marRight w:val="0"/>
                          <w:marTop w:val="0"/>
                          <w:marBottom w:val="0"/>
                          <w:divBdr>
                            <w:top w:val="none" w:sz="0" w:space="0" w:color="auto"/>
                            <w:left w:val="none" w:sz="0" w:space="0" w:color="auto"/>
                            <w:bottom w:val="none" w:sz="0" w:space="0" w:color="auto"/>
                            <w:right w:val="none" w:sz="0" w:space="0" w:color="auto"/>
                          </w:divBdr>
                          <w:divsChild>
                            <w:div w:id="599262998">
                              <w:marLeft w:val="0"/>
                              <w:marRight w:val="300"/>
                              <w:marTop w:val="0"/>
                              <w:marBottom w:val="0"/>
                              <w:divBdr>
                                <w:top w:val="none" w:sz="0" w:space="0" w:color="auto"/>
                                <w:left w:val="none" w:sz="0" w:space="0" w:color="auto"/>
                                <w:bottom w:val="none" w:sz="0" w:space="0" w:color="auto"/>
                                <w:right w:val="none" w:sz="0" w:space="0" w:color="auto"/>
                              </w:divBdr>
                            </w:div>
                            <w:div w:id="175574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664064">
          <w:marLeft w:val="0"/>
          <w:marRight w:val="0"/>
          <w:marTop w:val="0"/>
          <w:marBottom w:val="0"/>
          <w:divBdr>
            <w:top w:val="none" w:sz="0" w:space="0" w:color="auto"/>
            <w:left w:val="none" w:sz="0" w:space="0" w:color="auto"/>
            <w:bottom w:val="none" w:sz="0" w:space="0" w:color="auto"/>
            <w:right w:val="none" w:sz="0" w:space="0" w:color="auto"/>
          </w:divBdr>
        </w:div>
        <w:div w:id="579214186">
          <w:marLeft w:val="0"/>
          <w:marRight w:val="0"/>
          <w:marTop w:val="300"/>
          <w:marBottom w:val="300"/>
          <w:divBdr>
            <w:top w:val="none" w:sz="0" w:space="0" w:color="auto"/>
            <w:left w:val="none" w:sz="0" w:space="0" w:color="auto"/>
            <w:bottom w:val="none" w:sz="0" w:space="0" w:color="auto"/>
            <w:right w:val="none" w:sz="0" w:space="0" w:color="auto"/>
          </w:divBdr>
          <w:divsChild>
            <w:div w:id="946229925">
              <w:marLeft w:val="0"/>
              <w:marRight w:val="0"/>
              <w:marTop w:val="15"/>
              <w:marBottom w:val="0"/>
              <w:divBdr>
                <w:top w:val="none" w:sz="0" w:space="0" w:color="auto"/>
                <w:left w:val="none" w:sz="0" w:space="0" w:color="auto"/>
                <w:bottom w:val="none" w:sz="0" w:space="0" w:color="auto"/>
                <w:right w:val="none" w:sz="0" w:space="0" w:color="auto"/>
              </w:divBdr>
              <w:divsChild>
                <w:div w:id="1800151207">
                  <w:marLeft w:val="0"/>
                  <w:marRight w:val="0"/>
                  <w:marTop w:val="0"/>
                  <w:marBottom w:val="0"/>
                  <w:divBdr>
                    <w:top w:val="none" w:sz="0" w:space="0" w:color="auto"/>
                    <w:left w:val="none" w:sz="0" w:space="0" w:color="auto"/>
                    <w:bottom w:val="none" w:sz="0" w:space="0" w:color="auto"/>
                    <w:right w:val="none" w:sz="0" w:space="0" w:color="auto"/>
                  </w:divBdr>
                </w:div>
                <w:div w:id="95105462">
                  <w:marLeft w:val="0"/>
                  <w:marRight w:val="0"/>
                  <w:marTop w:val="300"/>
                  <w:marBottom w:val="300"/>
                  <w:divBdr>
                    <w:top w:val="none" w:sz="0" w:space="0" w:color="auto"/>
                    <w:left w:val="none" w:sz="0" w:space="0" w:color="auto"/>
                    <w:bottom w:val="none" w:sz="0" w:space="0" w:color="auto"/>
                    <w:right w:val="none" w:sz="0" w:space="0" w:color="auto"/>
                  </w:divBdr>
                  <w:divsChild>
                    <w:div w:id="434403423">
                      <w:marLeft w:val="375"/>
                      <w:marRight w:val="375"/>
                      <w:marTop w:val="75"/>
                      <w:marBottom w:val="0"/>
                      <w:divBdr>
                        <w:top w:val="single" w:sz="12" w:space="0" w:color="EFEFEF"/>
                        <w:left w:val="single" w:sz="12" w:space="0" w:color="EFEFEF"/>
                        <w:bottom w:val="single" w:sz="12" w:space="0" w:color="EFEFEF"/>
                        <w:right w:val="single" w:sz="12" w:space="0" w:color="EFEFEF"/>
                      </w:divBdr>
                      <w:divsChild>
                        <w:div w:id="1035157833">
                          <w:marLeft w:val="0"/>
                          <w:marRight w:val="0"/>
                          <w:marTop w:val="0"/>
                          <w:marBottom w:val="0"/>
                          <w:divBdr>
                            <w:top w:val="none" w:sz="0" w:space="0" w:color="auto"/>
                            <w:left w:val="none" w:sz="0" w:space="0" w:color="auto"/>
                            <w:bottom w:val="none" w:sz="0" w:space="0" w:color="auto"/>
                            <w:right w:val="none" w:sz="0" w:space="0" w:color="auto"/>
                          </w:divBdr>
                          <w:divsChild>
                            <w:div w:id="110908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6083916">
          <w:marLeft w:val="0"/>
          <w:marRight w:val="0"/>
          <w:marTop w:val="0"/>
          <w:marBottom w:val="0"/>
          <w:divBdr>
            <w:top w:val="none" w:sz="0" w:space="0" w:color="auto"/>
            <w:left w:val="none" w:sz="0" w:space="0" w:color="auto"/>
            <w:bottom w:val="none" w:sz="0" w:space="0" w:color="auto"/>
            <w:right w:val="none" w:sz="0" w:space="0" w:color="auto"/>
          </w:divBdr>
        </w:div>
        <w:div w:id="1784226920">
          <w:marLeft w:val="0"/>
          <w:marRight w:val="0"/>
          <w:marTop w:val="300"/>
          <w:marBottom w:val="300"/>
          <w:divBdr>
            <w:top w:val="none" w:sz="0" w:space="0" w:color="auto"/>
            <w:left w:val="none" w:sz="0" w:space="0" w:color="auto"/>
            <w:bottom w:val="none" w:sz="0" w:space="0" w:color="auto"/>
            <w:right w:val="none" w:sz="0" w:space="0" w:color="auto"/>
          </w:divBdr>
          <w:divsChild>
            <w:div w:id="1295718247">
              <w:marLeft w:val="0"/>
              <w:marRight w:val="0"/>
              <w:marTop w:val="0"/>
              <w:marBottom w:val="0"/>
              <w:divBdr>
                <w:top w:val="none" w:sz="0" w:space="0" w:color="auto"/>
                <w:left w:val="none" w:sz="0" w:space="0" w:color="auto"/>
                <w:bottom w:val="none" w:sz="0" w:space="0" w:color="auto"/>
                <w:right w:val="none" w:sz="0" w:space="0" w:color="auto"/>
              </w:divBdr>
              <w:divsChild>
                <w:div w:id="906067905">
                  <w:marLeft w:val="0"/>
                  <w:marRight w:val="0"/>
                  <w:marTop w:val="300"/>
                  <w:marBottom w:val="300"/>
                  <w:divBdr>
                    <w:top w:val="none" w:sz="0" w:space="0" w:color="auto"/>
                    <w:left w:val="none" w:sz="0" w:space="0" w:color="auto"/>
                    <w:bottom w:val="none" w:sz="0" w:space="0" w:color="auto"/>
                    <w:right w:val="none" w:sz="0" w:space="0" w:color="auto"/>
                  </w:divBdr>
                  <w:divsChild>
                    <w:div w:id="94132555">
                      <w:marLeft w:val="0"/>
                      <w:marRight w:val="0"/>
                      <w:marTop w:val="150"/>
                      <w:marBottom w:val="0"/>
                      <w:divBdr>
                        <w:top w:val="single" w:sz="12" w:space="0" w:color="EFEFEF"/>
                        <w:left w:val="single" w:sz="12" w:space="0" w:color="EFEFEF"/>
                        <w:bottom w:val="single" w:sz="12" w:space="0" w:color="EFEFEF"/>
                        <w:right w:val="single" w:sz="12" w:space="0" w:color="EFEFEF"/>
                      </w:divBdr>
                      <w:divsChild>
                        <w:div w:id="983584660">
                          <w:marLeft w:val="0"/>
                          <w:marRight w:val="0"/>
                          <w:marTop w:val="0"/>
                          <w:marBottom w:val="0"/>
                          <w:divBdr>
                            <w:top w:val="none" w:sz="0" w:space="0" w:color="auto"/>
                            <w:left w:val="none" w:sz="0" w:space="0" w:color="auto"/>
                            <w:bottom w:val="none" w:sz="0" w:space="0" w:color="auto"/>
                            <w:right w:val="none" w:sz="0" w:space="0" w:color="auto"/>
                          </w:divBdr>
                          <w:divsChild>
                            <w:div w:id="1062216703">
                              <w:marLeft w:val="0"/>
                              <w:marRight w:val="300"/>
                              <w:marTop w:val="0"/>
                              <w:marBottom w:val="150"/>
                              <w:divBdr>
                                <w:top w:val="none" w:sz="0" w:space="0" w:color="auto"/>
                                <w:left w:val="none" w:sz="0" w:space="0" w:color="auto"/>
                                <w:bottom w:val="none" w:sz="0" w:space="0" w:color="auto"/>
                                <w:right w:val="none" w:sz="0" w:space="0" w:color="auto"/>
                              </w:divBdr>
                            </w:div>
                            <w:div w:id="214048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2091335">
          <w:marLeft w:val="0"/>
          <w:marRight w:val="0"/>
          <w:marTop w:val="0"/>
          <w:marBottom w:val="0"/>
          <w:divBdr>
            <w:top w:val="none" w:sz="0" w:space="0" w:color="auto"/>
            <w:left w:val="none" w:sz="0" w:space="0" w:color="auto"/>
            <w:bottom w:val="none" w:sz="0" w:space="0" w:color="auto"/>
            <w:right w:val="none" w:sz="0" w:space="0" w:color="auto"/>
          </w:divBdr>
        </w:div>
        <w:div w:id="1042100031">
          <w:marLeft w:val="0"/>
          <w:marRight w:val="0"/>
          <w:marTop w:val="300"/>
          <w:marBottom w:val="300"/>
          <w:divBdr>
            <w:top w:val="none" w:sz="0" w:space="0" w:color="auto"/>
            <w:left w:val="none" w:sz="0" w:space="0" w:color="auto"/>
            <w:bottom w:val="none" w:sz="0" w:space="0" w:color="auto"/>
            <w:right w:val="none" w:sz="0" w:space="0" w:color="auto"/>
          </w:divBdr>
          <w:divsChild>
            <w:div w:id="1188786315">
              <w:marLeft w:val="0"/>
              <w:marRight w:val="0"/>
              <w:marTop w:val="0"/>
              <w:marBottom w:val="0"/>
              <w:divBdr>
                <w:top w:val="none" w:sz="0" w:space="0" w:color="auto"/>
                <w:left w:val="none" w:sz="0" w:space="0" w:color="auto"/>
                <w:bottom w:val="none" w:sz="0" w:space="0" w:color="auto"/>
                <w:right w:val="none" w:sz="0" w:space="0" w:color="auto"/>
              </w:divBdr>
              <w:divsChild>
                <w:div w:id="1847939807">
                  <w:marLeft w:val="0"/>
                  <w:marRight w:val="0"/>
                  <w:marTop w:val="300"/>
                  <w:marBottom w:val="300"/>
                  <w:divBdr>
                    <w:top w:val="none" w:sz="0" w:space="0" w:color="auto"/>
                    <w:left w:val="none" w:sz="0" w:space="0" w:color="auto"/>
                    <w:bottom w:val="none" w:sz="0" w:space="0" w:color="auto"/>
                    <w:right w:val="none" w:sz="0" w:space="0" w:color="auto"/>
                  </w:divBdr>
                  <w:divsChild>
                    <w:div w:id="1865436729">
                      <w:marLeft w:val="0"/>
                      <w:marRight w:val="0"/>
                      <w:marTop w:val="150"/>
                      <w:marBottom w:val="0"/>
                      <w:divBdr>
                        <w:top w:val="single" w:sz="12" w:space="0" w:color="EFEFEF"/>
                        <w:left w:val="single" w:sz="12" w:space="0" w:color="EFEFEF"/>
                        <w:bottom w:val="single" w:sz="12" w:space="0" w:color="EFEFEF"/>
                        <w:right w:val="single" w:sz="12" w:space="0" w:color="EFEFEF"/>
                      </w:divBdr>
                      <w:divsChild>
                        <w:div w:id="177503374">
                          <w:marLeft w:val="0"/>
                          <w:marRight w:val="0"/>
                          <w:marTop w:val="0"/>
                          <w:marBottom w:val="0"/>
                          <w:divBdr>
                            <w:top w:val="none" w:sz="0" w:space="0" w:color="auto"/>
                            <w:left w:val="none" w:sz="0" w:space="0" w:color="auto"/>
                            <w:bottom w:val="none" w:sz="0" w:space="0" w:color="auto"/>
                            <w:right w:val="none" w:sz="0" w:space="0" w:color="auto"/>
                          </w:divBdr>
                          <w:divsChild>
                            <w:div w:id="1853033023">
                              <w:marLeft w:val="0"/>
                              <w:marRight w:val="300"/>
                              <w:marTop w:val="0"/>
                              <w:marBottom w:val="150"/>
                              <w:divBdr>
                                <w:top w:val="none" w:sz="0" w:space="0" w:color="auto"/>
                                <w:left w:val="none" w:sz="0" w:space="0" w:color="auto"/>
                                <w:bottom w:val="none" w:sz="0" w:space="0" w:color="auto"/>
                                <w:right w:val="none" w:sz="0" w:space="0" w:color="auto"/>
                              </w:divBdr>
                            </w:div>
                            <w:div w:id="36668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1942747">
          <w:marLeft w:val="0"/>
          <w:marRight w:val="0"/>
          <w:marTop w:val="0"/>
          <w:marBottom w:val="0"/>
          <w:divBdr>
            <w:top w:val="none" w:sz="0" w:space="0" w:color="auto"/>
            <w:left w:val="none" w:sz="0" w:space="0" w:color="auto"/>
            <w:bottom w:val="none" w:sz="0" w:space="0" w:color="auto"/>
            <w:right w:val="none" w:sz="0" w:space="0" w:color="auto"/>
          </w:divBdr>
        </w:div>
        <w:div w:id="784349516">
          <w:marLeft w:val="0"/>
          <w:marRight w:val="0"/>
          <w:marTop w:val="300"/>
          <w:marBottom w:val="300"/>
          <w:divBdr>
            <w:top w:val="none" w:sz="0" w:space="0" w:color="auto"/>
            <w:left w:val="none" w:sz="0" w:space="0" w:color="auto"/>
            <w:bottom w:val="none" w:sz="0" w:space="0" w:color="auto"/>
            <w:right w:val="none" w:sz="0" w:space="0" w:color="auto"/>
          </w:divBdr>
          <w:divsChild>
            <w:div w:id="1749228016">
              <w:marLeft w:val="0"/>
              <w:marRight w:val="0"/>
              <w:marTop w:val="15"/>
              <w:marBottom w:val="0"/>
              <w:divBdr>
                <w:top w:val="none" w:sz="0" w:space="0" w:color="auto"/>
                <w:left w:val="none" w:sz="0" w:space="0" w:color="auto"/>
                <w:bottom w:val="none" w:sz="0" w:space="0" w:color="auto"/>
                <w:right w:val="none" w:sz="0" w:space="0" w:color="auto"/>
              </w:divBdr>
              <w:divsChild>
                <w:div w:id="2139831241">
                  <w:marLeft w:val="0"/>
                  <w:marRight w:val="0"/>
                  <w:marTop w:val="0"/>
                  <w:marBottom w:val="0"/>
                  <w:divBdr>
                    <w:top w:val="none" w:sz="0" w:space="0" w:color="auto"/>
                    <w:left w:val="none" w:sz="0" w:space="0" w:color="auto"/>
                    <w:bottom w:val="none" w:sz="0" w:space="0" w:color="auto"/>
                    <w:right w:val="none" w:sz="0" w:space="0" w:color="auto"/>
                  </w:divBdr>
                </w:div>
                <w:div w:id="789668046">
                  <w:marLeft w:val="0"/>
                  <w:marRight w:val="0"/>
                  <w:marTop w:val="300"/>
                  <w:marBottom w:val="300"/>
                  <w:divBdr>
                    <w:top w:val="none" w:sz="0" w:space="0" w:color="auto"/>
                    <w:left w:val="none" w:sz="0" w:space="0" w:color="auto"/>
                    <w:bottom w:val="none" w:sz="0" w:space="0" w:color="auto"/>
                    <w:right w:val="none" w:sz="0" w:space="0" w:color="auto"/>
                  </w:divBdr>
                  <w:divsChild>
                    <w:div w:id="2095203661">
                      <w:marLeft w:val="375"/>
                      <w:marRight w:val="375"/>
                      <w:marTop w:val="75"/>
                      <w:marBottom w:val="0"/>
                      <w:divBdr>
                        <w:top w:val="single" w:sz="12" w:space="0" w:color="EFEFEF"/>
                        <w:left w:val="single" w:sz="12" w:space="0" w:color="EFEFEF"/>
                        <w:bottom w:val="single" w:sz="12" w:space="0" w:color="EFEFEF"/>
                        <w:right w:val="single" w:sz="12" w:space="0" w:color="EFEFEF"/>
                      </w:divBdr>
                      <w:divsChild>
                        <w:div w:id="268242184">
                          <w:marLeft w:val="0"/>
                          <w:marRight w:val="0"/>
                          <w:marTop w:val="0"/>
                          <w:marBottom w:val="0"/>
                          <w:divBdr>
                            <w:top w:val="none" w:sz="0" w:space="0" w:color="auto"/>
                            <w:left w:val="none" w:sz="0" w:space="0" w:color="auto"/>
                            <w:bottom w:val="none" w:sz="0" w:space="0" w:color="auto"/>
                            <w:right w:val="none" w:sz="0" w:space="0" w:color="auto"/>
                          </w:divBdr>
                          <w:divsChild>
                            <w:div w:id="55392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8566788">
          <w:marLeft w:val="0"/>
          <w:marRight w:val="0"/>
          <w:marTop w:val="0"/>
          <w:marBottom w:val="0"/>
          <w:divBdr>
            <w:top w:val="none" w:sz="0" w:space="0" w:color="auto"/>
            <w:left w:val="none" w:sz="0" w:space="0" w:color="auto"/>
            <w:bottom w:val="none" w:sz="0" w:space="0" w:color="auto"/>
            <w:right w:val="none" w:sz="0" w:space="0" w:color="auto"/>
          </w:divBdr>
        </w:div>
        <w:div w:id="1405565071">
          <w:marLeft w:val="0"/>
          <w:marRight w:val="0"/>
          <w:marTop w:val="300"/>
          <w:marBottom w:val="300"/>
          <w:divBdr>
            <w:top w:val="none" w:sz="0" w:space="0" w:color="auto"/>
            <w:left w:val="none" w:sz="0" w:space="0" w:color="auto"/>
            <w:bottom w:val="none" w:sz="0" w:space="0" w:color="auto"/>
            <w:right w:val="none" w:sz="0" w:space="0" w:color="auto"/>
          </w:divBdr>
          <w:divsChild>
            <w:div w:id="420026735">
              <w:marLeft w:val="0"/>
              <w:marRight w:val="0"/>
              <w:marTop w:val="0"/>
              <w:marBottom w:val="0"/>
              <w:divBdr>
                <w:top w:val="none" w:sz="0" w:space="0" w:color="auto"/>
                <w:left w:val="none" w:sz="0" w:space="0" w:color="auto"/>
                <w:bottom w:val="none" w:sz="0" w:space="0" w:color="auto"/>
                <w:right w:val="none" w:sz="0" w:space="0" w:color="auto"/>
              </w:divBdr>
              <w:divsChild>
                <w:div w:id="186064141">
                  <w:marLeft w:val="0"/>
                  <w:marRight w:val="0"/>
                  <w:marTop w:val="300"/>
                  <w:marBottom w:val="300"/>
                  <w:divBdr>
                    <w:top w:val="none" w:sz="0" w:space="0" w:color="auto"/>
                    <w:left w:val="none" w:sz="0" w:space="0" w:color="auto"/>
                    <w:bottom w:val="none" w:sz="0" w:space="0" w:color="auto"/>
                    <w:right w:val="none" w:sz="0" w:space="0" w:color="auto"/>
                  </w:divBdr>
                  <w:divsChild>
                    <w:div w:id="2097749768">
                      <w:marLeft w:val="0"/>
                      <w:marRight w:val="0"/>
                      <w:marTop w:val="0"/>
                      <w:marBottom w:val="0"/>
                      <w:divBdr>
                        <w:top w:val="single" w:sz="12" w:space="0" w:color="EFEFEF"/>
                        <w:left w:val="single" w:sz="12" w:space="0" w:color="EFEFEF"/>
                        <w:bottom w:val="single" w:sz="12" w:space="0" w:color="EFEFEF"/>
                        <w:right w:val="single" w:sz="12" w:space="0" w:color="EFEFEF"/>
                      </w:divBdr>
                      <w:divsChild>
                        <w:div w:id="990017861">
                          <w:marLeft w:val="0"/>
                          <w:marRight w:val="0"/>
                          <w:marTop w:val="0"/>
                          <w:marBottom w:val="0"/>
                          <w:divBdr>
                            <w:top w:val="none" w:sz="0" w:space="0" w:color="auto"/>
                            <w:left w:val="none" w:sz="0" w:space="0" w:color="auto"/>
                            <w:bottom w:val="none" w:sz="0" w:space="0" w:color="auto"/>
                            <w:right w:val="none" w:sz="0" w:space="0" w:color="auto"/>
                          </w:divBdr>
                          <w:divsChild>
                            <w:div w:id="452872489">
                              <w:marLeft w:val="0"/>
                              <w:marRight w:val="300"/>
                              <w:marTop w:val="0"/>
                              <w:marBottom w:val="0"/>
                              <w:divBdr>
                                <w:top w:val="none" w:sz="0" w:space="0" w:color="auto"/>
                                <w:left w:val="none" w:sz="0" w:space="0" w:color="auto"/>
                                <w:bottom w:val="none" w:sz="0" w:space="0" w:color="auto"/>
                                <w:right w:val="none" w:sz="0" w:space="0" w:color="auto"/>
                              </w:divBdr>
                            </w:div>
                            <w:div w:id="93070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0690459">
          <w:marLeft w:val="0"/>
          <w:marRight w:val="0"/>
          <w:marTop w:val="0"/>
          <w:marBottom w:val="0"/>
          <w:divBdr>
            <w:top w:val="none" w:sz="0" w:space="0" w:color="auto"/>
            <w:left w:val="none" w:sz="0" w:space="0" w:color="auto"/>
            <w:bottom w:val="none" w:sz="0" w:space="0" w:color="auto"/>
            <w:right w:val="none" w:sz="0" w:space="0" w:color="auto"/>
          </w:divBdr>
        </w:div>
        <w:div w:id="154420879">
          <w:marLeft w:val="0"/>
          <w:marRight w:val="0"/>
          <w:marTop w:val="300"/>
          <w:marBottom w:val="300"/>
          <w:divBdr>
            <w:top w:val="none" w:sz="0" w:space="0" w:color="auto"/>
            <w:left w:val="none" w:sz="0" w:space="0" w:color="auto"/>
            <w:bottom w:val="none" w:sz="0" w:space="0" w:color="auto"/>
            <w:right w:val="none" w:sz="0" w:space="0" w:color="auto"/>
          </w:divBdr>
          <w:divsChild>
            <w:div w:id="34543604">
              <w:marLeft w:val="0"/>
              <w:marRight w:val="0"/>
              <w:marTop w:val="15"/>
              <w:marBottom w:val="0"/>
              <w:divBdr>
                <w:top w:val="none" w:sz="0" w:space="0" w:color="auto"/>
                <w:left w:val="none" w:sz="0" w:space="0" w:color="auto"/>
                <w:bottom w:val="none" w:sz="0" w:space="0" w:color="auto"/>
                <w:right w:val="none" w:sz="0" w:space="0" w:color="auto"/>
              </w:divBdr>
              <w:divsChild>
                <w:div w:id="879629950">
                  <w:marLeft w:val="0"/>
                  <w:marRight w:val="0"/>
                  <w:marTop w:val="0"/>
                  <w:marBottom w:val="0"/>
                  <w:divBdr>
                    <w:top w:val="none" w:sz="0" w:space="0" w:color="auto"/>
                    <w:left w:val="none" w:sz="0" w:space="0" w:color="auto"/>
                    <w:bottom w:val="none" w:sz="0" w:space="0" w:color="auto"/>
                    <w:right w:val="none" w:sz="0" w:space="0" w:color="auto"/>
                  </w:divBdr>
                </w:div>
                <w:div w:id="816646528">
                  <w:marLeft w:val="0"/>
                  <w:marRight w:val="0"/>
                  <w:marTop w:val="300"/>
                  <w:marBottom w:val="300"/>
                  <w:divBdr>
                    <w:top w:val="none" w:sz="0" w:space="0" w:color="auto"/>
                    <w:left w:val="none" w:sz="0" w:space="0" w:color="auto"/>
                    <w:bottom w:val="none" w:sz="0" w:space="0" w:color="auto"/>
                    <w:right w:val="none" w:sz="0" w:space="0" w:color="auto"/>
                  </w:divBdr>
                  <w:divsChild>
                    <w:div w:id="292949037">
                      <w:marLeft w:val="375"/>
                      <w:marRight w:val="375"/>
                      <w:marTop w:val="75"/>
                      <w:marBottom w:val="0"/>
                      <w:divBdr>
                        <w:top w:val="single" w:sz="12" w:space="0" w:color="EFEFEF"/>
                        <w:left w:val="single" w:sz="12" w:space="0" w:color="EFEFEF"/>
                        <w:bottom w:val="single" w:sz="12" w:space="0" w:color="EFEFEF"/>
                        <w:right w:val="single" w:sz="12" w:space="0" w:color="EFEFEF"/>
                      </w:divBdr>
                      <w:divsChild>
                        <w:div w:id="1673096043">
                          <w:marLeft w:val="0"/>
                          <w:marRight w:val="0"/>
                          <w:marTop w:val="0"/>
                          <w:marBottom w:val="0"/>
                          <w:divBdr>
                            <w:top w:val="none" w:sz="0" w:space="0" w:color="auto"/>
                            <w:left w:val="none" w:sz="0" w:space="0" w:color="auto"/>
                            <w:bottom w:val="none" w:sz="0" w:space="0" w:color="auto"/>
                            <w:right w:val="none" w:sz="0" w:space="0" w:color="auto"/>
                          </w:divBdr>
                          <w:divsChild>
                            <w:div w:id="199426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73093">
          <w:marLeft w:val="0"/>
          <w:marRight w:val="0"/>
          <w:marTop w:val="0"/>
          <w:marBottom w:val="0"/>
          <w:divBdr>
            <w:top w:val="none" w:sz="0" w:space="0" w:color="auto"/>
            <w:left w:val="none" w:sz="0" w:space="0" w:color="auto"/>
            <w:bottom w:val="none" w:sz="0" w:space="0" w:color="auto"/>
            <w:right w:val="none" w:sz="0" w:space="0" w:color="auto"/>
          </w:divBdr>
        </w:div>
      </w:divsChild>
    </w:div>
    <w:div w:id="1370489832">
      <w:bodyDiv w:val="1"/>
      <w:marLeft w:val="0"/>
      <w:marRight w:val="0"/>
      <w:marTop w:val="0"/>
      <w:marBottom w:val="0"/>
      <w:divBdr>
        <w:top w:val="none" w:sz="0" w:space="0" w:color="auto"/>
        <w:left w:val="none" w:sz="0" w:space="0" w:color="auto"/>
        <w:bottom w:val="none" w:sz="0" w:space="0" w:color="auto"/>
        <w:right w:val="none" w:sz="0" w:space="0" w:color="auto"/>
      </w:divBdr>
      <w:divsChild>
        <w:div w:id="718017318">
          <w:marLeft w:val="0"/>
          <w:marRight w:val="0"/>
          <w:marTop w:val="300"/>
          <w:marBottom w:val="0"/>
          <w:divBdr>
            <w:top w:val="none" w:sz="0" w:space="0" w:color="auto"/>
            <w:left w:val="none" w:sz="0" w:space="0" w:color="auto"/>
            <w:bottom w:val="none" w:sz="0" w:space="0" w:color="auto"/>
            <w:right w:val="none" w:sz="0" w:space="0" w:color="auto"/>
          </w:divBdr>
          <w:divsChild>
            <w:div w:id="741221523">
              <w:marLeft w:val="0"/>
              <w:marRight w:val="0"/>
              <w:marTop w:val="0"/>
              <w:marBottom w:val="0"/>
              <w:divBdr>
                <w:top w:val="none" w:sz="0" w:space="0" w:color="auto"/>
                <w:left w:val="none" w:sz="0" w:space="0" w:color="auto"/>
                <w:bottom w:val="none" w:sz="0" w:space="0" w:color="auto"/>
                <w:right w:val="none" w:sz="0" w:space="0" w:color="auto"/>
              </w:divBdr>
              <w:divsChild>
                <w:div w:id="426005605">
                  <w:marLeft w:val="0"/>
                  <w:marRight w:val="0"/>
                  <w:marTop w:val="0"/>
                  <w:marBottom w:val="60"/>
                  <w:divBdr>
                    <w:top w:val="none" w:sz="0" w:space="0" w:color="auto"/>
                    <w:left w:val="none" w:sz="0" w:space="0" w:color="auto"/>
                    <w:bottom w:val="none" w:sz="0" w:space="0" w:color="auto"/>
                    <w:right w:val="none" w:sz="0" w:space="0" w:color="auto"/>
                  </w:divBdr>
                </w:div>
                <w:div w:id="111945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335713">
          <w:marLeft w:val="0"/>
          <w:marRight w:val="0"/>
          <w:marTop w:val="600"/>
          <w:marBottom w:val="150"/>
          <w:divBdr>
            <w:top w:val="none" w:sz="0" w:space="0" w:color="auto"/>
            <w:left w:val="none" w:sz="0" w:space="0" w:color="auto"/>
            <w:bottom w:val="none" w:sz="0" w:space="0" w:color="auto"/>
            <w:right w:val="none" w:sz="0" w:space="0" w:color="auto"/>
          </w:divBdr>
          <w:divsChild>
            <w:div w:id="1768111382">
              <w:marLeft w:val="0"/>
              <w:marRight w:val="0"/>
              <w:marTop w:val="0"/>
              <w:marBottom w:val="0"/>
              <w:divBdr>
                <w:top w:val="none" w:sz="0" w:space="0" w:color="auto"/>
                <w:left w:val="none" w:sz="0" w:space="0" w:color="auto"/>
                <w:bottom w:val="none" w:sz="0" w:space="0" w:color="auto"/>
                <w:right w:val="none" w:sz="0" w:space="0" w:color="auto"/>
              </w:divBdr>
            </w:div>
            <w:div w:id="965963915">
              <w:marLeft w:val="0"/>
              <w:marRight w:val="0"/>
              <w:marTop w:val="0"/>
              <w:marBottom w:val="0"/>
              <w:divBdr>
                <w:top w:val="none" w:sz="0" w:space="0" w:color="auto"/>
                <w:left w:val="none" w:sz="0" w:space="0" w:color="auto"/>
                <w:bottom w:val="none" w:sz="0" w:space="0" w:color="auto"/>
                <w:right w:val="none" w:sz="0" w:space="0" w:color="auto"/>
              </w:divBdr>
              <w:divsChild>
                <w:div w:id="445464800">
                  <w:marLeft w:val="0"/>
                  <w:marRight w:val="0"/>
                  <w:marTop w:val="0"/>
                  <w:marBottom w:val="0"/>
                  <w:divBdr>
                    <w:top w:val="none" w:sz="0" w:space="0" w:color="auto"/>
                    <w:left w:val="none" w:sz="0" w:space="0" w:color="auto"/>
                    <w:bottom w:val="none" w:sz="0" w:space="0" w:color="auto"/>
                    <w:right w:val="none" w:sz="0" w:space="0" w:color="auto"/>
                  </w:divBdr>
                </w:div>
                <w:div w:id="804154951">
                  <w:marLeft w:val="0"/>
                  <w:marRight w:val="0"/>
                  <w:marTop w:val="0"/>
                  <w:marBottom w:val="0"/>
                  <w:divBdr>
                    <w:top w:val="none" w:sz="0" w:space="0" w:color="auto"/>
                    <w:left w:val="none" w:sz="0" w:space="0" w:color="auto"/>
                    <w:bottom w:val="none" w:sz="0" w:space="0" w:color="auto"/>
                    <w:right w:val="none" w:sz="0" w:space="0" w:color="auto"/>
                  </w:divBdr>
                </w:div>
              </w:divsChild>
            </w:div>
            <w:div w:id="462969327">
              <w:marLeft w:val="0"/>
              <w:marRight w:val="0"/>
              <w:marTop w:val="0"/>
              <w:marBottom w:val="0"/>
              <w:divBdr>
                <w:top w:val="none" w:sz="0" w:space="0" w:color="auto"/>
                <w:left w:val="none" w:sz="0" w:space="0" w:color="auto"/>
                <w:bottom w:val="none" w:sz="0" w:space="0" w:color="auto"/>
                <w:right w:val="none" w:sz="0" w:space="0" w:color="auto"/>
              </w:divBdr>
              <w:divsChild>
                <w:div w:id="120419284">
                  <w:marLeft w:val="0"/>
                  <w:marRight w:val="0"/>
                  <w:marTop w:val="0"/>
                  <w:marBottom w:val="0"/>
                  <w:divBdr>
                    <w:top w:val="none" w:sz="0" w:space="0" w:color="auto"/>
                    <w:left w:val="none" w:sz="0" w:space="0" w:color="auto"/>
                    <w:bottom w:val="none" w:sz="0" w:space="0" w:color="auto"/>
                    <w:right w:val="none" w:sz="0" w:space="0" w:color="auto"/>
                  </w:divBdr>
                </w:div>
                <w:div w:id="805969645">
                  <w:marLeft w:val="0"/>
                  <w:marRight w:val="0"/>
                  <w:marTop w:val="0"/>
                  <w:marBottom w:val="0"/>
                  <w:divBdr>
                    <w:top w:val="none" w:sz="0" w:space="0" w:color="auto"/>
                    <w:left w:val="none" w:sz="0" w:space="0" w:color="auto"/>
                    <w:bottom w:val="none" w:sz="0" w:space="0" w:color="auto"/>
                    <w:right w:val="none" w:sz="0" w:space="0" w:color="auto"/>
                  </w:divBdr>
                </w:div>
                <w:div w:id="2051374450">
                  <w:marLeft w:val="0"/>
                  <w:marRight w:val="0"/>
                  <w:marTop w:val="0"/>
                  <w:marBottom w:val="0"/>
                  <w:divBdr>
                    <w:top w:val="none" w:sz="0" w:space="0" w:color="auto"/>
                    <w:left w:val="none" w:sz="0" w:space="0" w:color="auto"/>
                    <w:bottom w:val="none" w:sz="0" w:space="0" w:color="auto"/>
                    <w:right w:val="none" w:sz="0" w:space="0" w:color="auto"/>
                  </w:divBdr>
                </w:div>
              </w:divsChild>
            </w:div>
            <w:div w:id="93943707">
              <w:marLeft w:val="0"/>
              <w:marRight w:val="0"/>
              <w:marTop w:val="0"/>
              <w:marBottom w:val="0"/>
              <w:divBdr>
                <w:top w:val="none" w:sz="0" w:space="0" w:color="auto"/>
                <w:left w:val="none" w:sz="0" w:space="0" w:color="auto"/>
                <w:bottom w:val="none" w:sz="0" w:space="0" w:color="auto"/>
                <w:right w:val="none" w:sz="0" w:space="0" w:color="auto"/>
              </w:divBdr>
              <w:divsChild>
                <w:div w:id="459614196">
                  <w:marLeft w:val="0"/>
                  <w:marRight w:val="0"/>
                  <w:marTop w:val="0"/>
                  <w:marBottom w:val="0"/>
                  <w:divBdr>
                    <w:top w:val="none" w:sz="0" w:space="0" w:color="auto"/>
                    <w:left w:val="none" w:sz="0" w:space="0" w:color="auto"/>
                    <w:bottom w:val="none" w:sz="0" w:space="0" w:color="auto"/>
                    <w:right w:val="none" w:sz="0" w:space="0" w:color="auto"/>
                  </w:divBdr>
                </w:div>
                <w:div w:id="1254052062">
                  <w:marLeft w:val="0"/>
                  <w:marRight w:val="0"/>
                  <w:marTop w:val="0"/>
                  <w:marBottom w:val="0"/>
                  <w:divBdr>
                    <w:top w:val="none" w:sz="0" w:space="0" w:color="auto"/>
                    <w:left w:val="none" w:sz="0" w:space="0" w:color="auto"/>
                    <w:bottom w:val="none" w:sz="0" w:space="0" w:color="auto"/>
                    <w:right w:val="none" w:sz="0" w:space="0" w:color="auto"/>
                  </w:divBdr>
                </w:div>
                <w:div w:id="30693729">
                  <w:marLeft w:val="0"/>
                  <w:marRight w:val="0"/>
                  <w:marTop w:val="0"/>
                  <w:marBottom w:val="0"/>
                  <w:divBdr>
                    <w:top w:val="none" w:sz="0" w:space="0" w:color="auto"/>
                    <w:left w:val="none" w:sz="0" w:space="0" w:color="auto"/>
                    <w:bottom w:val="none" w:sz="0" w:space="0" w:color="auto"/>
                    <w:right w:val="none" w:sz="0" w:space="0" w:color="auto"/>
                  </w:divBdr>
                </w:div>
                <w:div w:id="394356223">
                  <w:marLeft w:val="0"/>
                  <w:marRight w:val="0"/>
                  <w:marTop w:val="0"/>
                  <w:marBottom w:val="0"/>
                  <w:divBdr>
                    <w:top w:val="none" w:sz="0" w:space="0" w:color="auto"/>
                    <w:left w:val="none" w:sz="0" w:space="0" w:color="auto"/>
                    <w:bottom w:val="none" w:sz="0" w:space="0" w:color="auto"/>
                    <w:right w:val="none" w:sz="0" w:space="0" w:color="auto"/>
                  </w:divBdr>
                </w:div>
              </w:divsChild>
            </w:div>
            <w:div w:id="369578625">
              <w:marLeft w:val="0"/>
              <w:marRight w:val="0"/>
              <w:marTop w:val="0"/>
              <w:marBottom w:val="0"/>
              <w:divBdr>
                <w:top w:val="none" w:sz="0" w:space="0" w:color="auto"/>
                <w:left w:val="none" w:sz="0" w:space="0" w:color="auto"/>
                <w:bottom w:val="none" w:sz="0" w:space="0" w:color="auto"/>
                <w:right w:val="none" w:sz="0" w:space="0" w:color="auto"/>
              </w:divBdr>
            </w:div>
            <w:div w:id="1335721459">
              <w:marLeft w:val="0"/>
              <w:marRight w:val="0"/>
              <w:marTop w:val="0"/>
              <w:marBottom w:val="0"/>
              <w:divBdr>
                <w:top w:val="none" w:sz="0" w:space="0" w:color="auto"/>
                <w:left w:val="none" w:sz="0" w:space="0" w:color="auto"/>
                <w:bottom w:val="none" w:sz="0" w:space="0" w:color="auto"/>
                <w:right w:val="none" w:sz="0" w:space="0" w:color="auto"/>
              </w:divBdr>
            </w:div>
            <w:div w:id="524906973">
              <w:marLeft w:val="0"/>
              <w:marRight w:val="0"/>
              <w:marTop w:val="0"/>
              <w:marBottom w:val="0"/>
              <w:divBdr>
                <w:top w:val="none" w:sz="0" w:space="0" w:color="auto"/>
                <w:left w:val="none" w:sz="0" w:space="0" w:color="auto"/>
                <w:bottom w:val="none" w:sz="0" w:space="0" w:color="auto"/>
                <w:right w:val="none" w:sz="0" w:space="0" w:color="auto"/>
              </w:divBdr>
            </w:div>
            <w:div w:id="1719814060">
              <w:marLeft w:val="0"/>
              <w:marRight w:val="0"/>
              <w:marTop w:val="0"/>
              <w:marBottom w:val="0"/>
              <w:divBdr>
                <w:top w:val="none" w:sz="0" w:space="0" w:color="auto"/>
                <w:left w:val="none" w:sz="0" w:space="0" w:color="auto"/>
                <w:bottom w:val="none" w:sz="0" w:space="0" w:color="auto"/>
                <w:right w:val="none" w:sz="0" w:space="0" w:color="auto"/>
              </w:divBdr>
            </w:div>
            <w:div w:id="1232035582">
              <w:marLeft w:val="0"/>
              <w:marRight w:val="0"/>
              <w:marTop w:val="0"/>
              <w:marBottom w:val="0"/>
              <w:divBdr>
                <w:top w:val="none" w:sz="0" w:space="0" w:color="auto"/>
                <w:left w:val="none" w:sz="0" w:space="0" w:color="auto"/>
                <w:bottom w:val="none" w:sz="0" w:space="0" w:color="auto"/>
                <w:right w:val="none" w:sz="0" w:space="0" w:color="auto"/>
              </w:divBdr>
              <w:divsChild>
                <w:div w:id="729965052">
                  <w:marLeft w:val="0"/>
                  <w:marRight w:val="0"/>
                  <w:marTop w:val="0"/>
                  <w:marBottom w:val="0"/>
                  <w:divBdr>
                    <w:top w:val="none" w:sz="0" w:space="0" w:color="auto"/>
                    <w:left w:val="none" w:sz="0" w:space="0" w:color="auto"/>
                    <w:bottom w:val="none" w:sz="0" w:space="0" w:color="auto"/>
                    <w:right w:val="none" w:sz="0" w:space="0" w:color="auto"/>
                  </w:divBdr>
                </w:div>
                <w:div w:id="407188368">
                  <w:marLeft w:val="0"/>
                  <w:marRight w:val="0"/>
                  <w:marTop w:val="0"/>
                  <w:marBottom w:val="0"/>
                  <w:divBdr>
                    <w:top w:val="none" w:sz="0" w:space="0" w:color="auto"/>
                    <w:left w:val="none" w:sz="0" w:space="0" w:color="auto"/>
                    <w:bottom w:val="none" w:sz="0" w:space="0" w:color="auto"/>
                    <w:right w:val="none" w:sz="0" w:space="0" w:color="auto"/>
                  </w:divBdr>
                </w:div>
                <w:div w:id="822545762">
                  <w:marLeft w:val="0"/>
                  <w:marRight w:val="0"/>
                  <w:marTop w:val="0"/>
                  <w:marBottom w:val="0"/>
                  <w:divBdr>
                    <w:top w:val="none" w:sz="0" w:space="0" w:color="auto"/>
                    <w:left w:val="none" w:sz="0" w:space="0" w:color="auto"/>
                    <w:bottom w:val="none" w:sz="0" w:space="0" w:color="auto"/>
                    <w:right w:val="none" w:sz="0" w:space="0" w:color="auto"/>
                  </w:divBdr>
                </w:div>
                <w:div w:id="11417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574997">
      <w:bodyDiv w:val="1"/>
      <w:marLeft w:val="0"/>
      <w:marRight w:val="0"/>
      <w:marTop w:val="0"/>
      <w:marBottom w:val="0"/>
      <w:divBdr>
        <w:top w:val="none" w:sz="0" w:space="0" w:color="auto"/>
        <w:left w:val="none" w:sz="0" w:space="0" w:color="auto"/>
        <w:bottom w:val="none" w:sz="0" w:space="0" w:color="auto"/>
        <w:right w:val="none" w:sz="0" w:space="0" w:color="auto"/>
      </w:divBdr>
      <w:divsChild>
        <w:div w:id="895701627">
          <w:marLeft w:val="0"/>
          <w:marRight w:val="0"/>
          <w:marTop w:val="0"/>
          <w:marBottom w:val="0"/>
          <w:divBdr>
            <w:top w:val="single" w:sz="24" w:space="0" w:color="auto"/>
            <w:left w:val="single" w:sz="24" w:space="0" w:color="auto"/>
            <w:bottom w:val="single" w:sz="24" w:space="0" w:color="auto"/>
            <w:right w:val="single" w:sz="24" w:space="0" w:color="auto"/>
          </w:divBdr>
          <w:divsChild>
            <w:div w:id="887568576">
              <w:marLeft w:val="0"/>
              <w:marRight w:val="0"/>
              <w:marTop w:val="0"/>
              <w:marBottom w:val="0"/>
              <w:divBdr>
                <w:top w:val="none" w:sz="0" w:space="0" w:color="auto"/>
                <w:left w:val="none" w:sz="0" w:space="0" w:color="auto"/>
                <w:bottom w:val="none" w:sz="0" w:space="0" w:color="auto"/>
                <w:right w:val="none" w:sz="0" w:space="0" w:color="auto"/>
              </w:divBdr>
              <w:divsChild>
                <w:div w:id="1834636421">
                  <w:marLeft w:val="0"/>
                  <w:marRight w:val="0"/>
                  <w:marTop w:val="0"/>
                  <w:marBottom w:val="0"/>
                  <w:divBdr>
                    <w:top w:val="none" w:sz="0" w:space="0" w:color="auto"/>
                    <w:left w:val="none" w:sz="0" w:space="0" w:color="auto"/>
                    <w:bottom w:val="none" w:sz="0" w:space="0" w:color="auto"/>
                    <w:right w:val="none" w:sz="0" w:space="0" w:color="auto"/>
                  </w:divBdr>
                </w:div>
                <w:div w:id="252470244">
                  <w:marLeft w:val="0"/>
                  <w:marRight w:val="0"/>
                  <w:marTop w:val="0"/>
                  <w:marBottom w:val="0"/>
                  <w:divBdr>
                    <w:top w:val="none" w:sz="0" w:space="0" w:color="auto"/>
                    <w:left w:val="none" w:sz="0" w:space="0" w:color="auto"/>
                    <w:bottom w:val="none" w:sz="0" w:space="0" w:color="auto"/>
                    <w:right w:val="none" w:sz="0" w:space="0" w:color="auto"/>
                  </w:divBdr>
                </w:div>
                <w:div w:id="1348480845">
                  <w:marLeft w:val="0"/>
                  <w:marRight w:val="0"/>
                  <w:marTop w:val="0"/>
                  <w:marBottom w:val="0"/>
                  <w:divBdr>
                    <w:top w:val="none" w:sz="0" w:space="0" w:color="auto"/>
                    <w:left w:val="none" w:sz="0" w:space="0" w:color="auto"/>
                    <w:bottom w:val="none" w:sz="0" w:space="0" w:color="auto"/>
                    <w:right w:val="none" w:sz="0" w:space="0" w:color="auto"/>
                  </w:divBdr>
                </w:div>
              </w:divsChild>
            </w:div>
            <w:div w:id="611205096">
              <w:marLeft w:val="0"/>
              <w:marRight w:val="0"/>
              <w:marTop w:val="0"/>
              <w:marBottom w:val="0"/>
              <w:divBdr>
                <w:top w:val="none" w:sz="0" w:space="0" w:color="auto"/>
                <w:left w:val="none" w:sz="0" w:space="0" w:color="auto"/>
                <w:bottom w:val="none" w:sz="0" w:space="0" w:color="auto"/>
                <w:right w:val="none" w:sz="0" w:space="0" w:color="auto"/>
              </w:divBdr>
              <w:divsChild>
                <w:div w:id="1327973205">
                  <w:marLeft w:val="0"/>
                  <w:marRight w:val="0"/>
                  <w:marTop w:val="0"/>
                  <w:marBottom w:val="0"/>
                  <w:divBdr>
                    <w:top w:val="none" w:sz="0" w:space="0" w:color="auto"/>
                    <w:left w:val="none" w:sz="0" w:space="0" w:color="auto"/>
                    <w:bottom w:val="none" w:sz="0" w:space="0" w:color="auto"/>
                    <w:right w:val="none" w:sz="0" w:space="0" w:color="auto"/>
                  </w:divBdr>
                  <w:divsChild>
                    <w:div w:id="90005817">
                      <w:marLeft w:val="0"/>
                      <w:marRight w:val="0"/>
                      <w:marTop w:val="0"/>
                      <w:marBottom w:val="0"/>
                      <w:divBdr>
                        <w:top w:val="none" w:sz="0" w:space="0" w:color="auto"/>
                        <w:left w:val="none" w:sz="0" w:space="0" w:color="auto"/>
                        <w:bottom w:val="none" w:sz="0" w:space="0" w:color="auto"/>
                        <w:right w:val="none" w:sz="0" w:space="0" w:color="auto"/>
                      </w:divBdr>
                      <w:divsChild>
                        <w:div w:id="1593515617">
                          <w:marLeft w:val="0"/>
                          <w:marRight w:val="0"/>
                          <w:marTop w:val="0"/>
                          <w:marBottom w:val="0"/>
                          <w:divBdr>
                            <w:top w:val="none" w:sz="0" w:space="0" w:color="auto"/>
                            <w:left w:val="none" w:sz="0" w:space="0" w:color="auto"/>
                            <w:bottom w:val="none" w:sz="0" w:space="0" w:color="auto"/>
                            <w:right w:val="none" w:sz="0" w:space="0" w:color="auto"/>
                          </w:divBdr>
                          <w:divsChild>
                            <w:div w:id="1564556769">
                              <w:marLeft w:val="0"/>
                              <w:marRight w:val="0"/>
                              <w:marTop w:val="0"/>
                              <w:marBottom w:val="0"/>
                              <w:divBdr>
                                <w:top w:val="none" w:sz="0" w:space="0" w:color="auto"/>
                                <w:left w:val="none" w:sz="0" w:space="0" w:color="auto"/>
                                <w:bottom w:val="none" w:sz="0" w:space="0" w:color="auto"/>
                                <w:right w:val="none" w:sz="0" w:space="0" w:color="auto"/>
                              </w:divBdr>
                              <w:divsChild>
                                <w:div w:id="1490825916">
                                  <w:marLeft w:val="0"/>
                                  <w:marRight w:val="0"/>
                                  <w:marTop w:val="0"/>
                                  <w:marBottom w:val="0"/>
                                  <w:divBdr>
                                    <w:top w:val="none" w:sz="0" w:space="0" w:color="auto"/>
                                    <w:left w:val="none" w:sz="0" w:space="0" w:color="auto"/>
                                    <w:bottom w:val="none" w:sz="0" w:space="0" w:color="auto"/>
                                    <w:right w:val="none" w:sz="0" w:space="0" w:color="auto"/>
                                  </w:divBdr>
                                </w:div>
                              </w:divsChild>
                            </w:div>
                            <w:div w:id="795215308">
                              <w:marLeft w:val="0"/>
                              <w:marRight w:val="0"/>
                              <w:marTop w:val="0"/>
                              <w:marBottom w:val="0"/>
                              <w:divBdr>
                                <w:top w:val="none" w:sz="0" w:space="0" w:color="auto"/>
                                <w:left w:val="none" w:sz="0" w:space="0" w:color="auto"/>
                                <w:bottom w:val="none" w:sz="0" w:space="0" w:color="auto"/>
                                <w:right w:val="none" w:sz="0" w:space="0" w:color="auto"/>
                              </w:divBdr>
                              <w:divsChild>
                                <w:div w:id="2320944">
                                  <w:marLeft w:val="0"/>
                                  <w:marRight w:val="0"/>
                                  <w:marTop w:val="0"/>
                                  <w:marBottom w:val="0"/>
                                  <w:divBdr>
                                    <w:top w:val="none" w:sz="0" w:space="0" w:color="auto"/>
                                    <w:left w:val="none" w:sz="0" w:space="0" w:color="auto"/>
                                    <w:bottom w:val="none" w:sz="0" w:space="0" w:color="auto"/>
                                    <w:right w:val="none" w:sz="0" w:space="0" w:color="auto"/>
                                  </w:divBdr>
                                </w:div>
                                <w:div w:id="121458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416118">
                      <w:marLeft w:val="0"/>
                      <w:marRight w:val="0"/>
                      <w:marTop w:val="0"/>
                      <w:marBottom w:val="0"/>
                      <w:divBdr>
                        <w:top w:val="none" w:sz="0" w:space="0" w:color="auto"/>
                        <w:left w:val="none" w:sz="0" w:space="0" w:color="auto"/>
                        <w:bottom w:val="none" w:sz="0" w:space="0" w:color="auto"/>
                        <w:right w:val="none" w:sz="0" w:space="0" w:color="auto"/>
                      </w:divBdr>
                      <w:divsChild>
                        <w:div w:id="1560706546">
                          <w:marLeft w:val="0"/>
                          <w:marRight w:val="0"/>
                          <w:marTop w:val="0"/>
                          <w:marBottom w:val="0"/>
                          <w:divBdr>
                            <w:top w:val="none" w:sz="0" w:space="0" w:color="auto"/>
                            <w:left w:val="none" w:sz="0" w:space="0" w:color="auto"/>
                            <w:bottom w:val="none" w:sz="0" w:space="0" w:color="auto"/>
                            <w:right w:val="none" w:sz="0" w:space="0" w:color="auto"/>
                          </w:divBdr>
                        </w:div>
                        <w:div w:id="172039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82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260121">
          <w:marLeft w:val="0"/>
          <w:marRight w:val="0"/>
          <w:marTop w:val="0"/>
          <w:marBottom w:val="0"/>
          <w:divBdr>
            <w:top w:val="none" w:sz="0" w:space="0" w:color="auto"/>
            <w:left w:val="none" w:sz="0" w:space="0" w:color="auto"/>
            <w:bottom w:val="none" w:sz="0" w:space="0" w:color="auto"/>
            <w:right w:val="none" w:sz="0" w:space="0" w:color="auto"/>
          </w:divBdr>
          <w:divsChild>
            <w:div w:id="293683758">
              <w:marLeft w:val="0"/>
              <w:marRight w:val="0"/>
              <w:marTop w:val="0"/>
              <w:marBottom w:val="0"/>
              <w:divBdr>
                <w:top w:val="single" w:sz="24" w:space="0" w:color="auto"/>
                <w:left w:val="single" w:sz="24" w:space="0" w:color="auto"/>
                <w:bottom w:val="single" w:sz="24" w:space="0" w:color="auto"/>
                <w:right w:val="single" w:sz="24" w:space="0" w:color="auto"/>
              </w:divBdr>
              <w:divsChild>
                <w:div w:id="1228300659">
                  <w:marLeft w:val="0"/>
                  <w:marRight w:val="0"/>
                  <w:marTop w:val="0"/>
                  <w:marBottom w:val="0"/>
                  <w:divBdr>
                    <w:top w:val="none" w:sz="0" w:space="0" w:color="auto"/>
                    <w:left w:val="none" w:sz="0" w:space="0" w:color="auto"/>
                    <w:bottom w:val="none" w:sz="0" w:space="0" w:color="auto"/>
                    <w:right w:val="none" w:sz="0" w:space="0" w:color="auto"/>
                  </w:divBdr>
                </w:div>
              </w:divsChild>
            </w:div>
            <w:div w:id="493230677">
              <w:marLeft w:val="0"/>
              <w:marRight w:val="0"/>
              <w:marTop w:val="0"/>
              <w:marBottom w:val="0"/>
              <w:divBdr>
                <w:top w:val="none" w:sz="0" w:space="0" w:color="auto"/>
                <w:left w:val="none" w:sz="0" w:space="0" w:color="auto"/>
                <w:bottom w:val="none" w:sz="0" w:space="0" w:color="auto"/>
                <w:right w:val="none" w:sz="0" w:space="0" w:color="auto"/>
              </w:divBdr>
              <w:divsChild>
                <w:div w:id="1035160125">
                  <w:marLeft w:val="0"/>
                  <w:marRight w:val="0"/>
                  <w:marTop w:val="0"/>
                  <w:marBottom w:val="0"/>
                  <w:divBdr>
                    <w:top w:val="none" w:sz="0" w:space="0" w:color="auto"/>
                    <w:left w:val="none" w:sz="0" w:space="0" w:color="auto"/>
                    <w:bottom w:val="none" w:sz="0" w:space="0" w:color="auto"/>
                    <w:right w:val="none" w:sz="0" w:space="0" w:color="auto"/>
                  </w:divBdr>
                  <w:divsChild>
                    <w:div w:id="281496262">
                      <w:marLeft w:val="0"/>
                      <w:marRight w:val="0"/>
                      <w:marTop w:val="0"/>
                      <w:marBottom w:val="0"/>
                      <w:divBdr>
                        <w:top w:val="none" w:sz="0" w:space="0" w:color="auto"/>
                        <w:left w:val="none" w:sz="0" w:space="0" w:color="auto"/>
                        <w:bottom w:val="none" w:sz="0" w:space="0" w:color="auto"/>
                        <w:right w:val="none" w:sz="0" w:space="0" w:color="auto"/>
                      </w:divBdr>
                      <w:divsChild>
                        <w:div w:id="51274199">
                          <w:marLeft w:val="0"/>
                          <w:marRight w:val="0"/>
                          <w:marTop w:val="0"/>
                          <w:marBottom w:val="0"/>
                          <w:divBdr>
                            <w:top w:val="none" w:sz="0" w:space="0" w:color="auto"/>
                            <w:left w:val="none" w:sz="0" w:space="0" w:color="auto"/>
                            <w:bottom w:val="none" w:sz="0" w:space="0" w:color="auto"/>
                            <w:right w:val="none" w:sz="0" w:space="0" w:color="auto"/>
                          </w:divBdr>
                          <w:divsChild>
                            <w:div w:id="1427384716">
                              <w:marLeft w:val="0"/>
                              <w:marRight w:val="0"/>
                              <w:marTop w:val="0"/>
                              <w:marBottom w:val="0"/>
                              <w:divBdr>
                                <w:top w:val="none" w:sz="0" w:space="0" w:color="auto"/>
                                <w:left w:val="none" w:sz="0" w:space="0" w:color="auto"/>
                                <w:bottom w:val="none" w:sz="0" w:space="0" w:color="auto"/>
                                <w:right w:val="none" w:sz="0" w:space="0" w:color="auto"/>
                              </w:divBdr>
                              <w:divsChild>
                                <w:div w:id="331641320">
                                  <w:marLeft w:val="0"/>
                                  <w:marRight w:val="0"/>
                                  <w:marTop w:val="0"/>
                                  <w:marBottom w:val="0"/>
                                  <w:divBdr>
                                    <w:top w:val="none" w:sz="0" w:space="0" w:color="auto"/>
                                    <w:left w:val="none" w:sz="0" w:space="0" w:color="auto"/>
                                    <w:bottom w:val="none" w:sz="0" w:space="0" w:color="auto"/>
                                    <w:right w:val="none" w:sz="0" w:space="0" w:color="auto"/>
                                  </w:divBdr>
                                </w:div>
                                <w:div w:id="1765497101">
                                  <w:marLeft w:val="0"/>
                                  <w:marRight w:val="0"/>
                                  <w:marTop w:val="0"/>
                                  <w:marBottom w:val="0"/>
                                  <w:divBdr>
                                    <w:top w:val="none" w:sz="0" w:space="0" w:color="auto"/>
                                    <w:left w:val="none" w:sz="0" w:space="0" w:color="auto"/>
                                    <w:bottom w:val="none" w:sz="0" w:space="0" w:color="auto"/>
                                    <w:right w:val="none" w:sz="0" w:space="0" w:color="auto"/>
                                  </w:divBdr>
                                </w:div>
                                <w:div w:id="1222251168">
                                  <w:marLeft w:val="0"/>
                                  <w:marRight w:val="0"/>
                                  <w:marTop w:val="0"/>
                                  <w:marBottom w:val="0"/>
                                  <w:divBdr>
                                    <w:top w:val="none" w:sz="0" w:space="0" w:color="auto"/>
                                    <w:left w:val="none" w:sz="0" w:space="0" w:color="auto"/>
                                    <w:bottom w:val="none" w:sz="0" w:space="0" w:color="auto"/>
                                    <w:right w:val="none" w:sz="0" w:space="0" w:color="auto"/>
                                  </w:divBdr>
                                  <w:divsChild>
                                    <w:div w:id="1723747425">
                                      <w:marLeft w:val="0"/>
                                      <w:marRight w:val="0"/>
                                      <w:marTop w:val="0"/>
                                      <w:marBottom w:val="0"/>
                                      <w:divBdr>
                                        <w:top w:val="single" w:sz="24" w:space="0" w:color="auto"/>
                                        <w:left w:val="single" w:sz="24" w:space="0" w:color="auto"/>
                                        <w:bottom w:val="single" w:sz="24" w:space="0" w:color="auto"/>
                                        <w:right w:val="single" w:sz="24" w:space="0" w:color="auto"/>
                                      </w:divBdr>
                                    </w:div>
                                  </w:divsChild>
                                </w:div>
                                <w:div w:id="18162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811900">
                  <w:marLeft w:val="0"/>
                  <w:marRight w:val="0"/>
                  <w:marTop w:val="0"/>
                  <w:marBottom w:val="0"/>
                  <w:divBdr>
                    <w:top w:val="none" w:sz="0" w:space="0" w:color="auto"/>
                    <w:left w:val="none" w:sz="0" w:space="0" w:color="auto"/>
                    <w:bottom w:val="none" w:sz="0" w:space="0" w:color="auto"/>
                    <w:right w:val="none" w:sz="0" w:space="0" w:color="auto"/>
                  </w:divBdr>
                </w:div>
                <w:div w:id="1214082561">
                  <w:marLeft w:val="0"/>
                  <w:marRight w:val="0"/>
                  <w:marTop w:val="0"/>
                  <w:marBottom w:val="0"/>
                  <w:divBdr>
                    <w:top w:val="none" w:sz="0" w:space="0" w:color="auto"/>
                    <w:left w:val="none" w:sz="0" w:space="0" w:color="auto"/>
                    <w:bottom w:val="none" w:sz="0" w:space="0" w:color="auto"/>
                    <w:right w:val="none" w:sz="0" w:space="0" w:color="auto"/>
                  </w:divBdr>
                </w:div>
                <w:div w:id="1050806766">
                  <w:marLeft w:val="0"/>
                  <w:marRight w:val="0"/>
                  <w:marTop w:val="0"/>
                  <w:marBottom w:val="0"/>
                  <w:divBdr>
                    <w:top w:val="none" w:sz="0" w:space="0" w:color="auto"/>
                    <w:left w:val="none" w:sz="0" w:space="0" w:color="auto"/>
                    <w:bottom w:val="none" w:sz="0" w:space="0" w:color="auto"/>
                    <w:right w:val="none" w:sz="0" w:space="0" w:color="auto"/>
                  </w:divBdr>
                </w:div>
                <w:div w:id="188463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925144">
      <w:bodyDiv w:val="1"/>
      <w:marLeft w:val="0"/>
      <w:marRight w:val="0"/>
      <w:marTop w:val="0"/>
      <w:marBottom w:val="0"/>
      <w:divBdr>
        <w:top w:val="none" w:sz="0" w:space="0" w:color="auto"/>
        <w:left w:val="none" w:sz="0" w:space="0" w:color="auto"/>
        <w:bottom w:val="none" w:sz="0" w:space="0" w:color="auto"/>
        <w:right w:val="none" w:sz="0" w:space="0" w:color="auto"/>
      </w:divBdr>
      <w:divsChild>
        <w:div w:id="1485855320">
          <w:marLeft w:val="0"/>
          <w:marRight w:val="0"/>
          <w:marTop w:val="180"/>
          <w:marBottom w:val="150"/>
          <w:divBdr>
            <w:top w:val="none" w:sz="0" w:space="0" w:color="auto"/>
            <w:left w:val="none" w:sz="0" w:space="0" w:color="auto"/>
            <w:bottom w:val="none" w:sz="0" w:space="0" w:color="auto"/>
            <w:right w:val="none" w:sz="0" w:space="0" w:color="auto"/>
          </w:divBdr>
        </w:div>
        <w:div w:id="1157962238">
          <w:marLeft w:val="0"/>
          <w:marRight w:val="0"/>
          <w:marTop w:val="0"/>
          <w:marBottom w:val="0"/>
          <w:divBdr>
            <w:top w:val="none" w:sz="0" w:space="0" w:color="auto"/>
            <w:left w:val="none" w:sz="0" w:space="0" w:color="auto"/>
            <w:bottom w:val="none" w:sz="0" w:space="0" w:color="auto"/>
            <w:right w:val="none" w:sz="0" w:space="0" w:color="auto"/>
          </w:divBdr>
          <w:divsChild>
            <w:div w:id="1553418824">
              <w:marLeft w:val="0"/>
              <w:marRight w:val="0"/>
              <w:marTop w:val="0"/>
              <w:marBottom w:val="0"/>
              <w:divBdr>
                <w:top w:val="none" w:sz="0" w:space="0" w:color="auto"/>
                <w:left w:val="none" w:sz="0" w:space="0" w:color="auto"/>
                <w:bottom w:val="none" w:sz="0" w:space="0" w:color="auto"/>
                <w:right w:val="none" w:sz="0" w:space="0" w:color="auto"/>
              </w:divBdr>
              <w:divsChild>
                <w:div w:id="1037897278">
                  <w:marLeft w:val="0"/>
                  <w:marRight w:val="0"/>
                  <w:marTop w:val="150"/>
                  <w:marBottom w:val="300"/>
                  <w:divBdr>
                    <w:top w:val="single" w:sz="6" w:space="0" w:color="EDEDED"/>
                    <w:left w:val="single" w:sz="6" w:space="0" w:color="EDEDED"/>
                    <w:bottom w:val="single" w:sz="6" w:space="0" w:color="EDEDED"/>
                    <w:right w:val="single" w:sz="6" w:space="0" w:color="EDEDED"/>
                  </w:divBdr>
                  <w:divsChild>
                    <w:div w:id="262611097">
                      <w:marLeft w:val="0"/>
                      <w:marRight w:val="0"/>
                      <w:marTop w:val="0"/>
                      <w:marBottom w:val="0"/>
                      <w:divBdr>
                        <w:top w:val="none" w:sz="0" w:space="0" w:color="auto"/>
                        <w:left w:val="none" w:sz="0" w:space="0" w:color="auto"/>
                        <w:bottom w:val="single" w:sz="6" w:space="0" w:color="EDEDED"/>
                        <w:right w:val="none" w:sz="0" w:space="0" w:color="auto"/>
                      </w:divBdr>
                    </w:div>
                    <w:div w:id="1140029877">
                      <w:marLeft w:val="0"/>
                      <w:marRight w:val="0"/>
                      <w:marTop w:val="0"/>
                      <w:marBottom w:val="0"/>
                      <w:divBdr>
                        <w:top w:val="none" w:sz="0" w:space="0" w:color="auto"/>
                        <w:left w:val="none" w:sz="0" w:space="0" w:color="auto"/>
                        <w:bottom w:val="none" w:sz="0" w:space="0" w:color="auto"/>
                        <w:right w:val="none" w:sz="0" w:space="0" w:color="auto"/>
                      </w:divBdr>
                      <w:divsChild>
                        <w:div w:id="1235047545">
                          <w:marLeft w:val="0"/>
                          <w:marRight w:val="0"/>
                          <w:marTop w:val="0"/>
                          <w:marBottom w:val="0"/>
                          <w:divBdr>
                            <w:top w:val="none" w:sz="0" w:space="0" w:color="auto"/>
                            <w:left w:val="none" w:sz="0" w:space="0" w:color="auto"/>
                            <w:bottom w:val="none" w:sz="0" w:space="0" w:color="auto"/>
                            <w:right w:val="none" w:sz="0" w:space="0" w:color="auto"/>
                          </w:divBdr>
                          <w:divsChild>
                            <w:div w:id="1498694232">
                              <w:marLeft w:val="0"/>
                              <w:marRight w:val="0"/>
                              <w:marTop w:val="0"/>
                              <w:marBottom w:val="0"/>
                              <w:divBdr>
                                <w:top w:val="none" w:sz="0" w:space="0" w:color="auto"/>
                                <w:left w:val="none" w:sz="0" w:space="0" w:color="auto"/>
                                <w:bottom w:val="none" w:sz="0" w:space="0" w:color="auto"/>
                                <w:right w:val="none" w:sz="0" w:space="0" w:color="auto"/>
                              </w:divBdr>
                              <w:divsChild>
                                <w:div w:id="113793827">
                                  <w:marLeft w:val="0"/>
                                  <w:marRight w:val="0"/>
                                  <w:marTop w:val="0"/>
                                  <w:marBottom w:val="0"/>
                                  <w:divBdr>
                                    <w:top w:val="none" w:sz="0" w:space="0" w:color="auto"/>
                                    <w:left w:val="none" w:sz="0" w:space="0" w:color="auto"/>
                                    <w:bottom w:val="none" w:sz="0" w:space="0" w:color="auto"/>
                                    <w:right w:val="none" w:sz="0" w:space="0" w:color="auto"/>
                                  </w:divBdr>
                                </w:div>
                                <w:div w:id="618030289">
                                  <w:marLeft w:val="0"/>
                                  <w:marRight w:val="0"/>
                                  <w:marTop w:val="0"/>
                                  <w:marBottom w:val="0"/>
                                  <w:divBdr>
                                    <w:top w:val="none" w:sz="0" w:space="0" w:color="auto"/>
                                    <w:left w:val="none" w:sz="0" w:space="0" w:color="auto"/>
                                    <w:bottom w:val="none" w:sz="0" w:space="0" w:color="auto"/>
                                    <w:right w:val="none" w:sz="0" w:space="0" w:color="auto"/>
                                  </w:divBdr>
                                </w:div>
                              </w:divsChild>
                            </w:div>
                            <w:div w:id="1708798650">
                              <w:marLeft w:val="0"/>
                              <w:marRight w:val="0"/>
                              <w:marTop w:val="0"/>
                              <w:marBottom w:val="0"/>
                              <w:divBdr>
                                <w:top w:val="none" w:sz="0" w:space="0" w:color="auto"/>
                                <w:left w:val="none" w:sz="0" w:space="0" w:color="auto"/>
                                <w:bottom w:val="none" w:sz="0" w:space="0" w:color="auto"/>
                                <w:right w:val="none" w:sz="0" w:space="0" w:color="auto"/>
                              </w:divBdr>
                              <w:divsChild>
                                <w:div w:id="1147282531">
                                  <w:marLeft w:val="0"/>
                                  <w:marRight w:val="0"/>
                                  <w:marTop w:val="0"/>
                                  <w:marBottom w:val="0"/>
                                  <w:divBdr>
                                    <w:top w:val="none" w:sz="0" w:space="0" w:color="auto"/>
                                    <w:left w:val="none" w:sz="0" w:space="0" w:color="auto"/>
                                    <w:bottom w:val="none" w:sz="0" w:space="0" w:color="auto"/>
                                    <w:right w:val="none" w:sz="0" w:space="0" w:color="auto"/>
                                  </w:divBdr>
                                </w:div>
                                <w:div w:id="694964492">
                                  <w:marLeft w:val="0"/>
                                  <w:marRight w:val="0"/>
                                  <w:marTop w:val="0"/>
                                  <w:marBottom w:val="0"/>
                                  <w:divBdr>
                                    <w:top w:val="none" w:sz="0" w:space="0" w:color="auto"/>
                                    <w:left w:val="none" w:sz="0" w:space="0" w:color="auto"/>
                                    <w:bottom w:val="none" w:sz="0" w:space="0" w:color="auto"/>
                                    <w:right w:val="none" w:sz="0" w:space="0" w:color="auto"/>
                                  </w:divBdr>
                                </w:div>
                              </w:divsChild>
                            </w:div>
                            <w:div w:id="756637993">
                              <w:marLeft w:val="0"/>
                              <w:marRight w:val="0"/>
                              <w:marTop w:val="0"/>
                              <w:marBottom w:val="0"/>
                              <w:divBdr>
                                <w:top w:val="none" w:sz="0" w:space="0" w:color="auto"/>
                                <w:left w:val="none" w:sz="0" w:space="0" w:color="auto"/>
                                <w:bottom w:val="none" w:sz="0" w:space="0" w:color="auto"/>
                                <w:right w:val="none" w:sz="0" w:space="0" w:color="auto"/>
                              </w:divBdr>
                              <w:divsChild>
                                <w:div w:id="148523825">
                                  <w:marLeft w:val="0"/>
                                  <w:marRight w:val="0"/>
                                  <w:marTop w:val="0"/>
                                  <w:marBottom w:val="0"/>
                                  <w:divBdr>
                                    <w:top w:val="none" w:sz="0" w:space="0" w:color="auto"/>
                                    <w:left w:val="none" w:sz="0" w:space="0" w:color="auto"/>
                                    <w:bottom w:val="none" w:sz="0" w:space="0" w:color="auto"/>
                                    <w:right w:val="none" w:sz="0" w:space="0" w:color="auto"/>
                                  </w:divBdr>
                                </w:div>
                                <w:div w:id="1872960422">
                                  <w:marLeft w:val="0"/>
                                  <w:marRight w:val="0"/>
                                  <w:marTop w:val="0"/>
                                  <w:marBottom w:val="0"/>
                                  <w:divBdr>
                                    <w:top w:val="none" w:sz="0" w:space="0" w:color="auto"/>
                                    <w:left w:val="none" w:sz="0" w:space="0" w:color="auto"/>
                                    <w:bottom w:val="none" w:sz="0" w:space="0" w:color="auto"/>
                                    <w:right w:val="none" w:sz="0" w:space="0" w:color="auto"/>
                                  </w:divBdr>
                                </w:div>
                              </w:divsChild>
                            </w:div>
                            <w:div w:id="1225331905">
                              <w:marLeft w:val="0"/>
                              <w:marRight w:val="0"/>
                              <w:marTop w:val="0"/>
                              <w:marBottom w:val="0"/>
                              <w:divBdr>
                                <w:top w:val="none" w:sz="0" w:space="0" w:color="auto"/>
                                <w:left w:val="none" w:sz="0" w:space="0" w:color="auto"/>
                                <w:bottom w:val="none" w:sz="0" w:space="0" w:color="auto"/>
                                <w:right w:val="none" w:sz="0" w:space="0" w:color="auto"/>
                              </w:divBdr>
                              <w:divsChild>
                                <w:div w:id="384303186">
                                  <w:marLeft w:val="0"/>
                                  <w:marRight w:val="0"/>
                                  <w:marTop w:val="0"/>
                                  <w:marBottom w:val="0"/>
                                  <w:divBdr>
                                    <w:top w:val="none" w:sz="0" w:space="0" w:color="auto"/>
                                    <w:left w:val="none" w:sz="0" w:space="0" w:color="auto"/>
                                    <w:bottom w:val="none" w:sz="0" w:space="0" w:color="auto"/>
                                    <w:right w:val="none" w:sz="0" w:space="0" w:color="auto"/>
                                  </w:divBdr>
                                </w:div>
                                <w:div w:id="1156461567">
                                  <w:marLeft w:val="0"/>
                                  <w:marRight w:val="0"/>
                                  <w:marTop w:val="0"/>
                                  <w:marBottom w:val="0"/>
                                  <w:divBdr>
                                    <w:top w:val="none" w:sz="0" w:space="0" w:color="auto"/>
                                    <w:left w:val="none" w:sz="0" w:space="0" w:color="auto"/>
                                    <w:bottom w:val="none" w:sz="0" w:space="0" w:color="auto"/>
                                    <w:right w:val="none" w:sz="0" w:space="0" w:color="auto"/>
                                  </w:divBdr>
                                </w:div>
                              </w:divsChild>
                            </w:div>
                            <w:div w:id="143594826">
                              <w:marLeft w:val="0"/>
                              <w:marRight w:val="0"/>
                              <w:marTop w:val="0"/>
                              <w:marBottom w:val="0"/>
                              <w:divBdr>
                                <w:top w:val="none" w:sz="0" w:space="0" w:color="auto"/>
                                <w:left w:val="none" w:sz="0" w:space="0" w:color="auto"/>
                                <w:bottom w:val="none" w:sz="0" w:space="0" w:color="auto"/>
                                <w:right w:val="none" w:sz="0" w:space="0" w:color="auto"/>
                              </w:divBdr>
                              <w:divsChild>
                                <w:div w:id="1500073521">
                                  <w:marLeft w:val="0"/>
                                  <w:marRight w:val="0"/>
                                  <w:marTop w:val="0"/>
                                  <w:marBottom w:val="0"/>
                                  <w:divBdr>
                                    <w:top w:val="none" w:sz="0" w:space="0" w:color="auto"/>
                                    <w:left w:val="none" w:sz="0" w:space="0" w:color="auto"/>
                                    <w:bottom w:val="none" w:sz="0" w:space="0" w:color="auto"/>
                                    <w:right w:val="none" w:sz="0" w:space="0" w:color="auto"/>
                                  </w:divBdr>
                                </w:div>
                                <w:div w:id="714700418">
                                  <w:marLeft w:val="0"/>
                                  <w:marRight w:val="0"/>
                                  <w:marTop w:val="0"/>
                                  <w:marBottom w:val="0"/>
                                  <w:divBdr>
                                    <w:top w:val="none" w:sz="0" w:space="0" w:color="auto"/>
                                    <w:left w:val="none" w:sz="0" w:space="0" w:color="auto"/>
                                    <w:bottom w:val="none" w:sz="0" w:space="0" w:color="auto"/>
                                    <w:right w:val="none" w:sz="0" w:space="0" w:color="auto"/>
                                  </w:divBdr>
                                </w:div>
                              </w:divsChild>
                            </w:div>
                            <w:div w:id="1176338008">
                              <w:marLeft w:val="0"/>
                              <w:marRight w:val="0"/>
                              <w:marTop w:val="0"/>
                              <w:marBottom w:val="0"/>
                              <w:divBdr>
                                <w:top w:val="none" w:sz="0" w:space="0" w:color="auto"/>
                                <w:left w:val="none" w:sz="0" w:space="0" w:color="auto"/>
                                <w:bottom w:val="none" w:sz="0" w:space="0" w:color="auto"/>
                                <w:right w:val="none" w:sz="0" w:space="0" w:color="auto"/>
                              </w:divBdr>
                              <w:divsChild>
                                <w:div w:id="388236142">
                                  <w:marLeft w:val="0"/>
                                  <w:marRight w:val="0"/>
                                  <w:marTop w:val="0"/>
                                  <w:marBottom w:val="0"/>
                                  <w:divBdr>
                                    <w:top w:val="none" w:sz="0" w:space="0" w:color="auto"/>
                                    <w:left w:val="none" w:sz="0" w:space="0" w:color="auto"/>
                                    <w:bottom w:val="none" w:sz="0" w:space="0" w:color="auto"/>
                                    <w:right w:val="none" w:sz="0" w:space="0" w:color="auto"/>
                                  </w:divBdr>
                                </w:div>
                                <w:div w:id="1636712848">
                                  <w:marLeft w:val="0"/>
                                  <w:marRight w:val="0"/>
                                  <w:marTop w:val="0"/>
                                  <w:marBottom w:val="0"/>
                                  <w:divBdr>
                                    <w:top w:val="none" w:sz="0" w:space="0" w:color="auto"/>
                                    <w:left w:val="none" w:sz="0" w:space="0" w:color="auto"/>
                                    <w:bottom w:val="none" w:sz="0" w:space="0" w:color="auto"/>
                                    <w:right w:val="none" w:sz="0" w:space="0" w:color="auto"/>
                                  </w:divBdr>
                                </w:div>
                              </w:divsChild>
                            </w:div>
                            <w:div w:id="1594973116">
                              <w:marLeft w:val="0"/>
                              <w:marRight w:val="0"/>
                              <w:marTop w:val="0"/>
                              <w:marBottom w:val="0"/>
                              <w:divBdr>
                                <w:top w:val="none" w:sz="0" w:space="0" w:color="auto"/>
                                <w:left w:val="none" w:sz="0" w:space="0" w:color="auto"/>
                                <w:bottom w:val="none" w:sz="0" w:space="0" w:color="auto"/>
                                <w:right w:val="none" w:sz="0" w:space="0" w:color="auto"/>
                              </w:divBdr>
                              <w:divsChild>
                                <w:div w:id="1516773291">
                                  <w:marLeft w:val="0"/>
                                  <w:marRight w:val="0"/>
                                  <w:marTop w:val="0"/>
                                  <w:marBottom w:val="0"/>
                                  <w:divBdr>
                                    <w:top w:val="none" w:sz="0" w:space="0" w:color="auto"/>
                                    <w:left w:val="none" w:sz="0" w:space="0" w:color="auto"/>
                                    <w:bottom w:val="none" w:sz="0" w:space="0" w:color="auto"/>
                                    <w:right w:val="none" w:sz="0" w:space="0" w:color="auto"/>
                                  </w:divBdr>
                                </w:div>
                                <w:div w:id="26681929">
                                  <w:marLeft w:val="0"/>
                                  <w:marRight w:val="0"/>
                                  <w:marTop w:val="0"/>
                                  <w:marBottom w:val="0"/>
                                  <w:divBdr>
                                    <w:top w:val="none" w:sz="0" w:space="0" w:color="auto"/>
                                    <w:left w:val="none" w:sz="0" w:space="0" w:color="auto"/>
                                    <w:bottom w:val="none" w:sz="0" w:space="0" w:color="auto"/>
                                    <w:right w:val="none" w:sz="0" w:space="0" w:color="auto"/>
                                  </w:divBdr>
                                </w:div>
                              </w:divsChild>
                            </w:div>
                            <w:div w:id="152836308">
                              <w:marLeft w:val="0"/>
                              <w:marRight w:val="0"/>
                              <w:marTop w:val="0"/>
                              <w:marBottom w:val="0"/>
                              <w:divBdr>
                                <w:top w:val="none" w:sz="0" w:space="0" w:color="auto"/>
                                <w:left w:val="none" w:sz="0" w:space="0" w:color="auto"/>
                                <w:bottom w:val="none" w:sz="0" w:space="0" w:color="auto"/>
                                <w:right w:val="none" w:sz="0" w:space="0" w:color="auto"/>
                              </w:divBdr>
                              <w:divsChild>
                                <w:div w:id="150147437">
                                  <w:marLeft w:val="0"/>
                                  <w:marRight w:val="0"/>
                                  <w:marTop w:val="0"/>
                                  <w:marBottom w:val="0"/>
                                  <w:divBdr>
                                    <w:top w:val="none" w:sz="0" w:space="0" w:color="auto"/>
                                    <w:left w:val="none" w:sz="0" w:space="0" w:color="auto"/>
                                    <w:bottom w:val="none" w:sz="0" w:space="0" w:color="auto"/>
                                    <w:right w:val="none" w:sz="0" w:space="0" w:color="auto"/>
                                  </w:divBdr>
                                </w:div>
                                <w:div w:id="1638024851">
                                  <w:marLeft w:val="0"/>
                                  <w:marRight w:val="0"/>
                                  <w:marTop w:val="0"/>
                                  <w:marBottom w:val="0"/>
                                  <w:divBdr>
                                    <w:top w:val="none" w:sz="0" w:space="0" w:color="auto"/>
                                    <w:left w:val="none" w:sz="0" w:space="0" w:color="auto"/>
                                    <w:bottom w:val="none" w:sz="0" w:space="0" w:color="auto"/>
                                    <w:right w:val="none" w:sz="0" w:space="0" w:color="auto"/>
                                  </w:divBdr>
                                </w:div>
                              </w:divsChild>
                            </w:div>
                            <w:div w:id="1056203936">
                              <w:marLeft w:val="0"/>
                              <w:marRight w:val="0"/>
                              <w:marTop w:val="0"/>
                              <w:marBottom w:val="0"/>
                              <w:divBdr>
                                <w:top w:val="none" w:sz="0" w:space="0" w:color="auto"/>
                                <w:left w:val="none" w:sz="0" w:space="0" w:color="auto"/>
                                <w:bottom w:val="none" w:sz="0" w:space="0" w:color="auto"/>
                                <w:right w:val="none" w:sz="0" w:space="0" w:color="auto"/>
                              </w:divBdr>
                              <w:divsChild>
                                <w:div w:id="1405298039">
                                  <w:marLeft w:val="0"/>
                                  <w:marRight w:val="0"/>
                                  <w:marTop w:val="0"/>
                                  <w:marBottom w:val="0"/>
                                  <w:divBdr>
                                    <w:top w:val="none" w:sz="0" w:space="0" w:color="auto"/>
                                    <w:left w:val="none" w:sz="0" w:space="0" w:color="auto"/>
                                    <w:bottom w:val="none" w:sz="0" w:space="0" w:color="auto"/>
                                    <w:right w:val="none" w:sz="0" w:space="0" w:color="auto"/>
                                  </w:divBdr>
                                </w:div>
                                <w:div w:id="1614480022">
                                  <w:marLeft w:val="0"/>
                                  <w:marRight w:val="0"/>
                                  <w:marTop w:val="0"/>
                                  <w:marBottom w:val="0"/>
                                  <w:divBdr>
                                    <w:top w:val="none" w:sz="0" w:space="0" w:color="auto"/>
                                    <w:left w:val="none" w:sz="0" w:space="0" w:color="auto"/>
                                    <w:bottom w:val="none" w:sz="0" w:space="0" w:color="auto"/>
                                    <w:right w:val="none" w:sz="0" w:space="0" w:color="auto"/>
                                  </w:divBdr>
                                </w:div>
                              </w:divsChild>
                            </w:div>
                            <w:div w:id="1918782364">
                              <w:marLeft w:val="0"/>
                              <w:marRight w:val="0"/>
                              <w:marTop w:val="0"/>
                              <w:marBottom w:val="0"/>
                              <w:divBdr>
                                <w:top w:val="none" w:sz="0" w:space="0" w:color="auto"/>
                                <w:left w:val="none" w:sz="0" w:space="0" w:color="auto"/>
                                <w:bottom w:val="none" w:sz="0" w:space="0" w:color="auto"/>
                                <w:right w:val="none" w:sz="0" w:space="0" w:color="auto"/>
                              </w:divBdr>
                              <w:divsChild>
                                <w:div w:id="502664708">
                                  <w:marLeft w:val="0"/>
                                  <w:marRight w:val="0"/>
                                  <w:marTop w:val="0"/>
                                  <w:marBottom w:val="0"/>
                                  <w:divBdr>
                                    <w:top w:val="none" w:sz="0" w:space="0" w:color="auto"/>
                                    <w:left w:val="none" w:sz="0" w:space="0" w:color="auto"/>
                                    <w:bottom w:val="none" w:sz="0" w:space="0" w:color="auto"/>
                                    <w:right w:val="none" w:sz="0" w:space="0" w:color="auto"/>
                                  </w:divBdr>
                                </w:div>
                                <w:div w:id="4009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6236042">
          <w:marLeft w:val="0"/>
          <w:marRight w:val="0"/>
          <w:marTop w:val="0"/>
          <w:marBottom w:val="0"/>
          <w:divBdr>
            <w:top w:val="none" w:sz="0" w:space="0" w:color="auto"/>
            <w:left w:val="none" w:sz="0" w:space="0" w:color="auto"/>
            <w:bottom w:val="none" w:sz="0" w:space="0" w:color="auto"/>
            <w:right w:val="none" w:sz="0" w:space="0" w:color="auto"/>
          </w:divBdr>
          <w:divsChild>
            <w:div w:id="625425192">
              <w:marLeft w:val="1500"/>
              <w:marRight w:val="1500"/>
              <w:marTop w:val="0"/>
              <w:marBottom w:val="0"/>
              <w:divBdr>
                <w:top w:val="none" w:sz="0" w:space="0" w:color="auto"/>
                <w:left w:val="none" w:sz="0" w:space="0" w:color="auto"/>
                <w:bottom w:val="none" w:sz="0" w:space="0" w:color="auto"/>
                <w:right w:val="none" w:sz="0" w:space="0" w:color="auto"/>
              </w:divBdr>
              <w:divsChild>
                <w:div w:id="42147021">
                  <w:marLeft w:val="0"/>
                  <w:marRight w:val="0"/>
                  <w:marTop w:val="0"/>
                  <w:marBottom w:val="0"/>
                  <w:divBdr>
                    <w:top w:val="none" w:sz="0" w:space="0" w:color="auto"/>
                    <w:left w:val="none" w:sz="0" w:space="0" w:color="auto"/>
                    <w:bottom w:val="none" w:sz="0" w:space="0" w:color="auto"/>
                    <w:right w:val="none" w:sz="0" w:space="0" w:color="auto"/>
                  </w:divBdr>
                </w:div>
                <w:div w:id="2027973683">
                  <w:marLeft w:val="0"/>
                  <w:marRight w:val="0"/>
                  <w:marTop w:val="0"/>
                  <w:marBottom w:val="0"/>
                  <w:divBdr>
                    <w:top w:val="none" w:sz="0" w:space="0" w:color="auto"/>
                    <w:left w:val="none" w:sz="0" w:space="0" w:color="auto"/>
                    <w:bottom w:val="none" w:sz="0" w:space="0" w:color="auto"/>
                    <w:right w:val="none" w:sz="0" w:space="0" w:color="auto"/>
                  </w:divBdr>
                </w:div>
                <w:div w:id="1584413040">
                  <w:marLeft w:val="0"/>
                  <w:marRight w:val="0"/>
                  <w:marTop w:val="450"/>
                  <w:marBottom w:val="450"/>
                  <w:divBdr>
                    <w:top w:val="none" w:sz="0" w:space="0" w:color="auto"/>
                    <w:left w:val="none" w:sz="0" w:space="0" w:color="auto"/>
                    <w:bottom w:val="none" w:sz="0" w:space="0" w:color="auto"/>
                    <w:right w:val="none" w:sz="0" w:space="0" w:color="auto"/>
                  </w:divBdr>
                  <w:divsChild>
                    <w:div w:id="661931742">
                      <w:marLeft w:val="0"/>
                      <w:marRight w:val="0"/>
                      <w:marTop w:val="0"/>
                      <w:marBottom w:val="0"/>
                      <w:divBdr>
                        <w:top w:val="none" w:sz="0" w:space="0" w:color="auto"/>
                        <w:left w:val="none" w:sz="0" w:space="0" w:color="auto"/>
                        <w:bottom w:val="none" w:sz="0" w:space="0" w:color="auto"/>
                        <w:right w:val="none" w:sz="0" w:space="0" w:color="auto"/>
                      </w:divBdr>
                      <w:divsChild>
                        <w:div w:id="176313291">
                          <w:marLeft w:val="0"/>
                          <w:marRight w:val="0"/>
                          <w:marTop w:val="0"/>
                          <w:marBottom w:val="0"/>
                          <w:divBdr>
                            <w:top w:val="none" w:sz="0" w:space="0" w:color="auto"/>
                            <w:left w:val="none" w:sz="0" w:space="0" w:color="auto"/>
                            <w:bottom w:val="none" w:sz="0" w:space="0" w:color="auto"/>
                            <w:right w:val="none" w:sz="0" w:space="0" w:color="auto"/>
                          </w:divBdr>
                          <w:divsChild>
                            <w:div w:id="6952825">
                              <w:marLeft w:val="0"/>
                              <w:marRight w:val="0"/>
                              <w:marTop w:val="0"/>
                              <w:marBottom w:val="0"/>
                              <w:divBdr>
                                <w:top w:val="none" w:sz="0" w:space="0" w:color="auto"/>
                                <w:left w:val="none" w:sz="0" w:space="0" w:color="auto"/>
                                <w:bottom w:val="none" w:sz="0" w:space="0" w:color="auto"/>
                                <w:right w:val="none" w:sz="0" w:space="0" w:color="auto"/>
                              </w:divBdr>
                              <w:divsChild>
                                <w:div w:id="154685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4582702">
          <w:marLeft w:val="0"/>
          <w:marRight w:val="0"/>
          <w:marTop w:val="0"/>
          <w:marBottom w:val="0"/>
          <w:divBdr>
            <w:top w:val="none" w:sz="0" w:space="0" w:color="auto"/>
            <w:left w:val="none" w:sz="0" w:space="0" w:color="auto"/>
            <w:bottom w:val="none" w:sz="0" w:space="0" w:color="auto"/>
            <w:right w:val="none" w:sz="0" w:space="0" w:color="auto"/>
          </w:divBdr>
          <w:divsChild>
            <w:div w:id="1548831857">
              <w:marLeft w:val="1500"/>
              <w:marRight w:val="1500"/>
              <w:marTop w:val="0"/>
              <w:marBottom w:val="0"/>
              <w:divBdr>
                <w:top w:val="none" w:sz="0" w:space="0" w:color="auto"/>
                <w:left w:val="none" w:sz="0" w:space="0" w:color="auto"/>
                <w:bottom w:val="none" w:sz="0" w:space="0" w:color="auto"/>
                <w:right w:val="none" w:sz="0" w:space="0" w:color="auto"/>
              </w:divBdr>
              <w:divsChild>
                <w:div w:id="1824739510">
                  <w:marLeft w:val="0"/>
                  <w:marRight w:val="0"/>
                  <w:marTop w:val="0"/>
                  <w:marBottom w:val="0"/>
                  <w:divBdr>
                    <w:top w:val="none" w:sz="0" w:space="0" w:color="auto"/>
                    <w:left w:val="none" w:sz="0" w:space="0" w:color="auto"/>
                    <w:bottom w:val="none" w:sz="0" w:space="0" w:color="auto"/>
                    <w:right w:val="none" w:sz="0" w:space="0" w:color="auto"/>
                  </w:divBdr>
                </w:div>
                <w:div w:id="7930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835160">
          <w:marLeft w:val="0"/>
          <w:marRight w:val="0"/>
          <w:marTop w:val="0"/>
          <w:marBottom w:val="0"/>
          <w:divBdr>
            <w:top w:val="none" w:sz="0" w:space="0" w:color="auto"/>
            <w:left w:val="none" w:sz="0" w:space="0" w:color="auto"/>
            <w:bottom w:val="none" w:sz="0" w:space="0" w:color="auto"/>
            <w:right w:val="none" w:sz="0" w:space="0" w:color="auto"/>
          </w:divBdr>
          <w:divsChild>
            <w:div w:id="920875172">
              <w:marLeft w:val="1500"/>
              <w:marRight w:val="1500"/>
              <w:marTop w:val="0"/>
              <w:marBottom w:val="0"/>
              <w:divBdr>
                <w:top w:val="none" w:sz="0" w:space="0" w:color="auto"/>
                <w:left w:val="none" w:sz="0" w:space="0" w:color="auto"/>
                <w:bottom w:val="none" w:sz="0" w:space="0" w:color="auto"/>
                <w:right w:val="none" w:sz="0" w:space="0" w:color="auto"/>
              </w:divBdr>
              <w:divsChild>
                <w:div w:id="46373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617001">
          <w:marLeft w:val="0"/>
          <w:marRight w:val="0"/>
          <w:marTop w:val="0"/>
          <w:marBottom w:val="0"/>
          <w:divBdr>
            <w:top w:val="none" w:sz="0" w:space="0" w:color="auto"/>
            <w:left w:val="none" w:sz="0" w:space="0" w:color="auto"/>
            <w:bottom w:val="none" w:sz="0" w:space="0" w:color="auto"/>
            <w:right w:val="none" w:sz="0" w:space="0" w:color="auto"/>
          </w:divBdr>
          <w:divsChild>
            <w:div w:id="1734085494">
              <w:marLeft w:val="1500"/>
              <w:marRight w:val="1500"/>
              <w:marTop w:val="0"/>
              <w:marBottom w:val="0"/>
              <w:divBdr>
                <w:top w:val="none" w:sz="0" w:space="0" w:color="auto"/>
                <w:left w:val="none" w:sz="0" w:space="0" w:color="auto"/>
                <w:bottom w:val="none" w:sz="0" w:space="0" w:color="auto"/>
                <w:right w:val="none" w:sz="0" w:space="0" w:color="auto"/>
              </w:divBdr>
              <w:divsChild>
                <w:div w:id="1507133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901972">
          <w:marLeft w:val="0"/>
          <w:marRight w:val="0"/>
          <w:marTop w:val="0"/>
          <w:marBottom w:val="0"/>
          <w:divBdr>
            <w:top w:val="none" w:sz="0" w:space="0" w:color="auto"/>
            <w:left w:val="none" w:sz="0" w:space="0" w:color="auto"/>
            <w:bottom w:val="none" w:sz="0" w:space="0" w:color="auto"/>
            <w:right w:val="none" w:sz="0" w:space="0" w:color="auto"/>
          </w:divBdr>
          <w:divsChild>
            <w:div w:id="922299969">
              <w:marLeft w:val="1500"/>
              <w:marRight w:val="1500"/>
              <w:marTop w:val="0"/>
              <w:marBottom w:val="0"/>
              <w:divBdr>
                <w:top w:val="none" w:sz="0" w:space="0" w:color="auto"/>
                <w:left w:val="none" w:sz="0" w:space="0" w:color="auto"/>
                <w:bottom w:val="none" w:sz="0" w:space="0" w:color="auto"/>
                <w:right w:val="none" w:sz="0" w:space="0" w:color="auto"/>
              </w:divBdr>
              <w:divsChild>
                <w:div w:id="145182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0105">
          <w:marLeft w:val="0"/>
          <w:marRight w:val="0"/>
          <w:marTop w:val="0"/>
          <w:marBottom w:val="0"/>
          <w:divBdr>
            <w:top w:val="none" w:sz="0" w:space="0" w:color="auto"/>
            <w:left w:val="none" w:sz="0" w:space="0" w:color="auto"/>
            <w:bottom w:val="none" w:sz="0" w:space="0" w:color="auto"/>
            <w:right w:val="none" w:sz="0" w:space="0" w:color="auto"/>
          </w:divBdr>
          <w:divsChild>
            <w:div w:id="1449859564">
              <w:marLeft w:val="1500"/>
              <w:marRight w:val="1500"/>
              <w:marTop w:val="0"/>
              <w:marBottom w:val="0"/>
              <w:divBdr>
                <w:top w:val="none" w:sz="0" w:space="0" w:color="auto"/>
                <w:left w:val="none" w:sz="0" w:space="0" w:color="auto"/>
                <w:bottom w:val="none" w:sz="0" w:space="0" w:color="auto"/>
                <w:right w:val="none" w:sz="0" w:space="0" w:color="auto"/>
              </w:divBdr>
              <w:divsChild>
                <w:div w:id="118154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615258">
          <w:marLeft w:val="0"/>
          <w:marRight w:val="0"/>
          <w:marTop w:val="0"/>
          <w:marBottom w:val="0"/>
          <w:divBdr>
            <w:top w:val="none" w:sz="0" w:space="0" w:color="auto"/>
            <w:left w:val="none" w:sz="0" w:space="0" w:color="auto"/>
            <w:bottom w:val="none" w:sz="0" w:space="0" w:color="auto"/>
            <w:right w:val="none" w:sz="0" w:space="0" w:color="auto"/>
          </w:divBdr>
          <w:divsChild>
            <w:div w:id="1543859322">
              <w:marLeft w:val="1500"/>
              <w:marRight w:val="1500"/>
              <w:marTop w:val="0"/>
              <w:marBottom w:val="0"/>
              <w:divBdr>
                <w:top w:val="none" w:sz="0" w:space="0" w:color="auto"/>
                <w:left w:val="none" w:sz="0" w:space="0" w:color="auto"/>
                <w:bottom w:val="none" w:sz="0" w:space="0" w:color="auto"/>
                <w:right w:val="none" w:sz="0" w:space="0" w:color="auto"/>
              </w:divBdr>
              <w:divsChild>
                <w:div w:id="86494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3090">
          <w:marLeft w:val="0"/>
          <w:marRight w:val="0"/>
          <w:marTop w:val="0"/>
          <w:marBottom w:val="0"/>
          <w:divBdr>
            <w:top w:val="none" w:sz="0" w:space="0" w:color="auto"/>
            <w:left w:val="none" w:sz="0" w:space="0" w:color="auto"/>
            <w:bottom w:val="none" w:sz="0" w:space="0" w:color="auto"/>
            <w:right w:val="none" w:sz="0" w:space="0" w:color="auto"/>
          </w:divBdr>
          <w:divsChild>
            <w:div w:id="1214653855">
              <w:marLeft w:val="1500"/>
              <w:marRight w:val="1500"/>
              <w:marTop w:val="0"/>
              <w:marBottom w:val="0"/>
              <w:divBdr>
                <w:top w:val="none" w:sz="0" w:space="0" w:color="auto"/>
                <w:left w:val="none" w:sz="0" w:space="0" w:color="auto"/>
                <w:bottom w:val="none" w:sz="0" w:space="0" w:color="auto"/>
                <w:right w:val="none" w:sz="0" w:space="0" w:color="auto"/>
              </w:divBdr>
              <w:divsChild>
                <w:div w:id="390999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258839">
          <w:marLeft w:val="0"/>
          <w:marRight w:val="0"/>
          <w:marTop w:val="0"/>
          <w:marBottom w:val="0"/>
          <w:divBdr>
            <w:top w:val="none" w:sz="0" w:space="0" w:color="auto"/>
            <w:left w:val="none" w:sz="0" w:space="0" w:color="auto"/>
            <w:bottom w:val="none" w:sz="0" w:space="0" w:color="auto"/>
            <w:right w:val="none" w:sz="0" w:space="0" w:color="auto"/>
          </w:divBdr>
          <w:divsChild>
            <w:div w:id="959382569">
              <w:marLeft w:val="1500"/>
              <w:marRight w:val="1500"/>
              <w:marTop w:val="0"/>
              <w:marBottom w:val="0"/>
              <w:divBdr>
                <w:top w:val="none" w:sz="0" w:space="0" w:color="auto"/>
                <w:left w:val="none" w:sz="0" w:space="0" w:color="auto"/>
                <w:bottom w:val="none" w:sz="0" w:space="0" w:color="auto"/>
                <w:right w:val="none" w:sz="0" w:space="0" w:color="auto"/>
              </w:divBdr>
              <w:divsChild>
                <w:div w:id="117835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892713">
          <w:marLeft w:val="0"/>
          <w:marRight w:val="0"/>
          <w:marTop w:val="0"/>
          <w:marBottom w:val="0"/>
          <w:divBdr>
            <w:top w:val="none" w:sz="0" w:space="0" w:color="auto"/>
            <w:left w:val="none" w:sz="0" w:space="0" w:color="auto"/>
            <w:bottom w:val="none" w:sz="0" w:space="0" w:color="auto"/>
            <w:right w:val="none" w:sz="0" w:space="0" w:color="auto"/>
          </w:divBdr>
          <w:divsChild>
            <w:div w:id="441190205">
              <w:marLeft w:val="1500"/>
              <w:marRight w:val="1500"/>
              <w:marTop w:val="0"/>
              <w:marBottom w:val="0"/>
              <w:divBdr>
                <w:top w:val="none" w:sz="0" w:space="0" w:color="auto"/>
                <w:left w:val="none" w:sz="0" w:space="0" w:color="auto"/>
                <w:bottom w:val="none" w:sz="0" w:space="0" w:color="auto"/>
                <w:right w:val="none" w:sz="0" w:space="0" w:color="auto"/>
              </w:divBdr>
              <w:divsChild>
                <w:div w:id="48447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001451">
      <w:bodyDiv w:val="1"/>
      <w:marLeft w:val="0"/>
      <w:marRight w:val="0"/>
      <w:marTop w:val="0"/>
      <w:marBottom w:val="0"/>
      <w:divBdr>
        <w:top w:val="none" w:sz="0" w:space="0" w:color="auto"/>
        <w:left w:val="none" w:sz="0" w:space="0" w:color="auto"/>
        <w:bottom w:val="none" w:sz="0" w:space="0" w:color="auto"/>
        <w:right w:val="none" w:sz="0" w:space="0" w:color="auto"/>
      </w:divBdr>
      <w:divsChild>
        <w:div w:id="61215612">
          <w:marLeft w:val="0"/>
          <w:marRight w:val="0"/>
          <w:marTop w:val="0"/>
          <w:marBottom w:val="0"/>
          <w:divBdr>
            <w:top w:val="none" w:sz="0" w:space="0" w:color="auto"/>
            <w:left w:val="none" w:sz="0" w:space="0" w:color="auto"/>
            <w:bottom w:val="none" w:sz="0" w:space="0" w:color="auto"/>
            <w:right w:val="none" w:sz="0" w:space="0" w:color="auto"/>
          </w:divBdr>
          <w:divsChild>
            <w:div w:id="1300577928">
              <w:marLeft w:val="0"/>
              <w:marRight w:val="0"/>
              <w:marTop w:val="0"/>
              <w:marBottom w:val="0"/>
              <w:divBdr>
                <w:top w:val="none" w:sz="0" w:space="0" w:color="auto"/>
                <w:left w:val="none" w:sz="0" w:space="0" w:color="auto"/>
                <w:bottom w:val="none" w:sz="0" w:space="0" w:color="auto"/>
                <w:right w:val="none" w:sz="0" w:space="0" w:color="auto"/>
              </w:divBdr>
              <w:divsChild>
                <w:div w:id="1477458002">
                  <w:marLeft w:val="0"/>
                  <w:marRight w:val="0"/>
                  <w:marTop w:val="0"/>
                  <w:marBottom w:val="0"/>
                  <w:divBdr>
                    <w:top w:val="none" w:sz="0" w:space="0" w:color="auto"/>
                    <w:left w:val="none" w:sz="0" w:space="0" w:color="auto"/>
                    <w:bottom w:val="none" w:sz="0" w:space="0" w:color="auto"/>
                    <w:right w:val="none" w:sz="0" w:space="0" w:color="auto"/>
                  </w:divBdr>
                  <w:divsChild>
                    <w:div w:id="839810292">
                      <w:marLeft w:val="0"/>
                      <w:marRight w:val="0"/>
                      <w:marTop w:val="0"/>
                      <w:marBottom w:val="0"/>
                      <w:divBdr>
                        <w:top w:val="none" w:sz="0" w:space="0" w:color="auto"/>
                        <w:left w:val="none" w:sz="0" w:space="0" w:color="auto"/>
                        <w:bottom w:val="none" w:sz="0" w:space="0" w:color="auto"/>
                        <w:right w:val="none" w:sz="0" w:space="0" w:color="auto"/>
                      </w:divBdr>
                      <w:divsChild>
                        <w:div w:id="476994488">
                          <w:marLeft w:val="0"/>
                          <w:marRight w:val="0"/>
                          <w:marTop w:val="0"/>
                          <w:marBottom w:val="0"/>
                          <w:divBdr>
                            <w:top w:val="none" w:sz="0" w:space="0" w:color="auto"/>
                            <w:left w:val="none" w:sz="0" w:space="0" w:color="auto"/>
                            <w:bottom w:val="none" w:sz="0" w:space="0" w:color="auto"/>
                            <w:right w:val="none" w:sz="0" w:space="0" w:color="auto"/>
                          </w:divBdr>
                          <w:divsChild>
                            <w:div w:id="873467889">
                              <w:marLeft w:val="0"/>
                              <w:marRight w:val="0"/>
                              <w:marTop w:val="0"/>
                              <w:marBottom w:val="0"/>
                              <w:divBdr>
                                <w:top w:val="none" w:sz="0" w:space="0" w:color="auto"/>
                                <w:left w:val="none" w:sz="0" w:space="0" w:color="auto"/>
                                <w:bottom w:val="none" w:sz="0" w:space="0" w:color="auto"/>
                                <w:right w:val="none" w:sz="0" w:space="0" w:color="auto"/>
                              </w:divBdr>
                            </w:div>
                          </w:divsChild>
                        </w:div>
                        <w:div w:id="1032611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6693285">
          <w:marLeft w:val="0"/>
          <w:marRight w:val="0"/>
          <w:marTop w:val="0"/>
          <w:marBottom w:val="0"/>
          <w:divBdr>
            <w:top w:val="none" w:sz="0" w:space="0" w:color="auto"/>
            <w:left w:val="none" w:sz="0" w:space="0" w:color="auto"/>
            <w:bottom w:val="none" w:sz="0" w:space="0" w:color="auto"/>
            <w:right w:val="none" w:sz="0" w:space="0" w:color="auto"/>
          </w:divBdr>
          <w:divsChild>
            <w:div w:id="392971116">
              <w:marLeft w:val="0"/>
              <w:marRight w:val="0"/>
              <w:marTop w:val="0"/>
              <w:marBottom w:val="0"/>
              <w:divBdr>
                <w:top w:val="none" w:sz="0" w:space="0" w:color="auto"/>
                <w:left w:val="none" w:sz="0" w:space="0" w:color="auto"/>
                <w:bottom w:val="none" w:sz="0" w:space="0" w:color="auto"/>
                <w:right w:val="none" w:sz="0" w:space="0" w:color="auto"/>
              </w:divBdr>
            </w:div>
          </w:divsChild>
        </w:div>
        <w:div w:id="682127470">
          <w:marLeft w:val="0"/>
          <w:marRight w:val="0"/>
          <w:marTop w:val="0"/>
          <w:marBottom w:val="0"/>
          <w:divBdr>
            <w:top w:val="single" w:sz="24" w:space="0" w:color="auto"/>
            <w:left w:val="single" w:sz="24" w:space="0" w:color="auto"/>
            <w:bottom w:val="single" w:sz="24" w:space="0" w:color="auto"/>
            <w:right w:val="single" w:sz="24" w:space="0" w:color="auto"/>
          </w:divBdr>
          <w:divsChild>
            <w:div w:id="1479221591">
              <w:marLeft w:val="0"/>
              <w:marRight w:val="0"/>
              <w:marTop w:val="0"/>
              <w:marBottom w:val="0"/>
              <w:divBdr>
                <w:top w:val="none" w:sz="0" w:space="0" w:color="auto"/>
                <w:left w:val="none" w:sz="0" w:space="0" w:color="auto"/>
                <w:bottom w:val="none" w:sz="0" w:space="0" w:color="auto"/>
                <w:right w:val="none" w:sz="0" w:space="0" w:color="auto"/>
              </w:divBdr>
            </w:div>
          </w:divsChild>
        </w:div>
        <w:div w:id="673267865">
          <w:marLeft w:val="0"/>
          <w:marRight w:val="0"/>
          <w:marTop w:val="0"/>
          <w:marBottom w:val="0"/>
          <w:divBdr>
            <w:top w:val="single" w:sz="24" w:space="0" w:color="auto"/>
            <w:left w:val="single" w:sz="24" w:space="0" w:color="auto"/>
            <w:bottom w:val="single" w:sz="24" w:space="0" w:color="auto"/>
            <w:right w:val="single" w:sz="24" w:space="0" w:color="auto"/>
          </w:divBdr>
          <w:divsChild>
            <w:div w:id="1142386073">
              <w:marLeft w:val="0"/>
              <w:marRight w:val="0"/>
              <w:marTop w:val="0"/>
              <w:marBottom w:val="0"/>
              <w:divBdr>
                <w:top w:val="none" w:sz="0" w:space="0" w:color="auto"/>
                <w:left w:val="none" w:sz="0" w:space="0" w:color="auto"/>
                <w:bottom w:val="none" w:sz="0" w:space="0" w:color="auto"/>
                <w:right w:val="none" w:sz="0" w:space="0" w:color="auto"/>
              </w:divBdr>
            </w:div>
          </w:divsChild>
        </w:div>
        <w:div w:id="156503804">
          <w:marLeft w:val="0"/>
          <w:marRight w:val="0"/>
          <w:marTop w:val="0"/>
          <w:marBottom w:val="0"/>
          <w:divBdr>
            <w:top w:val="single" w:sz="24" w:space="0" w:color="auto"/>
            <w:left w:val="single" w:sz="24" w:space="0" w:color="auto"/>
            <w:bottom w:val="single" w:sz="24" w:space="0" w:color="auto"/>
            <w:right w:val="single" w:sz="24" w:space="0" w:color="auto"/>
          </w:divBdr>
          <w:divsChild>
            <w:div w:id="1185435180">
              <w:marLeft w:val="0"/>
              <w:marRight w:val="0"/>
              <w:marTop w:val="0"/>
              <w:marBottom w:val="0"/>
              <w:divBdr>
                <w:top w:val="none" w:sz="0" w:space="0" w:color="auto"/>
                <w:left w:val="none" w:sz="0" w:space="0" w:color="auto"/>
                <w:bottom w:val="none" w:sz="0" w:space="0" w:color="auto"/>
                <w:right w:val="none" w:sz="0" w:space="0" w:color="auto"/>
              </w:divBdr>
            </w:div>
          </w:divsChild>
        </w:div>
        <w:div w:id="1853840935">
          <w:marLeft w:val="0"/>
          <w:marRight w:val="0"/>
          <w:marTop w:val="0"/>
          <w:marBottom w:val="0"/>
          <w:divBdr>
            <w:top w:val="single" w:sz="24" w:space="0" w:color="auto"/>
            <w:left w:val="single" w:sz="24" w:space="0" w:color="auto"/>
            <w:bottom w:val="single" w:sz="24" w:space="0" w:color="auto"/>
            <w:right w:val="single" w:sz="24" w:space="0" w:color="auto"/>
          </w:divBdr>
          <w:divsChild>
            <w:div w:id="5249596">
              <w:marLeft w:val="0"/>
              <w:marRight w:val="0"/>
              <w:marTop w:val="0"/>
              <w:marBottom w:val="0"/>
              <w:divBdr>
                <w:top w:val="none" w:sz="0" w:space="0" w:color="auto"/>
                <w:left w:val="none" w:sz="0" w:space="0" w:color="auto"/>
                <w:bottom w:val="none" w:sz="0" w:space="0" w:color="auto"/>
                <w:right w:val="none" w:sz="0" w:space="0" w:color="auto"/>
              </w:divBdr>
            </w:div>
          </w:divsChild>
        </w:div>
        <w:div w:id="1432047428">
          <w:marLeft w:val="0"/>
          <w:marRight w:val="0"/>
          <w:marTop w:val="0"/>
          <w:marBottom w:val="0"/>
          <w:divBdr>
            <w:top w:val="single" w:sz="24" w:space="0" w:color="auto"/>
            <w:left w:val="single" w:sz="24" w:space="0" w:color="auto"/>
            <w:bottom w:val="single" w:sz="24" w:space="0" w:color="auto"/>
            <w:right w:val="single" w:sz="24" w:space="0" w:color="auto"/>
          </w:divBdr>
          <w:divsChild>
            <w:div w:id="481124518">
              <w:marLeft w:val="0"/>
              <w:marRight w:val="0"/>
              <w:marTop w:val="0"/>
              <w:marBottom w:val="0"/>
              <w:divBdr>
                <w:top w:val="none" w:sz="0" w:space="0" w:color="auto"/>
                <w:left w:val="none" w:sz="0" w:space="0" w:color="auto"/>
                <w:bottom w:val="none" w:sz="0" w:space="0" w:color="auto"/>
                <w:right w:val="none" w:sz="0" w:space="0" w:color="auto"/>
              </w:divBdr>
            </w:div>
          </w:divsChild>
        </w:div>
        <w:div w:id="298266414">
          <w:marLeft w:val="0"/>
          <w:marRight w:val="0"/>
          <w:marTop w:val="0"/>
          <w:marBottom w:val="0"/>
          <w:divBdr>
            <w:top w:val="single" w:sz="24" w:space="0" w:color="auto"/>
            <w:left w:val="single" w:sz="24" w:space="0" w:color="auto"/>
            <w:bottom w:val="single" w:sz="24" w:space="0" w:color="auto"/>
            <w:right w:val="single" w:sz="24" w:space="0" w:color="auto"/>
          </w:divBdr>
          <w:divsChild>
            <w:div w:id="27415435">
              <w:marLeft w:val="0"/>
              <w:marRight w:val="0"/>
              <w:marTop w:val="0"/>
              <w:marBottom w:val="0"/>
              <w:divBdr>
                <w:top w:val="none" w:sz="0" w:space="0" w:color="auto"/>
                <w:left w:val="none" w:sz="0" w:space="0" w:color="auto"/>
                <w:bottom w:val="none" w:sz="0" w:space="0" w:color="auto"/>
                <w:right w:val="none" w:sz="0" w:space="0" w:color="auto"/>
              </w:divBdr>
            </w:div>
          </w:divsChild>
        </w:div>
        <w:div w:id="128784004">
          <w:marLeft w:val="0"/>
          <w:marRight w:val="0"/>
          <w:marTop w:val="0"/>
          <w:marBottom w:val="0"/>
          <w:divBdr>
            <w:top w:val="single" w:sz="24" w:space="0" w:color="auto"/>
            <w:left w:val="single" w:sz="24" w:space="0" w:color="auto"/>
            <w:bottom w:val="single" w:sz="24" w:space="0" w:color="auto"/>
            <w:right w:val="single" w:sz="24" w:space="0" w:color="auto"/>
          </w:divBdr>
          <w:divsChild>
            <w:div w:id="418060513">
              <w:marLeft w:val="0"/>
              <w:marRight w:val="0"/>
              <w:marTop w:val="0"/>
              <w:marBottom w:val="0"/>
              <w:divBdr>
                <w:top w:val="none" w:sz="0" w:space="0" w:color="auto"/>
                <w:left w:val="none" w:sz="0" w:space="0" w:color="auto"/>
                <w:bottom w:val="none" w:sz="0" w:space="0" w:color="auto"/>
                <w:right w:val="none" w:sz="0" w:space="0" w:color="auto"/>
              </w:divBdr>
            </w:div>
          </w:divsChild>
        </w:div>
        <w:div w:id="2044860429">
          <w:marLeft w:val="0"/>
          <w:marRight w:val="0"/>
          <w:marTop w:val="0"/>
          <w:marBottom w:val="0"/>
          <w:divBdr>
            <w:top w:val="single" w:sz="24" w:space="0" w:color="auto"/>
            <w:left w:val="single" w:sz="24" w:space="0" w:color="auto"/>
            <w:bottom w:val="single" w:sz="24" w:space="0" w:color="auto"/>
            <w:right w:val="single" w:sz="24" w:space="0" w:color="auto"/>
          </w:divBdr>
          <w:divsChild>
            <w:div w:id="1590967620">
              <w:marLeft w:val="0"/>
              <w:marRight w:val="0"/>
              <w:marTop w:val="0"/>
              <w:marBottom w:val="0"/>
              <w:divBdr>
                <w:top w:val="none" w:sz="0" w:space="0" w:color="auto"/>
                <w:left w:val="none" w:sz="0" w:space="0" w:color="auto"/>
                <w:bottom w:val="none" w:sz="0" w:space="0" w:color="auto"/>
                <w:right w:val="none" w:sz="0" w:space="0" w:color="auto"/>
              </w:divBdr>
            </w:div>
          </w:divsChild>
        </w:div>
        <w:div w:id="1448305982">
          <w:marLeft w:val="0"/>
          <w:marRight w:val="0"/>
          <w:marTop w:val="0"/>
          <w:marBottom w:val="0"/>
          <w:divBdr>
            <w:top w:val="single" w:sz="24" w:space="0" w:color="auto"/>
            <w:left w:val="single" w:sz="24" w:space="0" w:color="auto"/>
            <w:bottom w:val="single" w:sz="24" w:space="0" w:color="auto"/>
            <w:right w:val="single" w:sz="24" w:space="0" w:color="auto"/>
          </w:divBdr>
          <w:divsChild>
            <w:div w:id="1087505817">
              <w:marLeft w:val="0"/>
              <w:marRight w:val="0"/>
              <w:marTop w:val="0"/>
              <w:marBottom w:val="0"/>
              <w:divBdr>
                <w:top w:val="none" w:sz="0" w:space="0" w:color="auto"/>
                <w:left w:val="none" w:sz="0" w:space="0" w:color="auto"/>
                <w:bottom w:val="none" w:sz="0" w:space="0" w:color="auto"/>
                <w:right w:val="none" w:sz="0" w:space="0" w:color="auto"/>
              </w:divBdr>
            </w:div>
          </w:divsChild>
        </w:div>
        <w:div w:id="2056999772">
          <w:marLeft w:val="0"/>
          <w:marRight w:val="0"/>
          <w:marTop w:val="0"/>
          <w:marBottom w:val="0"/>
          <w:divBdr>
            <w:top w:val="single" w:sz="24" w:space="0" w:color="auto"/>
            <w:left w:val="single" w:sz="24" w:space="0" w:color="auto"/>
            <w:bottom w:val="single" w:sz="24" w:space="0" w:color="auto"/>
            <w:right w:val="single" w:sz="24" w:space="0" w:color="auto"/>
          </w:divBdr>
          <w:divsChild>
            <w:div w:id="391198370">
              <w:marLeft w:val="0"/>
              <w:marRight w:val="0"/>
              <w:marTop w:val="0"/>
              <w:marBottom w:val="0"/>
              <w:divBdr>
                <w:top w:val="none" w:sz="0" w:space="0" w:color="auto"/>
                <w:left w:val="none" w:sz="0" w:space="0" w:color="auto"/>
                <w:bottom w:val="none" w:sz="0" w:space="0" w:color="auto"/>
                <w:right w:val="none" w:sz="0" w:space="0" w:color="auto"/>
              </w:divBdr>
            </w:div>
          </w:divsChild>
        </w:div>
        <w:div w:id="1753115372">
          <w:marLeft w:val="0"/>
          <w:marRight w:val="0"/>
          <w:marTop w:val="0"/>
          <w:marBottom w:val="0"/>
          <w:divBdr>
            <w:top w:val="none" w:sz="0" w:space="0" w:color="auto"/>
            <w:left w:val="none" w:sz="0" w:space="0" w:color="auto"/>
            <w:bottom w:val="none" w:sz="0" w:space="0" w:color="auto"/>
            <w:right w:val="none" w:sz="0" w:space="0" w:color="auto"/>
          </w:divBdr>
          <w:divsChild>
            <w:div w:id="384063934">
              <w:marLeft w:val="0"/>
              <w:marRight w:val="0"/>
              <w:marTop w:val="0"/>
              <w:marBottom w:val="0"/>
              <w:divBdr>
                <w:top w:val="none" w:sz="0" w:space="0" w:color="auto"/>
                <w:left w:val="none" w:sz="0" w:space="0" w:color="auto"/>
                <w:bottom w:val="none" w:sz="0" w:space="0" w:color="auto"/>
                <w:right w:val="none" w:sz="0" w:space="0" w:color="auto"/>
              </w:divBdr>
              <w:divsChild>
                <w:div w:id="443235192">
                  <w:marLeft w:val="0"/>
                  <w:marRight w:val="0"/>
                  <w:marTop w:val="0"/>
                  <w:marBottom w:val="0"/>
                  <w:divBdr>
                    <w:top w:val="none" w:sz="0" w:space="0" w:color="auto"/>
                    <w:left w:val="none" w:sz="0" w:space="0" w:color="auto"/>
                    <w:bottom w:val="none" w:sz="0" w:space="0" w:color="auto"/>
                    <w:right w:val="none" w:sz="0" w:space="0" w:color="auto"/>
                  </w:divBdr>
                  <w:divsChild>
                    <w:div w:id="88548135">
                      <w:marLeft w:val="0"/>
                      <w:marRight w:val="0"/>
                      <w:marTop w:val="0"/>
                      <w:marBottom w:val="0"/>
                      <w:divBdr>
                        <w:top w:val="none" w:sz="0" w:space="0" w:color="auto"/>
                        <w:left w:val="none" w:sz="0" w:space="0" w:color="auto"/>
                        <w:bottom w:val="none" w:sz="0" w:space="0" w:color="auto"/>
                        <w:right w:val="none" w:sz="0" w:space="0" w:color="auto"/>
                      </w:divBdr>
                      <w:divsChild>
                        <w:div w:id="1129468455">
                          <w:marLeft w:val="0"/>
                          <w:marRight w:val="0"/>
                          <w:marTop w:val="0"/>
                          <w:marBottom w:val="0"/>
                          <w:divBdr>
                            <w:top w:val="none" w:sz="0" w:space="0" w:color="auto"/>
                            <w:left w:val="none" w:sz="0" w:space="0" w:color="auto"/>
                            <w:bottom w:val="none" w:sz="0" w:space="0" w:color="auto"/>
                            <w:right w:val="none" w:sz="0" w:space="0" w:color="auto"/>
                          </w:divBdr>
                          <w:divsChild>
                            <w:div w:id="1418870496">
                              <w:marLeft w:val="0"/>
                              <w:marRight w:val="0"/>
                              <w:marTop w:val="0"/>
                              <w:marBottom w:val="0"/>
                              <w:divBdr>
                                <w:top w:val="none" w:sz="0" w:space="0" w:color="auto"/>
                                <w:left w:val="none" w:sz="0" w:space="0" w:color="auto"/>
                                <w:bottom w:val="none" w:sz="0" w:space="0" w:color="auto"/>
                                <w:right w:val="none" w:sz="0" w:space="0" w:color="auto"/>
                              </w:divBdr>
                            </w:div>
                            <w:div w:id="1217475059">
                              <w:marLeft w:val="0"/>
                              <w:marRight w:val="0"/>
                              <w:marTop w:val="0"/>
                              <w:marBottom w:val="0"/>
                              <w:divBdr>
                                <w:top w:val="none" w:sz="0" w:space="0" w:color="auto"/>
                                <w:left w:val="none" w:sz="0" w:space="0" w:color="auto"/>
                                <w:bottom w:val="none" w:sz="0" w:space="0" w:color="auto"/>
                                <w:right w:val="none" w:sz="0" w:space="0" w:color="auto"/>
                              </w:divBdr>
                            </w:div>
                          </w:divsChild>
                        </w:div>
                        <w:div w:id="111263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3362138">
      <w:bodyDiv w:val="1"/>
      <w:marLeft w:val="0"/>
      <w:marRight w:val="0"/>
      <w:marTop w:val="0"/>
      <w:marBottom w:val="0"/>
      <w:divBdr>
        <w:top w:val="none" w:sz="0" w:space="0" w:color="auto"/>
        <w:left w:val="none" w:sz="0" w:space="0" w:color="auto"/>
        <w:bottom w:val="none" w:sz="0" w:space="0" w:color="auto"/>
        <w:right w:val="none" w:sz="0" w:space="0" w:color="auto"/>
      </w:divBdr>
    </w:div>
    <w:div w:id="1861316989">
      <w:bodyDiv w:val="1"/>
      <w:marLeft w:val="0"/>
      <w:marRight w:val="0"/>
      <w:marTop w:val="0"/>
      <w:marBottom w:val="0"/>
      <w:divBdr>
        <w:top w:val="none" w:sz="0" w:space="0" w:color="auto"/>
        <w:left w:val="none" w:sz="0" w:space="0" w:color="auto"/>
        <w:bottom w:val="none" w:sz="0" w:space="0" w:color="auto"/>
        <w:right w:val="none" w:sz="0" w:space="0" w:color="auto"/>
      </w:divBdr>
      <w:divsChild>
        <w:div w:id="1392266585">
          <w:marLeft w:val="0"/>
          <w:marRight w:val="0"/>
          <w:marTop w:val="0"/>
          <w:marBottom w:val="0"/>
          <w:divBdr>
            <w:top w:val="none" w:sz="0" w:space="0" w:color="auto"/>
            <w:left w:val="none" w:sz="0" w:space="0" w:color="auto"/>
            <w:bottom w:val="none" w:sz="0" w:space="0" w:color="auto"/>
            <w:right w:val="none" w:sz="0" w:space="0" w:color="auto"/>
          </w:divBdr>
          <w:divsChild>
            <w:div w:id="2079817112">
              <w:marLeft w:val="0"/>
              <w:marRight w:val="0"/>
              <w:marTop w:val="0"/>
              <w:marBottom w:val="0"/>
              <w:divBdr>
                <w:top w:val="none" w:sz="0" w:space="0" w:color="auto"/>
                <w:left w:val="none" w:sz="0" w:space="0" w:color="auto"/>
                <w:bottom w:val="none" w:sz="0" w:space="0" w:color="auto"/>
                <w:right w:val="none" w:sz="0" w:space="0" w:color="auto"/>
              </w:divBdr>
              <w:divsChild>
                <w:div w:id="197741179">
                  <w:marLeft w:val="0"/>
                  <w:marRight w:val="0"/>
                  <w:marTop w:val="150"/>
                  <w:marBottom w:val="0"/>
                  <w:divBdr>
                    <w:top w:val="none" w:sz="0" w:space="0" w:color="auto"/>
                    <w:left w:val="none" w:sz="0" w:space="0" w:color="auto"/>
                    <w:bottom w:val="none" w:sz="0" w:space="0" w:color="auto"/>
                    <w:right w:val="none" w:sz="0" w:space="0" w:color="auto"/>
                  </w:divBdr>
                  <w:divsChild>
                    <w:div w:id="1565795417">
                      <w:marLeft w:val="0"/>
                      <w:marRight w:val="0"/>
                      <w:marTop w:val="0"/>
                      <w:marBottom w:val="0"/>
                      <w:divBdr>
                        <w:top w:val="none" w:sz="0" w:space="0" w:color="auto"/>
                        <w:left w:val="none" w:sz="0" w:space="0" w:color="auto"/>
                        <w:bottom w:val="none" w:sz="0" w:space="0" w:color="auto"/>
                        <w:right w:val="none" w:sz="0" w:space="0" w:color="auto"/>
                      </w:divBdr>
                      <w:divsChild>
                        <w:div w:id="1706636157">
                          <w:marLeft w:val="0"/>
                          <w:marRight w:val="0"/>
                          <w:marTop w:val="150"/>
                          <w:marBottom w:val="0"/>
                          <w:divBdr>
                            <w:top w:val="none" w:sz="0" w:space="0" w:color="auto"/>
                            <w:left w:val="none" w:sz="0" w:space="0" w:color="auto"/>
                            <w:bottom w:val="none" w:sz="0" w:space="0" w:color="auto"/>
                            <w:right w:val="none" w:sz="0" w:space="0" w:color="auto"/>
                          </w:divBdr>
                          <w:divsChild>
                            <w:div w:id="1312099248">
                              <w:marLeft w:val="0"/>
                              <w:marRight w:val="0"/>
                              <w:marTop w:val="0"/>
                              <w:marBottom w:val="0"/>
                              <w:divBdr>
                                <w:top w:val="none" w:sz="0" w:space="0" w:color="auto"/>
                                <w:left w:val="none" w:sz="0" w:space="0" w:color="auto"/>
                                <w:bottom w:val="none" w:sz="0" w:space="0" w:color="auto"/>
                                <w:right w:val="none" w:sz="0" w:space="0" w:color="auto"/>
                              </w:divBdr>
                              <w:divsChild>
                                <w:div w:id="1333407796">
                                  <w:marLeft w:val="0"/>
                                  <w:marRight w:val="0"/>
                                  <w:marTop w:val="0"/>
                                  <w:marBottom w:val="0"/>
                                  <w:divBdr>
                                    <w:top w:val="none" w:sz="0" w:space="0" w:color="auto"/>
                                    <w:left w:val="none" w:sz="0" w:space="0" w:color="auto"/>
                                    <w:bottom w:val="none" w:sz="0" w:space="0" w:color="auto"/>
                                    <w:right w:val="none" w:sz="0" w:space="0" w:color="auto"/>
                                  </w:divBdr>
                                  <w:divsChild>
                                    <w:div w:id="706415158">
                                      <w:marLeft w:val="0"/>
                                      <w:marRight w:val="0"/>
                                      <w:marTop w:val="0"/>
                                      <w:marBottom w:val="0"/>
                                      <w:divBdr>
                                        <w:top w:val="none" w:sz="0" w:space="0" w:color="auto"/>
                                        <w:left w:val="none" w:sz="0" w:space="0" w:color="auto"/>
                                        <w:bottom w:val="none" w:sz="0" w:space="0" w:color="auto"/>
                                        <w:right w:val="none" w:sz="0" w:space="0" w:color="auto"/>
                                      </w:divBdr>
                                      <w:divsChild>
                                        <w:div w:id="1357124133">
                                          <w:marLeft w:val="0"/>
                                          <w:marRight w:val="0"/>
                                          <w:marTop w:val="0"/>
                                          <w:marBottom w:val="0"/>
                                          <w:divBdr>
                                            <w:top w:val="none" w:sz="0" w:space="0" w:color="auto"/>
                                            <w:left w:val="none" w:sz="0" w:space="0" w:color="auto"/>
                                            <w:bottom w:val="none" w:sz="0" w:space="0" w:color="auto"/>
                                            <w:right w:val="none" w:sz="0" w:space="0" w:color="auto"/>
                                          </w:divBdr>
                                          <w:divsChild>
                                            <w:div w:id="892810099">
                                              <w:marLeft w:val="0"/>
                                              <w:marRight w:val="0"/>
                                              <w:marTop w:val="0"/>
                                              <w:marBottom w:val="150"/>
                                              <w:divBdr>
                                                <w:top w:val="none" w:sz="0" w:space="0" w:color="auto"/>
                                                <w:left w:val="none" w:sz="0" w:space="0" w:color="auto"/>
                                                <w:bottom w:val="none" w:sz="0" w:space="0" w:color="auto"/>
                                                <w:right w:val="none" w:sz="0" w:space="0" w:color="auto"/>
                                              </w:divBdr>
                                            </w:div>
                                            <w:div w:id="641275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wl-lexikon.de/wiki/umlaufintensitaet/" TargetMode="External"/><Relationship Id="rId21" Type="http://schemas.openxmlformats.org/officeDocument/2006/relationships/hyperlink" Target="https://www.bwl-lexikon.de/wiki/bilanzkennzahlen/" TargetMode="External"/><Relationship Id="rId42" Type="http://schemas.openxmlformats.org/officeDocument/2006/relationships/hyperlink" Target="https://studyflix.de/wirtschaft/eigenkapitalrentabilitat-1298" TargetMode="External"/><Relationship Id="rId47" Type="http://schemas.openxmlformats.org/officeDocument/2006/relationships/image" Target="media/image4.png"/><Relationship Id="rId63" Type="http://schemas.openxmlformats.org/officeDocument/2006/relationships/image" Target="media/image19.png"/><Relationship Id="rId68" Type="http://schemas.openxmlformats.org/officeDocument/2006/relationships/image" Target="media/image23.png"/><Relationship Id="rId84" Type="http://schemas.openxmlformats.org/officeDocument/2006/relationships/hyperlink" Target="https://www.rechnungswesen-verstehen.de/jahresabschluss/gesamtkapitalrendite.php" TargetMode="External"/><Relationship Id="rId89" Type="http://schemas.openxmlformats.org/officeDocument/2006/relationships/hyperlink" Target="https://www.rechnungswesen-verstehen.de/jahresabschluss/umschlaghaeufigkeit-forderungen.php" TargetMode="External"/><Relationship Id="rId112" Type="http://schemas.openxmlformats.org/officeDocument/2006/relationships/hyperlink" Target="https://aktienrebell.de/10-simple-anlagestrategien/" TargetMode="External"/><Relationship Id="rId16" Type="http://schemas.openxmlformats.org/officeDocument/2006/relationships/hyperlink" Target="https://www.bwl-lexikon.de/wiki/bilanzkennzahlen/" TargetMode="External"/><Relationship Id="rId107" Type="http://schemas.openxmlformats.org/officeDocument/2006/relationships/hyperlink" Target="https://finanzwissen.de/aktien/fundamentalanalyse/kennzahlen/kcv/" TargetMode="External"/><Relationship Id="rId11" Type="http://schemas.openxmlformats.org/officeDocument/2006/relationships/hyperlink" Target="https://www.bwl-lexikon.de/wiki/kategorie/kennzahlen/" TargetMode="External"/><Relationship Id="rId32" Type="http://schemas.openxmlformats.org/officeDocument/2006/relationships/hyperlink" Target="https://agicap.com/de/produkte/liquiditaetsmanagement/" TargetMode="External"/><Relationship Id="rId37" Type="http://schemas.openxmlformats.org/officeDocument/2006/relationships/hyperlink" Target="https://studyflix.de/wirtschaft/kennzahlen-1994" TargetMode="External"/><Relationship Id="rId53" Type="http://schemas.openxmlformats.org/officeDocument/2006/relationships/image" Target="media/image10.png"/><Relationship Id="rId58" Type="http://schemas.openxmlformats.org/officeDocument/2006/relationships/image" Target="media/image15.png"/><Relationship Id="rId74" Type="http://schemas.openxmlformats.org/officeDocument/2006/relationships/hyperlink" Target="https://www.rechnungswesen-verstehen.de/jahresabschluss/liquiditaet-zweiten-grades.php" TargetMode="External"/><Relationship Id="rId79" Type="http://schemas.openxmlformats.org/officeDocument/2006/relationships/hyperlink" Target="https://www.rechnungswesen-verstehen.de/jahresabschluss/kapitalaufbau.php" TargetMode="External"/><Relationship Id="rId102" Type="http://schemas.openxmlformats.org/officeDocument/2006/relationships/hyperlink" Target="https://finanzwissen.de/aktien/fundamentalanalyse/kennzahlen/ebitda/" TargetMode="External"/><Relationship Id="rId5" Type="http://schemas.openxmlformats.org/officeDocument/2006/relationships/hyperlink" Target="https://welt-der-bwl.de/Kennzahlen-der-GuV" TargetMode="External"/><Relationship Id="rId90" Type="http://schemas.openxmlformats.org/officeDocument/2006/relationships/hyperlink" Target="https://www.rechnungswesen-verstehen.de/jahresabschluss/umschlaghaeufigkeit-gesamtkapital.php" TargetMode="External"/><Relationship Id="rId95" Type="http://schemas.openxmlformats.org/officeDocument/2006/relationships/hyperlink" Target="https://www.rechnungswesen-verstehen.de/jahresabschluss/leverage-effekt-positiv--negativ.php" TargetMode="External"/><Relationship Id="rId22" Type="http://schemas.openxmlformats.org/officeDocument/2006/relationships/hyperlink" Target="https://www.bwl-lexikon.de/wiki/bilanzkennzahlen/" TargetMode="External"/><Relationship Id="rId27" Type="http://schemas.openxmlformats.org/officeDocument/2006/relationships/hyperlink" Target="https://www.bwl-lexikon.de/wiki/eigenkapitalquote/" TargetMode="External"/><Relationship Id="rId43" Type="http://schemas.openxmlformats.org/officeDocument/2006/relationships/hyperlink" Target="https://studyflix.de/wirtschaft/fremdkapitalrentabilitat-1299" TargetMode="External"/><Relationship Id="rId48" Type="http://schemas.openxmlformats.org/officeDocument/2006/relationships/image" Target="media/image5.png"/><Relationship Id="rId64" Type="http://schemas.openxmlformats.org/officeDocument/2006/relationships/image" Target="media/image20.png"/><Relationship Id="rId69" Type="http://schemas.openxmlformats.org/officeDocument/2006/relationships/image" Target="media/image24.png"/><Relationship Id="rId113" Type="http://schemas.openxmlformats.org/officeDocument/2006/relationships/hyperlink" Target="http://www.finanzen.net/aktien/Amazon-Aktie" TargetMode="External"/><Relationship Id="rId80" Type="http://schemas.openxmlformats.org/officeDocument/2006/relationships/hyperlink" Target="https://www.rechnungswesen-verstehen.de/jahresabschluss/verschuldungsgrad.php" TargetMode="External"/><Relationship Id="rId85" Type="http://schemas.openxmlformats.org/officeDocument/2006/relationships/hyperlink" Target="https://www.rechnungswesen-verstehen.de/jahresabschluss/return-on-investment.php" TargetMode="External"/><Relationship Id="rId12" Type="http://schemas.openxmlformats.org/officeDocument/2006/relationships/hyperlink" Target="https://www.bwl-lexikon.de/wiki/unternehmen-betrieb/" TargetMode="External"/><Relationship Id="rId17" Type="http://schemas.openxmlformats.org/officeDocument/2006/relationships/hyperlink" Target="https://www.bwl-lexikon.de/wiki/bilanzkennzahlen/" TargetMode="External"/><Relationship Id="rId33" Type="http://schemas.openxmlformats.org/officeDocument/2006/relationships/hyperlink" Target="https://agicap.com/de/artikel/liquiditaetsmanagement/" TargetMode="External"/><Relationship Id="rId38" Type="http://schemas.openxmlformats.org/officeDocument/2006/relationships/hyperlink" Target="https://studyflix.de/wirtschaft/wirtschaftlichkeit-1712" TargetMode="External"/><Relationship Id="rId59" Type="http://schemas.openxmlformats.org/officeDocument/2006/relationships/image" Target="media/image16.png"/><Relationship Id="rId103" Type="http://schemas.openxmlformats.org/officeDocument/2006/relationships/hyperlink" Target="https://finanzwissen.de/aktien/fundamentalanalyse/gewinn-und-verlustrechnung/" TargetMode="External"/><Relationship Id="rId108" Type="http://schemas.openxmlformats.org/officeDocument/2006/relationships/hyperlink" Target="https://finanzwissen.de/aktien/fundamentalanalyse/kennzahlen/peg-ratio/" TargetMode="External"/><Relationship Id="rId54" Type="http://schemas.openxmlformats.org/officeDocument/2006/relationships/image" Target="media/image11.png"/><Relationship Id="rId70" Type="http://schemas.openxmlformats.org/officeDocument/2006/relationships/hyperlink" Target="https://www.rechnungswesen-verstehen.de/jahresabschluss/konstitution.php" TargetMode="External"/><Relationship Id="rId75" Type="http://schemas.openxmlformats.org/officeDocument/2006/relationships/hyperlink" Target="https://www.rechnungswesen-verstehen.de/jahresabschluss/liquiditaet-dritten-grades.php" TargetMode="External"/><Relationship Id="rId91" Type="http://schemas.openxmlformats.org/officeDocument/2006/relationships/hyperlink" Target="https://www.rechnungswesen-verstehen.de/jahresabschluss/cash-flow.php" TargetMode="External"/><Relationship Id="rId96" Type="http://schemas.openxmlformats.org/officeDocument/2006/relationships/hyperlink" Target="https://finanzwissen.de/aktien/definition/" TargetMode="External"/><Relationship Id="rId1" Type="http://schemas.openxmlformats.org/officeDocument/2006/relationships/numbering" Target="numbering.xml"/><Relationship Id="rId6" Type="http://schemas.openxmlformats.org/officeDocument/2006/relationships/hyperlink" Target="https://welt-der-bwl.de/Rentabilit%C3%A4t" TargetMode="External"/><Relationship Id="rId15" Type="http://schemas.openxmlformats.org/officeDocument/2006/relationships/hyperlink" Target="https://www.bwl-lexikon.de/wiki/bilanzkennzahlen/" TargetMode="External"/><Relationship Id="rId23" Type="http://schemas.openxmlformats.org/officeDocument/2006/relationships/hyperlink" Target="https://www.bwl-lexikon.de/wiki/bilanz/" TargetMode="External"/><Relationship Id="rId28" Type="http://schemas.openxmlformats.org/officeDocument/2006/relationships/hyperlink" Target="https://www.bwl-lexikon.de/wiki/fremdkapitalquote/" TargetMode="External"/><Relationship Id="rId36" Type="http://schemas.openxmlformats.org/officeDocument/2006/relationships/hyperlink" Target="https://studyflix.de/wirtschaft/bilanzkennzahlen-2018" TargetMode="External"/><Relationship Id="rId49" Type="http://schemas.openxmlformats.org/officeDocument/2006/relationships/image" Target="media/image6.png"/><Relationship Id="rId57" Type="http://schemas.openxmlformats.org/officeDocument/2006/relationships/image" Target="media/image14.png"/><Relationship Id="rId106" Type="http://schemas.openxmlformats.org/officeDocument/2006/relationships/hyperlink" Target="https://finanzwissen.de/aktien/fundamentalanalyse/kennzahlen/kbv/" TargetMode="External"/><Relationship Id="rId114" Type="http://schemas.openxmlformats.org/officeDocument/2006/relationships/hyperlink" Target="http://www.finanzen.net/aktien/Tesla-Aktie" TargetMode="External"/><Relationship Id="rId10" Type="http://schemas.openxmlformats.org/officeDocument/2006/relationships/hyperlink" Target="https://www.gevestor.de/finanzwissen/oekonomie/betriebswirtschaft/betriebsergebnis-oder-gewinn-unterscheiden-und-interpretieren-konnen-656083.html" TargetMode="External"/><Relationship Id="rId31" Type="http://schemas.openxmlformats.org/officeDocument/2006/relationships/image" Target="media/image2.png"/><Relationship Id="rId44" Type="http://schemas.openxmlformats.org/officeDocument/2006/relationships/hyperlink" Target="https://studyflix.de/wirtschaft/gesamtkapitalrentabilitat-1297" TargetMode="External"/><Relationship Id="rId52" Type="http://schemas.openxmlformats.org/officeDocument/2006/relationships/image" Target="media/image9.png"/><Relationship Id="rId60" Type="http://schemas.openxmlformats.org/officeDocument/2006/relationships/hyperlink" Target="https://studyflix.de/wirtschaft/goldene-bilanzregel-1631" TargetMode="External"/><Relationship Id="rId65" Type="http://schemas.openxmlformats.org/officeDocument/2006/relationships/image" Target="media/image21.png"/><Relationship Id="rId73" Type="http://schemas.openxmlformats.org/officeDocument/2006/relationships/hyperlink" Target="https://www.rechnungswesen-verstehen.de/jahresabschluss/liquiditaet-ersten-grades.php" TargetMode="External"/><Relationship Id="rId78" Type="http://schemas.openxmlformats.org/officeDocument/2006/relationships/hyperlink" Target="https://www.rechnungswesen-verstehen.de/jahresabschluss/fremdkapitalquote.php" TargetMode="External"/><Relationship Id="rId81" Type="http://schemas.openxmlformats.org/officeDocument/2006/relationships/hyperlink" Target="https://www.rechnungswesen-verstehen.de/jahresabschluss/deckungsgrad-1.php" TargetMode="External"/><Relationship Id="rId86" Type="http://schemas.openxmlformats.org/officeDocument/2006/relationships/hyperlink" Target="https://www.rechnungswesen-verstehen.de/jahresabschluss/umsatzrentabilitaet.php" TargetMode="External"/><Relationship Id="rId94" Type="http://schemas.openxmlformats.org/officeDocument/2006/relationships/hyperlink" Target="https://www.rechnungswesen-verstehen.de/jahresabschluss/leverage-effekt.php" TargetMode="External"/><Relationship Id="rId99" Type="http://schemas.openxmlformats.org/officeDocument/2006/relationships/hyperlink" Target="https://finanzwissen.de/aktien/fundamentalanalyse/kennzahlen/eigenkapitalrentabilitaet/" TargetMode="External"/><Relationship Id="rId101" Type="http://schemas.openxmlformats.org/officeDocument/2006/relationships/hyperlink" Target="https://finanzwissen.de/aktien/fundamentalanalyse/kennzahlen/ebit/" TargetMode="External"/><Relationship Id="rId4" Type="http://schemas.openxmlformats.org/officeDocument/2006/relationships/webSettings" Target="webSettings.xml"/><Relationship Id="rId9" Type="http://schemas.openxmlformats.org/officeDocument/2006/relationships/hyperlink" Target="https://www.gevestor.de/finanzwissen/oekonomie/betriebswirtschaft/gewinn-und-bilanz-was-sie-aussagen-und-wie-sie-zusammenhangen-646268.html" TargetMode="External"/><Relationship Id="rId13" Type="http://schemas.openxmlformats.org/officeDocument/2006/relationships/hyperlink" Target="https://www.bwl-lexikon.de/wiki/bilanzkennzahlen/" TargetMode="External"/><Relationship Id="rId18" Type="http://schemas.openxmlformats.org/officeDocument/2006/relationships/hyperlink" Target="https://www.bwl-lexikon.de/wiki/bilanzkennzahlen/" TargetMode="External"/><Relationship Id="rId39" Type="http://schemas.openxmlformats.org/officeDocument/2006/relationships/hyperlink" Target="https://studyflix.de/wirtschaft/thema/kennzahlen-der-bwl-79" TargetMode="External"/><Relationship Id="rId109" Type="http://schemas.openxmlformats.org/officeDocument/2006/relationships/hyperlink" Target="https://finanzwissen.de/aktien/fundamentalanalyse/kennzahlen/cashflow/" TargetMode="External"/><Relationship Id="rId34" Type="http://schemas.openxmlformats.org/officeDocument/2006/relationships/hyperlink" Target="https://agicap.com/de/artikel/fremdkapitalquote/" TargetMode="External"/><Relationship Id="rId50" Type="http://schemas.openxmlformats.org/officeDocument/2006/relationships/image" Target="media/image7.png"/><Relationship Id="rId55" Type="http://schemas.openxmlformats.org/officeDocument/2006/relationships/image" Target="media/image12.png"/><Relationship Id="rId76" Type="http://schemas.openxmlformats.org/officeDocument/2006/relationships/hyperlink" Target="https://www.rechnungswesen-verstehen.de/jahresabschluss/nettoumlaufvermoegen.php" TargetMode="External"/><Relationship Id="rId97" Type="http://schemas.openxmlformats.org/officeDocument/2006/relationships/hyperlink" Target="https://finanzwissen.de/aktien/fundamentalanalyse/" TargetMode="External"/><Relationship Id="rId104" Type="http://schemas.openxmlformats.org/officeDocument/2006/relationships/hyperlink" Target="https://finanzwissen.de/aktien/fundamentalanalyse/kennzahlen/kgv/" TargetMode="External"/><Relationship Id="rId7" Type="http://schemas.openxmlformats.org/officeDocument/2006/relationships/image" Target="media/image1.gif"/><Relationship Id="rId71" Type="http://schemas.openxmlformats.org/officeDocument/2006/relationships/hyperlink" Target="https://www.rechnungswesen-verstehen.de/jahresabschluss/anlageintensitaet-anlagequote.php" TargetMode="External"/><Relationship Id="rId92" Type="http://schemas.openxmlformats.org/officeDocument/2006/relationships/hyperlink" Target="https://www.rechnungswesen-verstehen.de/jahresabschluss/abschreibungsquote.php" TargetMode="External"/><Relationship Id="rId2" Type="http://schemas.openxmlformats.org/officeDocument/2006/relationships/styles" Target="styles.xml"/><Relationship Id="rId29" Type="http://schemas.openxmlformats.org/officeDocument/2006/relationships/hyperlink" Target="https://www.bwl-lexikon.de/wiki/liquiditaet/" TargetMode="External"/><Relationship Id="rId24" Type="http://schemas.openxmlformats.org/officeDocument/2006/relationships/hyperlink" Target="https://www.bwl-lexikon.de/wiki/kapital/" TargetMode="External"/><Relationship Id="rId40" Type="http://schemas.openxmlformats.org/officeDocument/2006/relationships/hyperlink" Target="https://studyflix.de/wirtschaft/thema/kennzahlen-der-bwl-79" TargetMode="External"/><Relationship Id="rId45" Type="http://schemas.openxmlformats.org/officeDocument/2006/relationships/hyperlink" Target="https://studyflix.de/wirtschaft/umsatzrentabilitat-1463" TargetMode="External"/><Relationship Id="rId66" Type="http://schemas.openxmlformats.org/officeDocument/2006/relationships/image" Target="media/image22.png"/><Relationship Id="rId87" Type="http://schemas.openxmlformats.org/officeDocument/2006/relationships/hyperlink" Target="https://www.rechnungswesen-verstehen.de/jahresabschluss/wirtschaftlichkeit.php" TargetMode="External"/><Relationship Id="rId110" Type="http://schemas.openxmlformats.org/officeDocument/2006/relationships/hyperlink" Target="https://finanzwissen.de/aktien/fundamentalanalyse/kennzahlen/eigenkapitalquote/" TargetMode="External"/><Relationship Id="rId115" Type="http://schemas.openxmlformats.org/officeDocument/2006/relationships/fontTable" Target="fontTable.xml"/><Relationship Id="rId61" Type="http://schemas.openxmlformats.org/officeDocument/2006/relationships/image" Target="media/image17.png"/><Relationship Id="rId82" Type="http://schemas.openxmlformats.org/officeDocument/2006/relationships/hyperlink" Target="https://www.rechnungswesen-verstehen.de/jahresabschluss/deckungsgrad-2.php" TargetMode="External"/><Relationship Id="rId19" Type="http://schemas.openxmlformats.org/officeDocument/2006/relationships/hyperlink" Target="https://www.bwl-lexikon.de/wiki/bilanzkennzahlen/" TargetMode="External"/><Relationship Id="rId14" Type="http://schemas.openxmlformats.org/officeDocument/2006/relationships/hyperlink" Target="https://www.bwl-lexikon.de/wiki/bilanzkennzahlen/" TargetMode="External"/><Relationship Id="rId30" Type="http://schemas.openxmlformats.org/officeDocument/2006/relationships/hyperlink" Target="https://www.bwl-lexikon.de/app/uploads/bilanzkennzahlen-1.png" TargetMode="External"/><Relationship Id="rId35" Type="http://schemas.openxmlformats.org/officeDocument/2006/relationships/hyperlink" Target="https://agicap.com/de/funktionen/liquiditatskontrolle/" TargetMode="External"/><Relationship Id="rId56" Type="http://schemas.openxmlformats.org/officeDocument/2006/relationships/image" Target="media/image13.png"/><Relationship Id="rId77" Type="http://schemas.openxmlformats.org/officeDocument/2006/relationships/hyperlink" Target="https://www.rechnungswesen-verstehen.de/jahresabschluss/eigenkapitalquote.php" TargetMode="External"/><Relationship Id="rId100" Type="http://schemas.openxmlformats.org/officeDocument/2006/relationships/hyperlink" Target="https://finanzwissen.de/aktien/fundamentalanalyse/kennzahlen/umsatzrentabilitaet/" TargetMode="External"/><Relationship Id="rId105" Type="http://schemas.openxmlformats.org/officeDocument/2006/relationships/hyperlink" Target="https://finanzwissen.de/aktien/fundamentalanalyse/kennzahlen/kuv/" TargetMode="External"/><Relationship Id="rId8" Type="http://schemas.openxmlformats.org/officeDocument/2006/relationships/hyperlink" Target="https://www.gevestor.de/finanzwissen/oekonomie/betriebswirtschaft/bilanzkennzahlen-648756.html" TargetMode="External"/><Relationship Id="rId51" Type="http://schemas.openxmlformats.org/officeDocument/2006/relationships/image" Target="media/image8.png"/><Relationship Id="rId72" Type="http://schemas.openxmlformats.org/officeDocument/2006/relationships/hyperlink" Target="https://www.rechnungswesen-verstehen.de/jahresabschluss/umlageintensitaet-umlaufquote.php" TargetMode="External"/><Relationship Id="rId93" Type="http://schemas.openxmlformats.org/officeDocument/2006/relationships/hyperlink" Target="https://www.rechnungswesen-verstehen.de/jahresabschluss/dynamischer-verschuldungsgrad.php" TargetMode="External"/><Relationship Id="rId98" Type="http://schemas.openxmlformats.org/officeDocument/2006/relationships/hyperlink" Target="https://finanzwissen.de/datenschutz/" TargetMode="External"/><Relationship Id="rId3" Type="http://schemas.openxmlformats.org/officeDocument/2006/relationships/settings" Target="settings.xml"/><Relationship Id="rId25" Type="http://schemas.openxmlformats.org/officeDocument/2006/relationships/hyperlink" Target="https://www.bwl-lexikon.de/wiki/anlagenintensitaet/" TargetMode="External"/><Relationship Id="rId46" Type="http://schemas.openxmlformats.org/officeDocument/2006/relationships/image" Target="media/image3.png"/><Relationship Id="rId67" Type="http://schemas.openxmlformats.org/officeDocument/2006/relationships/hyperlink" Target="https://studyflix.de/wirtschaft/liquiditat-1870" TargetMode="External"/><Relationship Id="rId116" Type="http://schemas.openxmlformats.org/officeDocument/2006/relationships/theme" Target="theme/theme1.xml"/><Relationship Id="rId20" Type="http://schemas.openxmlformats.org/officeDocument/2006/relationships/hyperlink" Target="https://www.bwl-lexikon.de/wiki/bilanzkennzahlen/" TargetMode="External"/><Relationship Id="rId41" Type="http://schemas.openxmlformats.org/officeDocument/2006/relationships/hyperlink" Target="https://studyflix.de/wirtschaft/thema/kennzahlen-der-bwl-79" TargetMode="External"/><Relationship Id="rId62" Type="http://schemas.openxmlformats.org/officeDocument/2006/relationships/image" Target="media/image18.png"/><Relationship Id="rId83" Type="http://schemas.openxmlformats.org/officeDocument/2006/relationships/hyperlink" Target="https://www.rechnungswesen-verstehen.de/jahresabschluss/eigenkapitalrendite.php" TargetMode="External"/><Relationship Id="rId88" Type="http://schemas.openxmlformats.org/officeDocument/2006/relationships/hyperlink" Target="https://www.rechnungswesen-verstehen.de/jahresabschluss/umschlaghaeufigkeit-eigenkapital.php" TargetMode="External"/><Relationship Id="rId111" Type="http://schemas.openxmlformats.org/officeDocument/2006/relationships/hyperlink" Target="https://aktienrebell.de/aktienanalyse-leicht-gemach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109</Pages>
  <Words>31512</Words>
  <Characters>198531</Characters>
  <Application>Microsoft Office Word</Application>
  <DocSecurity>0</DocSecurity>
  <Lines>1654</Lines>
  <Paragraphs>459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229584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Hermann, Michel</dc:creator>
  <cp:keywords/>
  <dc:description/>
  <cp:lastModifiedBy>Engel, Mathias</cp:lastModifiedBy>
  <cp:revision>2</cp:revision>
  <dcterms:created xsi:type="dcterms:W3CDTF">2026-04-07T08:54:00Z</dcterms:created>
  <dcterms:modified xsi:type="dcterms:W3CDTF">2026-04-07T08:54:00Z</dcterms:modified>
</cp:coreProperties>
</file>