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Relmiad AG - Jahresbericht 2024/25</w:t>
      </w:r>
    </w:p>
    <w:p>
      <w:pPr>
        <w:pStyle w:val="Heading1"/>
      </w:pPr>
      <w:r>
        <w:t>Unternehmensprofil &amp; Geschäftstätigkeit</w:t>
      </w:r>
    </w:p>
    <w:p>
      <w:r>
        <w:t>Leading manufacturer of industrial measurement technology with product portfolio: KTS-4000, PFS-2500, VTM-1200, TFD-800, HSM-900.</w:t>
        <w:br/>
        <w:t>Locations: Stuttgart (HQ-STU), Erfurt (PWE), Munich (VOM).</w:t>
      </w:r>
    </w:p>
    <w:p>
      <w:pPr>
        <w:pStyle w:val="Heading1"/>
      </w:pPr>
      <w:r>
        <w:t>Kennzahlen 2024/25</w:t>
      </w:r>
    </w:p>
    <w:p>
      <w:r>
        <w:t>Gesamtumsatz: 260 Mio. EUR (Steigerung um 8,3%)</w:t>
        <w:br/>
        <w:t>Mitarbeiterzahl: 280 (Wachstum von 5 MA)</w:t>
        <w:br/>
        <w:t>EBITDA-Marge: 12,8%</w:t>
        <w:br/>
        <w:t>F&amp;E-Quote: 8,5%</w:t>
      </w:r>
    </w:p>
    <w:p>
      <w:pPr>
        <w:pStyle w:val="Heading1"/>
      </w:pPr>
      <w:r>
        <w:t>Standort-Performance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Standort</w:t>
            </w:r>
          </w:p>
        </w:tc>
        <w:tc>
          <w:tcPr>
            <w:tcW w:type="dxa" w:w="2160"/>
          </w:tcPr>
          <w:p>
            <w:r>
              <w:t>Umsatz 2024</w:t>
            </w:r>
          </w:p>
        </w:tc>
        <w:tc>
          <w:tcPr>
            <w:tcW w:type="dxa" w:w="2160"/>
          </w:tcPr>
          <w:p>
            <w:r>
              <w:t>Umsatz 2025 (proj.)</w:t>
            </w:r>
          </w:p>
        </w:tc>
        <w:tc>
          <w:tcPr>
            <w:tcW w:type="dxa" w:w="2160"/>
          </w:tcPr>
          <w:p>
            <w:r>
              <w:t>Wachstum</w:t>
            </w:r>
          </w:p>
        </w:tc>
      </w:tr>
      <w:tr>
        <w:tc>
          <w:tcPr>
            <w:tcW w:type="dxa" w:w="2160"/>
          </w:tcPr>
          <w:p>
            <w:r>
              <w:t>HQ-STU Stuttgart</w:t>
            </w:r>
          </w:p>
        </w:tc>
        <w:tc>
          <w:tcPr>
            <w:tcW w:type="dxa" w:w="2160"/>
          </w:tcPr>
          <w:p>
            <w:r>
              <w:t>140 Mio. EUR</w:t>
            </w:r>
          </w:p>
        </w:tc>
        <w:tc>
          <w:tcPr>
            <w:tcW w:type="dxa" w:w="2160"/>
          </w:tcPr>
          <w:p>
            <w:r>
              <w:t>150 Mio. EUR</w:t>
            </w:r>
          </w:p>
        </w:tc>
        <w:tc>
          <w:tcPr>
            <w:tcW w:type="dxa" w:w="2160"/>
          </w:tcPr>
          <w:p>
            <w:r>
              <w:t>+7,1%</w:t>
            </w:r>
          </w:p>
        </w:tc>
      </w:tr>
      <w:tr>
        <w:tc>
          <w:tcPr>
            <w:tcW w:type="dxa" w:w="2160"/>
          </w:tcPr>
          <w:p>
            <w:r>
              <w:t>PWE Erfurt</w:t>
            </w:r>
          </w:p>
        </w:tc>
        <w:tc>
          <w:tcPr>
            <w:tcW w:type="dxa" w:w="2160"/>
          </w:tcPr>
          <w:p>
            <w:r>
              <w:t>70 Mio. EUR</w:t>
            </w:r>
          </w:p>
        </w:tc>
        <w:tc>
          <w:tcPr>
            <w:tcW w:type="dxa" w:w="2160"/>
          </w:tcPr>
          <w:p>
            <w:r>
              <w:t>75 Mio. EUR</w:t>
            </w:r>
          </w:p>
        </w:tc>
        <w:tc>
          <w:tcPr>
            <w:tcW w:type="dxa" w:w="2160"/>
          </w:tcPr>
          <w:p>
            <w:r>
              <w:t>+7,1%</w:t>
            </w:r>
          </w:p>
        </w:tc>
      </w:tr>
      <w:tr>
        <w:tc>
          <w:tcPr>
            <w:tcW w:type="dxa" w:w="2160"/>
          </w:tcPr>
          <w:p>
            <w:r>
              <w:t>VOM München</w:t>
            </w:r>
          </w:p>
        </w:tc>
        <w:tc>
          <w:tcPr>
            <w:tcW w:type="dxa" w:w="2160"/>
          </w:tcPr>
          <w:p>
            <w:r>
              <w:t>50 Mio. EUR</w:t>
            </w:r>
          </w:p>
        </w:tc>
        <w:tc>
          <w:tcPr>
            <w:tcW w:type="dxa" w:w="2160"/>
          </w:tcPr>
          <w:p>
            <w:r>
              <w:t>55 Mio. EUR</w:t>
            </w:r>
          </w:p>
        </w:tc>
        <w:tc>
          <w:tcPr>
            <w:tcW w:type="dxa" w:w="2160"/>
          </w:tcPr>
          <w:p>
            <w:r>
              <w:t>+10,0%</w:t>
            </w:r>
          </w:p>
        </w:tc>
      </w:tr>
    </w:tbl>
    <w:p>
      <w:pPr>
        <w:pStyle w:val="Heading2"/>
      </w:pPr>
      <w:r>
        <w:t>Diagramm: Umsatz nach Standorten 2024 und 2025 (proj.)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b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