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-137784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13 A 17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Conhecimento do alfabeto e ordem alfabética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EF01LP10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Aplicação de atividade impressa para completar o alfabeto em duas etapas (sequência incompleta e lacunas vazias) para evitar cópia. Identificação de letras iniciais de figuras.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Diagnóstico do domínio do código escrito e reconhecimento de grafemas.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1455"/>
        <w:gridCol w:w="4035"/>
        <w:tblGridChange w:id="0">
          <w:tblGrid>
            <w:gridCol w:w="1665"/>
            <w:gridCol w:w="1815"/>
            <w:gridCol w:w="1545"/>
            <w:gridCol w:w="3540"/>
            <w:gridCol w:w="2250"/>
            <w:gridCol w:w="145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Língua Portuguesa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 do sistema alfabético / Estágios de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EF01LP02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Utilização de fichas estruturadas (Pirâmide). O aluno deve identificar a imagem, escrever a palavra, separar em sílabas e depois letra por letra.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do nível de escrita (Sonda): Pré-silábico, Silábico ou Alfabético.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t xml:space="preserve">Língua Portuguesa</w:t>
              <w:br w:type="textWrapping"/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Decodificação / Fluência de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EF12LP01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Leitura individual de cards (letra/palavra/frase) e pequenos textos narrativos (A Barata, O Boi). O professor registra o tipo de leitura (silabada ou fluida).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da fluência, ritmo e compreensão de pequenos textos.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re/qq8ts/CdbnJHzsiVdt3IeiA==">CgMxLjA4AHIhMWRJLWMxR2VOX3VwanZWWGI3bkJjNF9TNGVTRXd5aUtf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