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 18 à 22 de Maio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Reconstrução das condições de produção e recepção. Gêneros textuais do cotidiano (Bilhete e Convite). Função social e finalidade.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EF15LP03, EF01LP19, EF02LP12.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Correio do Lino, Apresentação e cópia de dois textos do Príncipe Lino (um bilhete e um convite). Oficina de Interpretação: montagem de tabela no quadro focada na finalidade (avisar vs. chamar para evento). Escrita de um bilhete real para um colega.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Formativa e contínua. Observar a capacidade de localizar dados explícitos na tabela e distinguir o ato de "avisar" do ato de "convidar".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92"/>
          <w:szCs w:val="9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Compreensão em leitura. Gênero Instrucional . Função social e finalidade.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EF15LP03, EF02LP12.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Cozinha do Lino, Leitura guiada da "Receita do Bolo Real". Identificação das partes (Título, Ingredientes, Preparo). Caça às Informações: Questionário prático focado em circular dados específicos (ex: números e quantidades). Produção: Criação estruturada da "Receita da Amizade".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Formativa e contínua. Observar a identificação das 3 partes da receita e o entendimento de que o texto serve para "ensinar a fazer algo".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XlgVQvc6nO4R6CL/dbHynV/qw==">CgMxLjA4AHIhMUVKUU1PRlFfd0EtTmhUb2x3YmVLOVozMkZUUkgxLUUx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