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-137783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</w:t>
      </w:r>
      <w:r w:rsidDel="00000000" w:rsidR="00000000" w:rsidRPr="00000000">
        <w:rPr>
          <w:b w:val="1"/>
          <w:bCs w:val="1"/>
          <w:rtl w:val="0"/>
        </w:rPr>
        <w:t xml:space="preserve">Reforço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 18/05 à 22/05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2220"/>
        <w:gridCol w:w="3135"/>
        <w:gridCol w:w="2310"/>
        <w:tblGridChange w:id="0">
          <w:tblGrid>
            <w:gridCol w:w="1650"/>
            <w:gridCol w:w="1815"/>
            <w:gridCol w:w="1545"/>
            <w:gridCol w:w="3555"/>
            <w:gridCol w:w="2220"/>
            <w:gridCol w:w="3135"/>
            <w:gridCol w:w="231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Estratégias de leitura; Localização de informações; Inferência de sentido; Decodificação/Fluência de leitura.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EF15LP03, EF35LP03, EF35LP04,EF35LP05.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Perícia de Leitura (30 min): Leitura de varredura no papel para localizar palavras específicas e pistas explícitas no texto. Laboratório de Inferência Atividade escrita para descobrir o sentido de expressões do "caso" baseadas no contexto e análise de elementos não verbais (imagens). Registro de Evidências (35 min): Transcrição e escrita de frases curtas no caderno, focando na segmentação correta entre as palavras e pontuação final.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Observação da capacidade de localizar dados no texto e análise da produção escrita (legibilidade, segmentação e correção ortográfica).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Ay/zukSEzuuXDSfTHBMpdVvGg==">CgMxLjA4AHIhMXgteXVUS1l6QlFheWh5ajNUVjZSYUhpUGxaWkx3Qm1W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